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BF715" w14:textId="77777777" w:rsidR="005C43B7" w:rsidRDefault="005C43B7" w:rsidP="005C43B7">
      <w:pPr>
        <w:spacing w:before="100" w:beforeAutospacing="1" w:after="100" w:afterAutospacing="1" w:line="240" w:lineRule="auto"/>
        <w:jc w:val="center"/>
        <w:outlineLvl w:val="1"/>
        <w:rPr>
          <w:rFonts w:ascii="Times New Roman" w:eastAsia="Times New Roman" w:hAnsi="Times New Roman" w:cs="Times New Roman"/>
          <w:b/>
          <w:bCs/>
          <w:sz w:val="28"/>
          <w:szCs w:val="36"/>
        </w:rPr>
      </w:pPr>
      <w:r>
        <w:rPr>
          <w:rFonts w:ascii="Times New Roman" w:eastAsia="Times New Roman" w:hAnsi="Times New Roman" w:cs="Times New Roman"/>
          <w:b/>
          <w:bCs/>
          <w:noProof/>
          <w:sz w:val="28"/>
          <w:szCs w:val="36"/>
        </w:rPr>
        <w:drawing>
          <wp:inline distT="0" distB="0" distL="0" distR="0" wp14:anchorId="566013EE" wp14:editId="3EE981B4">
            <wp:extent cx="2504440" cy="10731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2504440" cy="1073150"/>
                    </a:xfrm>
                    <a:prstGeom prst="rect">
                      <a:avLst/>
                    </a:prstGeom>
                    <a:noFill/>
                    <a:ln w="9525">
                      <a:noFill/>
                      <a:miter lim="800000"/>
                      <a:headEnd/>
                      <a:tailEnd/>
                    </a:ln>
                  </pic:spPr>
                </pic:pic>
              </a:graphicData>
            </a:graphic>
          </wp:inline>
        </w:drawing>
      </w:r>
    </w:p>
    <w:p w14:paraId="22028D5D" w14:textId="77777777" w:rsidR="005C43B7" w:rsidRDefault="005C43B7" w:rsidP="005C43B7">
      <w:pPr>
        <w:spacing w:before="100" w:beforeAutospacing="1" w:after="100" w:afterAutospacing="1" w:line="240" w:lineRule="auto"/>
        <w:jc w:val="center"/>
        <w:outlineLvl w:val="1"/>
        <w:rPr>
          <w:rFonts w:ascii="Times New Roman" w:eastAsia="Times New Roman" w:hAnsi="Times New Roman" w:cs="Times New Roman"/>
          <w:b/>
          <w:bCs/>
          <w:sz w:val="28"/>
          <w:szCs w:val="36"/>
        </w:rPr>
      </w:pPr>
    </w:p>
    <w:p w14:paraId="56F5ED1E" w14:textId="77777777" w:rsidR="005C43B7" w:rsidRPr="00E5233F" w:rsidRDefault="005C43B7" w:rsidP="00E5233F">
      <w:pPr>
        <w:jc w:val="center"/>
        <w:rPr>
          <w:rFonts w:ascii="Arial" w:hAnsi="Arial" w:cs="Arial"/>
          <w:b/>
          <w:sz w:val="32"/>
        </w:rPr>
      </w:pPr>
      <w:r w:rsidRPr="00E5233F">
        <w:rPr>
          <w:rFonts w:ascii="Arial" w:hAnsi="Arial" w:cs="Arial"/>
          <w:b/>
          <w:sz w:val="32"/>
        </w:rPr>
        <w:t>“The Importance of Academic Writing and Note-Taking Skills in Academic and Professional Contexts”</w:t>
      </w:r>
    </w:p>
    <w:p w14:paraId="33968AEA" w14:textId="77777777" w:rsidR="005C43B7" w:rsidRPr="00E5233F" w:rsidRDefault="005C43B7" w:rsidP="00E5233F">
      <w:pPr>
        <w:jc w:val="center"/>
        <w:rPr>
          <w:rFonts w:ascii="Arial" w:hAnsi="Arial" w:cs="Arial"/>
          <w:b/>
          <w:sz w:val="32"/>
        </w:rPr>
      </w:pPr>
    </w:p>
    <w:p w14:paraId="315C05E1" w14:textId="77777777" w:rsidR="005C43B7" w:rsidRPr="00E5233F" w:rsidRDefault="005C43B7" w:rsidP="00E5233F">
      <w:pPr>
        <w:jc w:val="center"/>
        <w:rPr>
          <w:rFonts w:ascii="Arial" w:hAnsi="Arial" w:cs="Arial"/>
          <w:b/>
          <w:sz w:val="28"/>
        </w:rPr>
      </w:pPr>
      <w:r w:rsidRPr="00E5233F">
        <w:rPr>
          <w:rStyle w:val="Robust"/>
          <w:rFonts w:ascii="Arial" w:hAnsi="Arial" w:cs="Arial"/>
          <w:bCs w:val="0"/>
          <w:sz w:val="40"/>
        </w:rPr>
        <w:t>Group Members</w:t>
      </w:r>
    </w:p>
    <w:p w14:paraId="325A5E88" w14:textId="3AE94880" w:rsidR="00F321AA" w:rsidRDefault="00F321AA" w:rsidP="00F321AA">
      <w:pPr>
        <w:pStyle w:val="NormalWeb"/>
        <w:jc w:val="center"/>
        <w:rPr>
          <w:rStyle w:val="Robust"/>
          <w:rFonts w:ascii="Arial" w:hAnsi="Arial" w:cs="Arial"/>
          <w:sz w:val="28"/>
        </w:rPr>
      </w:pPr>
      <w:r>
        <w:rPr>
          <w:rStyle w:val="Robust"/>
          <w:rFonts w:ascii="Arial" w:hAnsi="Arial" w:cs="Arial"/>
          <w:sz w:val="28"/>
        </w:rPr>
        <w:t xml:space="preserve">    </w:t>
      </w:r>
      <w:r w:rsidR="005C43B7" w:rsidRPr="00F321AA">
        <w:rPr>
          <w:rStyle w:val="Robust"/>
          <w:rFonts w:ascii="Arial" w:hAnsi="Arial" w:cs="Arial"/>
          <w:sz w:val="28"/>
        </w:rPr>
        <w:t>Ad</w:t>
      </w:r>
      <w:r w:rsidR="00EE5EF6">
        <w:rPr>
          <w:rStyle w:val="Robust"/>
          <w:rFonts w:ascii="Arial" w:hAnsi="Arial" w:cs="Arial"/>
          <w:sz w:val="28"/>
        </w:rPr>
        <w:t xml:space="preserve">riana Călin </w:t>
      </w:r>
    </w:p>
    <w:p w14:paraId="4FE9606C" w14:textId="77777777" w:rsidR="005C43B7" w:rsidRPr="00F321AA" w:rsidRDefault="00F321AA" w:rsidP="00F321AA">
      <w:pPr>
        <w:pStyle w:val="NormalWeb"/>
        <w:jc w:val="center"/>
        <w:rPr>
          <w:rFonts w:ascii="Arial" w:hAnsi="Arial" w:cs="Arial"/>
          <w:sz w:val="28"/>
        </w:rPr>
      </w:pPr>
      <w:r w:rsidRPr="00F321AA">
        <w:rPr>
          <w:rFonts w:ascii="Arial" w:hAnsi="Arial" w:cs="Arial"/>
          <w:sz w:val="28"/>
        </w:rPr>
        <w:t>(Group Leader)</w:t>
      </w:r>
      <w:r w:rsidR="005C43B7" w:rsidRPr="00F321AA">
        <w:rPr>
          <w:rFonts w:ascii="Arial" w:hAnsi="Arial" w:cs="Arial"/>
          <w:sz w:val="28"/>
        </w:rPr>
        <w:t xml:space="preserve"> </w:t>
      </w:r>
    </w:p>
    <w:p w14:paraId="4724E0FB" w14:textId="77777777" w:rsidR="005C43B7" w:rsidRPr="00F321AA" w:rsidRDefault="00F321AA" w:rsidP="00F321AA">
      <w:pPr>
        <w:pStyle w:val="NormalWeb"/>
        <w:ind w:left="720"/>
        <w:rPr>
          <w:rFonts w:ascii="Arial" w:hAnsi="Arial" w:cs="Arial"/>
          <w:sz w:val="28"/>
        </w:rPr>
      </w:pPr>
      <w:r>
        <w:rPr>
          <w:rStyle w:val="Robust"/>
          <w:rFonts w:ascii="Arial" w:hAnsi="Arial" w:cs="Arial"/>
          <w:sz w:val="28"/>
        </w:rPr>
        <w:t xml:space="preserve">                                             </w:t>
      </w:r>
      <w:r w:rsidR="005C43B7" w:rsidRPr="00F321AA">
        <w:rPr>
          <w:rStyle w:val="Robust"/>
          <w:rFonts w:ascii="Arial" w:hAnsi="Arial" w:cs="Arial"/>
          <w:sz w:val="28"/>
        </w:rPr>
        <w:t>Cosmin</w:t>
      </w:r>
    </w:p>
    <w:p w14:paraId="6CD7DD8A" w14:textId="77777777" w:rsidR="005C43B7" w:rsidRPr="00F321AA" w:rsidRDefault="00F321AA" w:rsidP="00F321AA">
      <w:pPr>
        <w:pStyle w:val="NormalWeb"/>
        <w:ind w:left="720"/>
        <w:rPr>
          <w:rFonts w:ascii="Arial" w:hAnsi="Arial" w:cs="Arial"/>
          <w:sz w:val="28"/>
        </w:rPr>
      </w:pPr>
      <w:r>
        <w:rPr>
          <w:rStyle w:val="Robust"/>
          <w:rFonts w:ascii="Arial" w:hAnsi="Arial" w:cs="Arial"/>
          <w:sz w:val="28"/>
        </w:rPr>
        <w:t xml:space="preserve">                                       </w:t>
      </w:r>
      <w:r w:rsidR="005C43B7" w:rsidRPr="00F321AA">
        <w:rPr>
          <w:rStyle w:val="Robust"/>
          <w:rFonts w:ascii="Arial" w:hAnsi="Arial" w:cs="Arial"/>
          <w:sz w:val="28"/>
        </w:rPr>
        <w:t>Jaskirat Singh</w:t>
      </w:r>
    </w:p>
    <w:p w14:paraId="305AE79A" w14:textId="77777777" w:rsidR="005C43B7" w:rsidRDefault="005C43B7" w:rsidP="00F321AA">
      <w:pPr>
        <w:spacing w:before="100" w:beforeAutospacing="1" w:after="100" w:afterAutospacing="1" w:line="240" w:lineRule="auto"/>
        <w:jc w:val="center"/>
        <w:rPr>
          <w:rFonts w:ascii="Arial" w:eastAsia="Times New Roman" w:hAnsi="Arial" w:cs="Arial"/>
          <w:i/>
          <w:iCs/>
          <w:sz w:val="28"/>
          <w:szCs w:val="24"/>
        </w:rPr>
      </w:pPr>
    </w:p>
    <w:p w14:paraId="2A73CB26" w14:textId="77777777" w:rsidR="00F321AA" w:rsidRDefault="00F321AA" w:rsidP="00F321AA">
      <w:pPr>
        <w:spacing w:before="100" w:beforeAutospacing="1" w:after="100" w:afterAutospacing="1" w:line="240" w:lineRule="auto"/>
        <w:jc w:val="center"/>
        <w:rPr>
          <w:rFonts w:ascii="Arial" w:eastAsia="Times New Roman" w:hAnsi="Arial" w:cs="Arial"/>
          <w:i/>
          <w:iCs/>
          <w:sz w:val="28"/>
          <w:szCs w:val="24"/>
        </w:rPr>
      </w:pPr>
    </w:p>
    <w:p w14:paraId="04680CCB" w14:textId="4313CF35" w:rsidR="005C43B7" w:rsidRDefault="005C43B7" w:rsidP="00867DAE">
      <w:pPr>
        <w:spacing w:before="100" w:beforeAutospacing="1" w:after="100" w:afterAutospacing="1" w:line="360" w:lineRule="auto"/>
        <w:jc w:val="center"/>
        <w:rPr>
          <w:rFonts w:ascii="Arial" w:eastAsia="Times New Roman" w:hAnsi="Arial" w:cs="Arial"/>
          <w:sz w:val="32"/>
          <w:szCs w:val="24"/>
        </w:rPr>
      </w:pPr>
      <w:r w:rsidRPr="00F321AA">
        <w:rPr>
          <w:rFonts w:ascii="Arial" w:eastAsia="Times New Roman" w:hAnsi="Arial" w:cs="Arial"/>
          <w:i/>
          <w:iCs/>
          <w:sz w:val="32"/>
          <w:szCs w:val="24"/>
        </w:rPr>
        <w:t>Module:</w:t>
      </w:r>
      <w:r w:rsidRPr="005C43B7">
        <w:rPr>
          <w:rFonts w:ascii="Arial" w:eastAsia="Times New Roman" w:hAnsi="Arial" w:cs="Arial"/>
          <w:sz w:val="32"/>
          <w:szCs w:val="24"/>
        </w:rPr>
        <w:t xml:space="preserve"> Academic Skills</w:t>
      </w:r>
      <w:r w:rsidRPr="005C43B7">
        <w:rPr>
          <w:rFonts w:ascii="Arial" w:eastAsia="Times New Roman" w:hAnsi="Arial" w:cs="Arial"/>
          <w:sz w:val="32"/>
          <w:szCs w:val="24"/>
        </w:rPr>
        <w:br/>
      </w:r>
      <w:r w:rsidRPr="00F321AA">
        <w:rPr>
          <w:rFonts w:ascii="Arial" w:eastAsia="Times New Roman" w:hAnsi="Arial" w:cs="Arial"/>
          <w:i/>
          <w:iCs/>
          <w:sz w:val="32"/>
          <w:szCs w:val="24"/>
        </w:rPr>
        <w:t>Module Code:</w:t>
      </w:r>
      <w:r w:rsidRPr="005C43B7">
        <w:rPr>
          <w:rFonts w:ascii="Arial" w:eastAsia="Times New Roman" w:hAnsi="Arial" w:cs="Arial"/>
          <w:sz w:val="32"/>
          <w:szCs w:val="24"/>
        </w:rPr>
        <w:t xml:space="preserve"> </w:t>
      </w:r>
      <w:r w:rsidR="00867DAE">
        <w:rPr>
          <w:rFonts w:ascii="Arial" w:eastAsia="Times New Roman" w:hAnsi="Arial" w:cs="Arial"/>
          <w:sz w:val="32"/>
          <w:szCs w:val="24"/>
        </w:rPr>
        <w:t>LCBB4012</w:t>
      </w:r>
      <w:r w:rsidRPr="005C43B7">
        <w:rPr>
          <w:rFonts w:ascii="Arial" w:eastAsia="Times New Roman" w:hAnsi="Arial" w:cs="Arial"/>
          <w:sz w:val="32"/>
          <w:szCs w:val="24"/>
        </w:rPr>
        <w:br/>
      </w:r>
      <w:r w:rsidRPr="00F321AA">
        <w:rPr>
          <w:rFonts w:ascii="Arial" w:eastAsia="Times New Roman" w:hAnsi="Arial" w:cs="Arial"/>
          <w:i/>
          <w:iCs/>
          <w:sz w:val="32"/>
          <w:szCs w:val="24"/>
        </w:rPr>
        <w:t>Lecturer:</w:t>
      </w:r>
      <w:r w:rsidRPr="005C43B7">
        <w:rPr>
          <w:rFonts w:ascii="Arial" w:eastAsia="Times New Roman" w:hAnsi="Arial" w:cs="Arial"/>
          <w:sz w:val="32"/>
          <w:szCs w:val="24"/>
        </w:rPr>
        <w:t xml:space="preserve"> </w:t>
      </w:r>
      <w:r w:rsidR="00867DAE">
        <w:rPr>
          <w:rFonts w:ascii="Arial" w:eastAsia="Times New Roman" w:hAnsi="Arial" w:cs="Arial"/>
          <w:sz w:val="32"/>
          <w:szCs w:val="24"/>
        </w:rPr>
        <w:t>Olubukola Adegbite</w:t>
      </w:r>
      <w:r w:rsidRPr="005C43B7">
        <w:rPr>
          <w:rFonts w:ascii="Arial" w:eastAsia="Times New Roman" w:hAnsi="Arial" w:cs="Arial"/>
          <w:sz w:val="32"/>
          <w:szCs w:val="24"/>
        </w:rPr>
        <w:br/>
      </w:r>
      <w:r w:rsidRPr="00F321AA">
        <w:rPr>
          <w:rFonts w:ascii="Arial" w:eastAsia="Times New Roman" w:hAnsi="Arial" w:cs="Arial"/>
          <w:i/>
          <w:iCs/>
          <w:sz w:val="32"/>
          <w:szCs w:val="24"/>
        </w:rPr>
        <w:t>Submission Date:</w:t>
      </w:r>
      <w:r w:rsidRPr="005C43B7">
        <w:rPr>
          <w:rFonts w:ascii="Arial" w:eastAsia="Times New Roman" w:hAnsi="Arial" w:cs="Arial"/>
          <w:sz w:val="32"/>
          <w:szCs w:val="24"/>
        </w:rPr>
        <w:t xml:space="preserve"> </w:t>
      </w:r>
      <w:r w:rsidR="00867DAE">
        <w:rPr>
          <w:rFonts w:ascii="Arial" w:eastAsia="Times New Roman" w:hAnsi="Arial" w:cs="Arial"/>
          <w:sz w:val="32"/>
          <w:szCs w:val="24"/>
        </w:rPr>
        <w:t>21/11/2025</w:t>
      </w:r>
    </w:p>
    <w:p w14:paraId="421DFC08" w14:textId="77777777" w:rsidR="00867DAE" w:rsidRDefault="00867DAE" w:rsidP="00867DAE">
      <w:pPr>
        <w:spacing w:before="100" w:beforeAutospacing="1" w:after="100" w:afterAutospacing="1" w:line="360" w:lineRule="auto"/>
        <w:jc w:val="center"/>
        <w:rPr>
          <w:rFonts w:ascii="Arial" w:eastAsia="Times New Roman" w:hAnsi="Arial" w:cs="Arial"/>
          <w:sz w:val="32"/>
          <w:szCs w:val="24"/>
        </w:rPr>
      </w:pPr>
    </w:p>
    <w:p w14:paraId="13A8BFD3" w14:textId="77777777" w:rsidR="00867DAE" w:rsidRPr="005C43B7" w:rsidRDefault="00867DAE" w:rsidP="00867DAE">
      <w:pPr>
        <w:spacing w:before="100" w:beforeAutospacing="1" w:after="100" w:afterAutospacing="1" w:line="360" w:lineRule="auto"/>
        <w:jc w:val="center"/>
        <w:rPr>
          <w:rFonts w:ascii="Arial" w:eastAsia="Times New Roman" w:hAnsi="Arial" w:cs="Arial"/>
          <w:sz w:val="32"/>
          <w:szCs w:val="24"/>
        </w:rPr>
      </w:pPr>
    </w:p>
    <w:sdt>
      <w:sdtPr>
        <w:rPr>
          <w:rFonts w:asciiTheme="minorHAnsi" w:eastAsiaTheme="minorHAnsi" w:hAnsiTheme="minorHAnsi" w:cstheme="minorBidi"/>
          <w:b w:val="0"/>
          <w:bCs w:val="0"/>
          <w:color w:val="auto"/>
          <w:sz w:val="22"/>
          <w:szCs w:val="22"/>
        </w:rPr>
        <w:id w:val="130135766"/>
        <w:docPartObj>
          <w:docPartGallery w:val="Table of Contents"/>
          <w:docPartUnique/>
        </w:docPartObj>
      </w:sdtPr>
      <w:sdtContent>
        <w:p w14:paraId="26BF71EF" w14:textId="77777777" w:rsidR="00E5233F" w:rsidRDefault="00E5233F">
          <w:pPr>
            <w:pStyle w:val="Titlucuprins"/>
          </w:pPr>
          <w:r>
            <w:t>Contents</w:t>
          </w:r>
        </w:p>
        <w:p w14:paraId="19829B6B" w14:textId="77777777" w:rsidR="00E5233F" w:rsidRDefault="00E5233F">
          <w:pPr>
            <w:pStyle w:val="Cuprins1"/>
            <w:tabs>
              <w:tab w:val="right" w:leader="dot" w:pos="9350"/>
            </w:tabs>
            <w:rPr>
              <w:rFonts w:eastAsiaTheme="minorEastAsia"/>
              <w:noProof/>
            </w:rPr>
          </w:pPr>
          <w:r>
            <w:fldChar w:fldCharType="begin"/>
          </w:r>
          <w:r>
            <w:instrText xml:space="preserve"> TOC \o "1-3" \h \z \u </w:instrText>
          </w:r>
          <w:r>
            <w:fldChar w:fldCharType="separate"/>
          </w:r>
          <w:hyperlink w:anchor="_Toc214424499" w:history="1">
            <w:r w:rsidRPr="00BF5122">
              <w:rPr>
                <w:rStyle w:val="Hyperlink"/>
                <w:noProof/>
              </w:rPr>
              <w:t>Introduction</w:t>
            </w:r>
            <w:r>
              <w:rPr>
                <w:noProof/>
                <w:webHidden/>
              </w:rPr>
              <w:tab/>
            </w:r>
            <w:r>
              <w:rPr>
                <w:noProof/>
                <w:webHidden/>
              </w:rPr>
              <w:fldChar w:fldCharType="begin"/>
            </w:r>
            <w:r>
              <w:rPr>
                <w:noProof/>
                <w:webHidden/>
              </w:rPr>
              <w:instrText xml:space="preserve"> PAGEREF _Toc214424499 \h </w:instrText>
            </w:r>
            <w:r>
              <w:rPr>
                <w:noProof/>
                <w:webHidden/>
              </w:rPr>
            </w:r>
            <w:r>
              <w:rPr>
                <w:noProof/>
                <w:webHidden/>
              </w:rPr>
              <w:fldChar w:fldCharType="separate"/>
            </w:r>
            <w:r>
              <w:rPr>
                <w:noProof/>
                <w:webHidden/>
              </w:rPr>
              <w:t>4</w:t>
            </w:r>
            <w:r>
              <w:rPr>
                <w:noProof/>
                <w:webHidden/>
              </w:rPr>
              <w:fldChar w:fldCharType="end"/>
            </w:r>
          </w:hyperlink>
        </w:p>
        <w:p w14:paraId="42911730" w14:textId="77777777" w:rsidR="00E5233F" w:rsidRDefault="00E5233F">
          <w:pPr>
            <w:pStyle w:val="Cuprins1"/>
            <w:tabs>
              <w:tab w:val="right" w:leader="dot" w:pos="9350"/>
            </w:tabs>
            <w:rPr>
              <w:rFonts w:eastAsiaTheme="minorEastAsia"/>
              <w:noProof/>
            </w:rPr>
          </w:pPr>
          <w:hyperlink w:anchor="_Toc214424500" w:history="1">
            <w:r w:rsidRPr="00BF5122">
              <w:rPr>
                <w:rStyle w:val="Hyperlink"/>
                <w:noProof/>
              </w:rPr>
              <w:t>Importance of Academic Writing</w:t>
            </w:r>
            <w:r>
              <w:rPr>
                <w:noProof/>
                <w:webHidden/>
              </w:rPr>
              <w:tab/>
            </w:r>
            <w:r>
              <w:rPr>
                <w:noProof/>
                <w:webHidden/>
              </w:rPr>
              <w:fldChar w:fldCharType="begin"/>
            </w:r>
            <w:r>
              <w:rPr>
                <w:noProof/>
                <w:webHidden/>
              </w:rPr>
              <w:instrText xml:space="preserve"> PAGEREF _Toc214424500 \h </w:instrText>
            </w:r>
            <w:r>
              <w:rPr>
                <w:noProof/>
                <w:webHidden/>
              </w:rPr>
            </w:r>
            <w:r>
              <w:rPr>
                <w:noProof/>
                <w:webHidden/>
              </w:rPr>
              <w:fldChar w:fldCharType="separate"/>
            </w:r>
            <w:r>
              <w:rPr>
                <w:noProof/>
                <w:webHidden/>
              </w:rPr>
              <w:t>5</w:t>
            </w:r>
            <w:r>
              <w:rPr>
                <w:noProof/>
                <w:webHidden/>
              </w:rPr>
              <w:fldChar w:fldCharType="end"/>
            </w:r>
          </w:hyperlink>
        </w:p>
        <w:p w14:paraId="53335292" w14:textId="77777777" w:rsidR="00E5233F" w:rsidRDefault="00E5233F">
          <w:pPr>
            <w:pStyle w:val="Cuprins1"/>
            <w:tabs>
              <w:tab w:val="right" w:leader="dot" w:pos="9350"/>
            </w:tabs>
            <w:rPr>
              <w:rFonts w:eastAsiaTheme="minorEastAsia"/>
              <w:noProof/>
            </w:rPr>
          </w:pPr>
          <w:hyperlink w:anchor="_Toc214424501" w:history="1">
            <w:r w:rsidRPr="00BF5122">
              <w:rPr>
                <w:rStyle w:val="Hyperlink"/>
                <w:noProof/>
              </w:rPr>
              <w:t>Importance and Purpose of Note-Taking</w:t>
            </w:r>
            <w:r>
              <w:rPr>
                <w:noProof/>
                <w:webHidden/>
              </w:rPr>
              <w:tab/>
            </w:r>
            <w:r>
              <w:rPr>
                <w:noProof/>
                <w:webHidden/>
              </w:rPr>
              <w:fldChar w:fldCharType="begin"/>
            </w:r>
            <w:r>
              <w:rPr>
                <w:noProof/>
                <w:webHidden/>
              </w:rPr>
              <w:instrText xml:space="preserve"> PAGEREF _Toc214424501 \h </w:instrText>
            </w:r>
            <w:r>
              <w:rPr>
                <w:noProof/>
                <w:webHidden/>
              </w:rPr>
            </w:r>
            <w:r>
              <w:rPr>
                <w:noProof/>
                <w:webHidden/>
              </w:rPr>
              <w:fldChar w:fldCharType="separate"/>
            </w:r>
            <w:r>
              <w:rPr>
                <w:noProof/>
                <w:webHidden/>
              </w:rPr>
              <w:t>6</w:t>
            </w:r>
            <w:r>
              <w:rPr>
                <w:noProof/>
                <w:webHidden/>
              </w:rPr>
              <w:fldChar w:fldCharType="end"/>
            </w:r>
          </w:hyperlink>
        </w:p>
        <w:p w14:paraId="72F3857A" w14:textId="77777777" w:rsidR="00E5233F" w:rsidRDefault="00E5233F">
          <w:pPr>
            <w:pStyle w:val="Cuprins1"/>
            <w:tabs>
              <w:tab w:val="right" w:leader="dot" w:pos="9350"/>
            </w:tabs>
            <w:rPr>
              <w:rFonts w:eastAsiaTheme="minorEastAsia"/>
              <w:noProof/>
            </w:rPr>
          </w:pPr>
          <w:hyperlink w:anchor="_Toc214424502" w:history="1">
            <w:r w:rsidRPr="00BF5122">
              <w:rPr>
                <w:rStyle w:val="Hyperlink"/>
                <w:noProof/>
              </w:rPr>
              <w:t>Strategies for Developing Academic Writing Skills</w:t>
            </w:r>
            <w:r>
              <w:rPr>
                <w:noProof/>
                <w:webHidden/>
              </w:rPr>
              <w:tab/>
            </w:r>
            <w:r>
              <w:rPr>
                <w:noProof/>
                <w:webHidden/>
              </w:rPr>
              <w:fldChar w:fldCharType="begin"/>
            </w:r>
            <w:r>
              <w:rPr>
                <w:noProof/>
                <w:webHidden/>
              </w:rPr>
              <w:instrText xml:space="preserve"> PAGEREF _Toc214424502 \h </w:instrText>
            </w:r>
            <w:r>
              <w:rPr>
                <w:noProof/>
                <w:webHidden/>
              </w:rPr>
            </w:r>
            <w:r>
              <w:rPr>
                <w:noProof/>
                <w:webHidden/>
              </w:rPr>
              <w:fldChar w:fldCharType="separate"/>
            </w:r>
            <w:r>
              <w:rPr>
                <w:noProof/>
                <w:webHidden/>
              </w:rPr>
              <w:t>8</w:t>
            </w:r>
            <w:r>
              <w:rPr>
                <w:noProof/>
                <w:webHidden/>
              </w:rPr>
              <w:fldChar w:fldCharType="end"/>
            </w:r>
          </w:hyperlink>
        </w:p>
        <w:p w14:paraId="03547C61" w14:textId="77777777" w:rsidR="00E5233F" w:rsidRDefault="00E5233F">
          <w:pPr>
            <w:pStyle w:val="Cuprins1"/>
            <w:tabs>
              <w:tab w:val="right" w:leader="dot" w:pos="9350"/>
            </w:tabs>
            <w:rPr>
              <w:rFonts w:eastAsiaTheme="minorEastAsia"/>
              <w:noProof/>
            </w:rPr>
          </w:pPr>
          <w:hyperlink w:anchor="_Toc214424503" w:history="1">
            <w:r w:rsidRPr="00BF5122">
              <w:rPr>
                <w:rStyle w:val="Hyperlink"/>
                <w:noProof/>
              </w:rPr>
              <w:t>Strategies for Developing Note-Taking Skills</w:t>
            </w:r>
            <w:r>
              <w:rPr>
                <w:noProof/>
                <w:webHidden/>
              </w:rPr>
              <w:tab/>
            </w:r>
            <w:r>
              <w:rPr>
                <w:noProof/>
                <w:webHidden/>
              </w:rPr>
              <w:fldChar w:fldCharType="begin"/>
            </w:r>
            <w:r>
              <w:rPr>
                <w:noProof/>
                <w:webHidden/>
              </w:rPr>
              <w:instrText xml:space="preserve"> PAGEREF _Toc214424503 \h </w:instrText>
            </w:r>
            <w:r>
              <w:rPr>
                <w:noProof/>
                <w:webHidden/>
              </w:rPr>
            </w:r>
            <w:r>
              <w:rPr>
                <w:noProof/>
                <w:webHidden/>
              </w:rPr>
              <w:fldChar w:fldCharType="separate"/>
            </w:r>
            <w:r>
              <w:rPr>
                <w:noProof/>
                <w:webHidden/>
              </w:rPr>
              <w:t>9</w:t>
            </w:r>
            <w:r>
              <w:rPr>
                <w:noProof/>
                <w:webHidden/>
              </w:rPr>
              <w:fldChar w:fldCharType="end"/>
            </w:r>
          </w:hyperlink>
        </w:p>
        <w:p w14:paraId="5B344DCF" w14:textId="77777777" w:rsidR="00E5233F" w:rsidRDefault="00E5233F">
          <w:pPr>
            <w:pStyle w:val="Cuprins1"/>
            <w:tabs>
              <w:tab w:val="right" w:leader="dot" w:pos="9350"/>
            </w:tabs>
            <w:rPr>
              <w:rFonts w:eastAsiaTheme="minorEastAsia"/>
              <w:noProof/>
            </w:rPr>
          </w:pPr>
          <w:hyperlink w:anchor="_Toc214424504" w:history="1">
            <w:r w:rsidRPr="00BF5122">
              <w:rPr>
                <w:rStyle w:val="Hyperlink"/>
                <w:noProof/>
              </w:rPr>
              <w:t>Conclusion</w:t>
            </w:r>
            <w:r>
              <w:rPr>
                <w:noProof/>
                <w:webHidden/>
              </w:rPr>
              <w:tab/>
            </w:r>
            <w:r>
              <w:rPr>
                <w:noProof/>
                <w:webHidden/>
              </w:rPr>
              <w:fldChar w:fldCharType="begin"/>
            </w:r>
            <w:r>
              <w:rPr>
                <w:noProof/>
                <w:webHidden/>
              </w:rPr>
              <w:instrText xml:space="preserve"> PAGEREF _Toc214424504 \h </w:instrText>
            </w:r>
            <w:r>
              <w:rPr>
                <w:noProof/>
                <w:webHidden/>
              </w:rPr>
            </w:r>
            <w:r>
              <w:rPr>
                <w:noProof/>
                <w:webHidden/>
              </w:rPr>
              <w:fldChar w:fldCharType="separate"/>
            </w:r>
            <w:r>
              <w:rPr>
                <w:noProof/>
                <w:webHidden/>
              </w:rPr>
              <w:t>11</w:t>
            </w:r>
            <w:r>
              <w:rPr>
                <w:noProof/>
                <w:webHidden/>
              </w:rPr>
              <w:fldChar w:fldCharType="end"/>
            </w:r>
          </w:hyperlink>
        </w:p>
        <w:p w14:paraId="0099DD5D" w14:textId="77777777" w:rsidR="00E5233F" w:rsidRDefault="00E5233F">
          <w:pPr>
            <w:pStyle w:val="Cuprins1"/>
            <w:tabs>
              <w:tab w:val="right" w:leader="dot" w:pos="9350"/>
            </w:tabs>
            <w:rPr>
              <w:rFonts w:eastAsiaTheme="minorEastAsia"/>
              <w:noProof/>
            </w:rPr>
          </w:pPr>
          <w:hyperlink w:anchor="_Toc214424505" w:history="1">
            <w:r w:rsidRPr="00BF5122">
              <w:rPr>
                <w:rStyle w:val="Hyperlink"/>
                <w:noProof/>
              </w:rPr>
              <w:t>Group Member Contributions</w:t>
            </w:r>
            <w:r>
              <w:rPr>
                <w:noProof/>
                <w:webHidden/>
              </w:rPr>
              <w:tab/>
            </w:r>
            <w:r>
              <w:rPr>
                <w:noProof/>
                <w:webHidden/>
              </w:rPr>
              <w:fldChar w:fldCharType="begin"/>
            </w:r>
            <w:r>
              <w:rPr>
                <w:noProof/>
                <w:webHidden/>
              </w:rPr>
              <w:instrText xml:space="preserve"> PAGEREF _Toc214424505 \h </w:instrText>
            </w:r>
            <w:r>
              <w:rPr>
                <w:noProof/>
                <w:webHidden/>
              </w:rPr>
            </w:r>
            <w:r>
              <w:rPr>
                <w:noProof/>
                <w:webHidden/>
              </w:rPr>
              <w:fldChar w:fldCharType="separate"/>
            </w:r>
            <w:r>
              <w:rPr>
                <w:noProof/>
                <w:webHidden/>
              </w:rPr>
              <w:t>11</w:t>
            </w:r>
            <w:r>
              <w:rPr>
                <w:noProof/>
                <w:webHidden/>
              </w:rPr>
              <w:fldChar w:fldCharType="end"/>
            </w:r>
          </w:hyperlink>
        </w:p>
        <w:p w14:paraId="29CDF721" w14:textId="77777777" w:rsidR="00E5233F" w:rsidRDefault="00E5233F">
          <w:pPr>
            <w:pStyle w:val="Cuprins1"/>
            <w:tabs>
              <w:tab w:val="right" w:leader="dot" w:pos="9350"/>
            </w:tabs>
            <w:rPr>
              <w:rFonts w:eastAsiaTheme="minorEastAsia"/>
              <w:noProof/>
            </w:rPr>
          </w:pPr>
          <w:hyperlink w:anchor="_Toc214424506" w:history="1">
            <w:r w:rsidRPr="00BF51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_Toc214424506 \h </w:instrText>
            </w:r>
            <w:r>
              <w:rPr>
                <w:noProof/>
                <w:webHidden/>
              </w:rPr>
            </w:r>
            <w:r>
              <w:rPr>
                <w:noProof/>
                <w:webHidden/>
              </w:rPr>
              <w:fldChar w:fldCharType="separate"/>
            </w:r>
            <w:r>
              <w:rPr>
                <w:noProof/>
                <w:webHidden/>
              </w:rPr>
              <w:t>12</w:t>
            </w:r>
            <w:r>
              <w:rPr>
                <w:noProof/>
                <w:webHidden/>
              </w:rPr>
              <w:fldChar w:fldCharType="end"/>
            </w:r>
          </w:hyperlink>
        </w:p>
        <w:p w14:paraId="5D8E6542" w14:textId="77777777" w:rsidR="00E5233F" w:rsidRDefault="00E5233F">
          <w:r>
            <w:fldChar w:fldCharType="end"/>
          </w:r>
        </w:p>
      </w:sdtContent>
    </w:sdt>
    <w:p w14:paraId="3ACF8A21" w14:textId="77777777" w:rsidR="00E5233F" w:rsidRDefault="00E5233F" w:rsidP="00227920">
      <w:pPr>
        <w:pStyle w:val="Titlu1"/>
      </w:pPr>
    </w:p>
    <w:p w14:paraId="46F2DA6C" w14:textId="77777777" w:rsidR="00E5233F" w:rsidRDefault="00E5233F" w:rsidP="00227920">
      <w:pPr>
        <w:pStyle w:val="Titlu1"/>
      </w:pPr>
    </w:p>
    <w:p w14:paraId="6DB2312E" w14:textId="77777777" w:rsidR="00E5233F" w:rsidRDefault="00E5233F" w:rsidP="00227920">
      <w:pPr>
        <w:pStyle w:val="Titlu1"/>
      </w:pPr>
    </w:p>
    <w:p w14:paraId="6815AAA5" w14:textId="77777777" w:rsidR="00E5233F" w:rsidRDefault="00E5233F" w:rsidP="00227920">
      <w:pPr>
        <w:pStyle w:val="Titlu1"/>
      </w:pPr>
    </w:p>
    <w:p w14:paraId="22405C60" w14:textId="77777777" w:rsidR="00E5233F" w:rsidRDefault="00E5233F" w:rsidP="00227920">
      <w:pPr>
        <w:pStyle w:val="Titlu1"/>
      </w:pPr>
    </w:p>
    <w:p w14:paraId="1A249FF3" w14:textId="77777777" w:rsidR="00E5233F" w:rsidRDefault="00E5233F" w:rsidP="00227920">
      <w:pPr>
        <w:pStyle w:val="Titlu1"/>
      </w:pPr>
    </w:p>
    <w:p w14:paraId="0A18F549" w14:textId="77777777" w:rsidR="00E5233F" w:rsidRDefault="00E5233F" w:rsidP="00227920">
      <w:pPr>
        <w:pStyle w:val="Titlu1"/>
      </w:pPr>
    </w:p>
    <w:p w14:paraId="7A86BA59" w14:textId="77777777" w:rsidR="00E5233F" w:rsidRDefault="00E5233F" w:rsidP="00227920">
      <w:pPr>
        <w:pStyle w:val="Titlu1"/>
      </w:pPr>
    </w:p>
    <w:p w14:paraId="1DA7D774" w14:textId="77777777" w:rsidR="00E5233F" w:rsidRDefault="00E5233F" w:rsidP="00E5233F"/>
    <w:p w14:paraId="4B013F01" w14:textId="77777777" w:rsidR="00E5233F" w:rsidRDefault="00E5233F" w:rsidP="00E5233F"/>
    <w:p w14:paraId="09DAD63E" w14:textId="77777777" w:rsidR="00E5233F" w:rsidRPr="00E5233F" w:rsidRDefault="00E5233F" w:rsidP="00E5233F">
      <w:pPr>
        <w:ind w:left="-270" w:right="-180" w:firstLine="270"/>
      </w:pPr>
    </w:p>
    <w:p w14:paraId="2B59C9F0" w14:textId="77777777" w:rsidR="00F321AA" w:rsidRDefault="00F321AA" w:rsidP="00227920">
      <w:pPr>
        <w:pStyle w:val="Titlu1"/>
      </w:pPr>
      <w:bookmarkStart w:id="0" w:name="_Toc214424499"/>
      <w:r w:rsidRPr="00227920">
        <w:t>Introduction</w:t>
      </w:r>
      <w:bookmarkEnd w:id="0"/>
    </w:p>
    <w:p w14:paraId="2EA4C59E" w14:textId="77777777" w:rsidR="00227920" w:rsidRPr="00E5233F" w:rsidRDefault="00227920" w:rsidP="00E5233F">
      <w:pPr>
        <w:spacing w:line="360" w:lineRule="auto"/>
        <w:jc w:val="both"/>
        <w:rPr>
          <w:rFonts w:ascii="Arial" w:hAnsi="Arial" w:cs="Arial"/>
        </w:rPr>
      </w:pPr>
    </w:p>
    <w:p w14:paraId="023E188B" w14:textId="77777777" w:rsidR="006C5BC8" w:rsidRPr="00E5233F" w:rsidRDefault="00227920" w:rsidP="00E5233F">
      <w:pPr>
        <w:spacing w:after="0" w:line="360" w:lineRule="auto"/>
        <w:jc w:val="both"/>
        <w:rPr>
          <w:rFonts w:ascii="Arial" w:eastAsia="Times New Roman" w:hAnsi="Arial" w:cs="Arial"/>
          <w:sz w:val="24"/>
          <w:szCs w:val="24"/>
        </w:rPr>
      </w:pPr>
      <w:r w:rsidRPr="00227920">
        <w:rPr>
          <w:rFonts w:ascii="Arial" w:eastAsia="Times New Roman" w:hAnsi="Arial" w:cs="Arial"/>
          <w:sz w:val="24"/>
          <w:szCs w:val="24"/>
        </w:rPr>
        <w:t xml:space="preserve">Effective learning and professional communication are supported by the fundamental abilities of academic writing and note-taking. They give students the ability to critically interact with concepts, methodically arrange data, and clearly and persuasively present their arguments. In order to promote analytical thinking and intellectual </w:t>
      </w:r>
      <w:proofErr w:type="spellStart"/>
      <w:r w:rsidRPr="00227920">
        <w:rPr>
          <w:rFonts w:ascii="Arial" w:eastAsia="Times New Roman" w:hAnsi="Arial" w:cs="Arial"/>
          <w:sz w:val="24"/>
          <w:szCs w:val="24"/>
        </w:rPr>
        <w:t>rigour</w:t>
      </w:r>
      <w:proofErr w:type="spellEnd"/>
      <w:r w:rsidRPr="00227920">
        <w:rPr>
          <w:rFonts w:ascii="Arial" w:eastAsia="Times New Roman" w:hAnsi="Arial" w:cs="Arial"/>
          <w:sz w:val="24"/>
          <w:szCs w:val="24"/>
        </w:rPr>
        <w:t xml:space="preserve">, academic writing promotes logical reasoning, the assessment of various viewpoints, and the integration of scholarly sources (Cottrell, 2019; Bailey, 2018). By requiring students to extract, </w:t>
      </w:r>
      <w:proofErr w:type="spellStart"/>
      <w:r w:rsidRPr="00227920">
        <w:rPr>
          <w:rFonts w:ascii="Arial" w:eastAsia="Times New Roman" w:hAnsi="Arial" w:cs="Arial"/>
          <w:sz w:val="24"/>
          <w:szCs w:val="24"/>
        </w:rPr>
        <w:t>summarise</w:t>
      </w:r>
      <w:proofErr w:type="spellEnd"/>
      <w:r w:rsidRPr="00227920">
        <w:rPr>
          <w:rFonts w:ascii="Arial" w:eastAsia="Times New Roman" w:hAnsi="Arial" w:cs="Arial"/>
          <w:sz w:val="24"/>
          <w:szCs w:val="24"/>
        </w:rPr>
        <w:t xml:space="preserve">, and </w:t>
      </w:r>
      <w:proofErr w:type="spellStart"/>
      <w:r w:rsidRPr="00227920">
        <w:rPr>
          <w:rFonts w:ascii="Arial" w:eastAsia="Times New Roman" w:hAnsi="Arial" w:cs="Arial"/>
          <w:sz w:val="24"/>
          <w:szCs w:val="24"/>
        </w:rPr>
        <w:t>organise</w:t>
      </w:r>
      <w:proofErr w:type="spellEnd"/>
      <w:r w:rsidRPr="00227920">
        <w:rPr>
          <w:rFonts w:ascii="Arial" w:eastAsia="Times New Roman" w:hAnsi="Arial" w:cs="Arial"/>
          <w:sz w:val="24"/>
          <w:szCs w:val="24"/>
        </w:rPr>
        <w:t xml:space="preserve"> important information, taking notes enhances understanding, retention, and the capacity to process complex material (Williams &amp; Eggert, 2020).</w:t>
      </w:r>
    </w:p>
    <w:p w14:paraId="23402D51" w14:textId="77777777" w:rsidR="00E5233F" w:rsidRPr="00E5233F" w:rsidRDefault="00E5233F" w:rsidP="00E5233F">
      <w:pPr>
        <w:spacing w:after="0" w:line="360" w:lineRule="auto"/>
        <w:jc w:val="both"/>
        <w:rPr>
          <w:rFonts w:ascii="Arial" w:eastAsia="Times New Roman" w:hAnsi="Arial" w:cs="Arial"/>
          <w:sz w:val="24"/>
          <w:szCs w:val="24"/>
        </w:rPr>
      </w:pPr>
    </w:p>
    <w:p w14:paraId="70174555" w14:textId="77777777" w:rsidR="00227920" w:rsidRDefault="00227920" w:rsidP="00E5233F">
      <w:pPr>
        <w:spacing w:after="0" w:line="360" w:lineRule="auto"/>
        <w:jc w:val="both"/>
        <w:rPr>
          <w:rFonts w:ascii="Arial" w:eastAsia="Times New Roman" w:hAnsi="Arial" w:cs="Arial"/>
          <w:sz w:val="24"/>
          <w:szCs w:val="24"/>
        </w:rPr>
      </w:pPr>
      <w:r w:rsidRPr="00227920">
        <w:rPr>
          <w:rFonts w:ascii="Arial" w:eastAsia="Times New Roman" w:hAnsi="Arial" w:cs="Arial"/>
          <w:sz w:val="24"/>
          <w:szCs w:val="24"/>
        </w:rPr>
        <w:t xml:space="preserve">A framework for comprehending how these abilities aid in academic development is provided by learning theories. According to the Deep and Surface Learning Theory, students learn more effectively when they critically analyse and consider information rather than simply </w:t>
      </w:r>
      <w:proofErr w:type="spellStart"/>
      <w:r w:rsidRPr="00227920">
        <w:rPr>
          <w:rFonts w:ascii="Arial" w:eastAsia="Times New Roman" w:hAnsi="Arial" w:cs="Arial"/>
          <w:sz w:val="24"/>
          <w:szCs w:val="24"/>
        </w:rPr>
        <w:t>memorise</w:t>
      </w:r>
      <w:proofErr w:type="spellEnd"/>
      <w:r w:rsidRPr="00227920">
        <w:rPr>
          <w:rFonts w:ascii="Arial" w:eastAsia="Times New Roman" w:hAnsi="Arial" w:cs="Arial"/>
          <w:sz w:val="24"/>
          <w:szCs w:val="24"/>
        </w:rPr>
        <w:t xml:space="preserve"> it. Writing and taking notes actively help students with this process (</w:t>
      </w:r>
      <w:proofErr w:type="spellStart"/>
      <w:r w:rsidRPr="00227920">
        <w:rPr>
          <w:rFonts w:ascii="Arial" w:eastAsia="Times New Roman" w:hAnsi="Arial" w:cs="Arial"/>
          <w:sz w:val="24"/>
          <w:szCs w:val="24"/>
        </w:rPr>
        <w:t>Marton</w:t>
      </w:r>
      <w:proofErr w:type="spellEnd"/>
      <w:r w:rsidRPr="00227920">
        <w:rPr>
          <w:rFonts w:ascii="Arial" w:eastAsia="Times New Roman" w:hAnsi="Arial" w:cs="Arial"/>
          <w:sz w:val="24"/>
          <w:szCs w:val="24"/>
        </w:rPr>
        <w:t xml:space="preserve"> &amp; </w:t>
      </w:r>
      <w:proofErr w:type="spellStart"/>
      <w:r w:rsidRPr="00227920">
        <w:rPr>
          <w:rFonts w:ascii="Arial" w:eastAsia="Times New Roman" w:hAnsi="Arial" w:cs="Arial"/>
          <w:sz w:val="24"/>
          <w:szCs w:val="24"/>
        </w:rPr>
        <w:t>Säljö</w:t>
      </w:r>
      <w:proofErr w:type="spellEnd"/>
      <w:r w:rsidRPr="00227920">
        <w:rPr>
          <w:rFonts w:ascii="Arial" w:eastAsia="Times New Roman" w:hAnsi="Arial" w:cs="Arial"/>
          <w:sz w:val="24"/>
          <w:szCs w:val="24"/>
        </w:rPr>
        <w:t xml:space="preserve">, 1976). The significance of working memory management is also </w:t>
      </w:r>
      <w:proofErr w:type="spellStart"/>
      <w:r w:rsidRPr="00227920">
        <w:rPr>
          <w:rFonts w:ascii="Arial" w:eastAsia="Times New Roman" w:hAnsi="Arial" w:cs="Arial"/>
          <w:sz w:val="24"/>
          <w:szCs w:val="24"/>
        </w:rPr>
        <w:t>emphasised</w:t>
      </w:r>
      <w:proofErr w:type="spellEnd"/>
      <w:r w:rsidRPr="00227920">
        <w:rPr>
          <w:rFonts w:ascii="Arial" w:eastAsia="Times New Roman" w:hAnsi="Arial" w:cs="Arial"/>
          <w:sz w:val="24"/>
          <w:szCs w:val="24"/>
        </w:rPr>
        <w:t xml:space="preserve"> by Cognitive Load Theory; well-structured notes lessen cognitive overload and enable students to concentrate on comprehending ideas rather than just processing information (Sweller, 1994).</w:t>
      </w:r>
    </w:p>
    <w:p w14:paraId="47CBB49B" w14:textId="77777777" w:rsidR="00E5233F" w:rsidRPr="00E5233F" w:rsidRDefault="00E5233F" w:rsidP="00E5233F">
      <w:pPr>
        <w:spacing w:after="0" w:line="360" w:lineRule="auto"/>
        <w:jc w:val="both"/>
        <w:rPr>
          <w:rFonts w:ascii="Arial" w:eastAsia="Times New Roman" w:hAnsi="Arial" w:cs="Arial"/>
          <w:sz w:val="24"/>
          <w:szCs w:val="24"/>
        </w:rPr>
      </w:pPr>
    </w:p>
    <w:p w14:paraId="6CDC7958" w14:textId="77777777" w:rsidR="00227920" w:rsidRPr="00E5233F" w:rsidRDefault="00E5233F" w:rsidP="00E5233F">
      <w:pPr>
        <w:spacing w:after="0" w:line="360" w:lineRule="auto"/>
        <w:jc w:val="both"/>
        <w:rPr>
          <w:rFonts w:ascii="Arial" w:eastAsia="Times New Roman" w:hAnsi="Arial" w:cs="Arial"/>
          <w:sz w:val="24"/>
          <w:szCs w:val="24"/>
        </w:rPr>
      </w:pPr>
      <w:r w:rsidRPr="00E5233F">
        <w:rPr>
          <w:rFonts w:ascii="Arial" w:eastAsia="Times New Roman" w:hAnsi="Arial" w:cs="Arial"/>
          <w:sz w:val="24"/>
          <w:szCs w:val="24"/>
        </w:rPr>
        <w:t xml:space="preserve">Learning is further reinforced by the interaction between writing and taking notes. Notes encourage students to </w:t>
      </w:r>
      <w:proofErr w:type="spellStart"/>
      <w:r w:rsidRPr="00E5233F">
        <w:rPr>
          <w:rFonts w:ascii="Arial" w:eastAsia="Times New Roman" w:hAnsi="Arial" w:cs="Arial"/>
          <w:sz w:val="24"/>
          <w:szCs w:val="24"/>
        </w:rPr>
        <w:t>analyse</w:t>
      </w:r>
      <w:proofErr w:type="spellEnd"/>
      <w:r w:rsidRPr="00E5233F">
        <w:rPr>
          <w:rFonts w:ascii="Arial" w:eastAsia="Times New Roman" w:hAnsi="Arial" w:cs="Arial"/>
          <w:sz w:val="24"/>
          <w:szCs w:val="24"/>
        </w:rPr>
        <w:t xml:space="preserve">, </w:t>
      </w:r>
      <w:proofErr w:type="spellStart"/>
      <w:r w:rsidRPr="00E5233F">
        <w:rPr>
          <w:rFonts w:ascii="Arial" w:eastAsia="Times New Roman" w:hAnsi="Arial" w:cs="Arial"/>
          <w:sz w:val="24"/>
          <w:szCs w:val="24"/>
        </w:rPr>
        <w:t>synthesise</w:t>
      </w:r>
      <w:proofErr w:type="spellEnd"/>
      <w:r w:rsidRPr="00E5233F">
        <w:rPr>
          <w:rFonts w:ascii="Arial" w:eastAsia="Times New Roman" w:hAnsi="Arial" w:cs="Arial"/>
          <w:sz w:val="24"/>
          <w:szCs w:val="24"/>
        </w:rPr>
        <w:t xml:space="preserve">, and arrange ideas into logical arguments and form the basis for essays, reports, and other academic outputs. Additionally, this process fosters the development of metacognitive abilities that are essential for both academic success and lifetime learning, such as </w:t>
      </w:r>
      <w:proofErr w:type="spellStart"/>
      <w:r w:rsidRPr="00E5233F">
        <w:rPr>
          <w:rFonts w:ascii="Arial" w:eastAsia="Times New Roman" w:hAnsi="Arial" w:cs="Arial"/>
          <w:sz w:val="24"/>
          <w:szCs w:val="24"/>
        </w:rPr>
        <w:t>organising</w:t>
      </w:r>
      <w:proofErr w:type="spellEnd"/>
      <w:r w:rsidRPr="00E5233F">
        <w:rPr>
          <w:rFonts w:ascii="Arial" w:eastAsia="Times New Roman" w:hAnsi="Arial" w:cs="Arial"/>
          <w:sz w:val="24"/>
          <w:szCs w:val="24"/>
        </w:rPr>
        <w:t xml:space="preserve">, tracking, and assessing one's own learning (Fry, </w:t>
      </w:r>
      <w:proofErr w:type="spellStart"/>
      <w:r w:rsidRPr="00E5233F">
        <w:rPr>
          <w:rFonts w:ascii="Arial" w:eastAsia="Times New Roman" w:hAnsi="Arial" w:cs="Arial"/>
          <w:sz w:val="24"/>
          <w:szCs w:val="24"/>
        </w:rPr>
        <w:t>Ketteridge</w:t>
      </w:r>
      <w:proofErr w:type="spellEnd"/>
      <w:r w:rsidRPr="00E5233F">
        <w:rPr>
          <w:rFonts w:ascii="Arial" w:eastAsia="Times New Roman" w:hAnsi="Arial" w:cs="Arial"/>
          <w:sz w:val="24"/>
          <w:szCs w:val="24"/>
        </w:rPr>
        <w:t xml:space="preserve"> &amp; Marshall, 2015). These abilities have substantial professional value outside of the classroom. Effective note-taking improves </w:t>
      </w:r>
      <w:proofErr w:type="spellStart"/>
      <w:r w:rsidRPr="00E5233F">
        <w:rPr>
          <w:rFonts w:ascii="Arial" w:eastAsia="Times New Roman" w:hAnsi="Arial" w:cs="Arial"/>
          <w:sz w:val="24"/>
          <w:szCs w:val="24"/>
        </w:rPr>
        <w:t>organisation</w:t>
      </w:r>
      <w:proofErr w:type="spellEnd"/>
      <w:r w:rsidRPr="00E5233F">
        <w:rPr>
          <w:rFonts w:ascii="Arial" w:eastAsia="Times New Roman" w:hAnsi="Arial" w:cs="Arial"/>
          <w:sz w:val="24"/>
          <w:szCs w:val="24"/>
        </w:rPr>
        <w:t xml:space="preserve"> and efficiency during meetings and group projects, while structured writing and precise documentation facilitate communication, decision-making, and project management (Carnegie, 2020). </w:t>
      </w:r>
    </w:p>
    <w:p w14:paraId="61281968" w14:textId="77777777" w:rsidR="00227920" w:rsidRDefault="00227920" w:rsidP="00227920">
      <w:pPr>
        <w:pStyle w:val="Titlu1"/>
      </w:pPr>
      <w:bookmarkStart w:id="1" w:name="_Toc214424500"/>
      <w:r>
        <w:t>Importance of Academic Writing</w:t>
      </w:r>
      <w:bookmarkEnd w:id="1"/>
    </w:p>
    <w:p w14:paraId="5A638F1C" w14:textId="77777777" w:rsidR="00227920" w:rsidRPr="00227920" w:rsidRDefault="00227920" w:rsidP="00227920"/>
    <w:p w14:paraId="38760754" w14:textId="77777777" w:rsidR="006C5BC8" w:rsidRPr="00FF028E" w:rsidRDefault="00FF028E" w:rsidP="00FF028E">
      <w:pPr>
        <w:spacing w:line="360" w:lineRule="auto"/>
        <w:jc w:val="both"/>
        <w:rPr>
          <w:rFonts w:ascii="Arial" w:hAnsi="Arial" w:cs="Arial"/>
          <w:sz w:val="24"/>
          <w:szCs w:val="24"/>
        </w:rPr>
      </w:pPr>
      <w:r>
        <w:rPr>
          <w:rFonts w:ascii="Arial" w:hAnsi="Arial" w:cs="Arial"/>
          <w:sz w:val="24"/>
          <w:szCs w:val="24"/>
        </w:rPr>
        <w:t>O</w:t>
      </w:r>
      <w:r w:rsidR="006C5BC8" w:rsidRPr="00FF028E">
        <w:rPr>
          <w:rFonts w:ascii="Arial" w:hAnsi="Arial" w:cs="Arial"/>
          <w:sz w:val="24"/>
          <w:szCs w:val="24"/>
        </w:rPr>
        <w:t>ne of the</w:t>
      </w:r>
      <w:r>
        <w:rPr>
          <w:rFonts w:ascii="Arial" w:hAnsi="Arial" w:cs="Arial"/>
          <w:sz w:val="24"/>
          <w:szCs w:val="24"/>
        </w:rPr>
        <w:t xml:space="preserve"> objectives of academic writing is that it enables </w:t>
      </w:r>
      <w:r w:rsidR="006C5BC8" w:rsidRPr="00FF028E">
        <w:rPr>
          <w:rFonts w:ascii="Arial" w:hAnsi="Arial" w:cs="Arial"/>
          <w:sz w:val="24"/>
          <w:szCs w:val="24"/>
        </w:rPr>
        <w:t xml:space="preserve">the students to help them show their competence of theories, concepts, and arguments in their field. Writing assignments also enable the learners to have the skills to </w:t>
      </w:r>
      <w:proofErr w:type="spellStart"/>
      <w:r w:rsidR="006C5BC8" w:rsidRPr="00FF028E">
        <w:rPr>
          <w:rFonts w:ascii="Arial" w:hAnsi="Arial" w:cs="Arial"/>
          <w:sz w:val="24"/>
          <w:szCs w:val="24"/>
        </w:rPr>
        <w:t>analyse</w:t>
      </w:r>
      <w:proofErr w:type="spellEnd"/>
      <w:r w:rsidR="006C5BC8" w:rsidRPr="00FF028E">
        <w:rPr>
          <w:rFonts w:ascii="Arial" w:hAnsi="Arial" w:cs="Arial"/>
          <w:sz w:val="24"/>
          <w:szCs w:val="24"/>
        </w:rPr>
        <w:t xml:space="preserve"> intricate concepts, </w:t>
      </w:r>
      <w:proofErr w:type="spellStart"/>
      <w:r w:rsidR="006C5BC8" w:rsidRPr="00FF028E">
        <w:rPr>
          <w:rFonts w:ascii="Arial" w:hAnsi="Arial" w:cs="Arial"/>
          <w:sz w:val="24"/>
          <w:szCs w:val="24"/>
        </w:rPr>
        <w:t>synthesise</w:t>
      </w:r>
      <w:proofErr w:type="spellEnd"/>
      <w:r w:rsidR="006C5BC8" w:rsidRPr="00FF028E">
        <w:rPr>
          <w:rFonts w:ascii="Arial" w:hAnsi="Arial" w:cs="Arial"/>
          <w:sz w:val="24"/>
          <w:szCs w:val="24"/>
        </w:rPr>
        <w:t xml:space="preserve"> data within various sources and to express their opinions in </w:t>
      </w:r>
      <w:proofErr w:type="spellStart"/>
      <w:r w:rsidR="006C5BC8" w:rsidRPr="00FF028E">
        <w:rPr>
          <w:rFonts w:ascii="Arial" w:hAnsi="Arial" w:cs="Arial"/>
          <w:sz w:val="24"/>
          <w:szCs w:val="24"/>
        </w:rPr>
        <w:t>well-organised</w:t>
      </w:r>
      <w:proofErr w:type="spellEnd"/>
      <w:r w:rsidR="006C5BC8" w:rsidRPr="00FF028E">
        <w:rPr>
          <w:rFonts w:ascii="Arial" w:hAnsi="Arial" w:cs="Arial"/>
          <w:sz w:val="24"/>
          <w:szCs w:val="24"/>
        </w:rPr>
        <w:t xml:space="preserve"> and persuasive way. This process promotes not only an understanding but also critical thinking since students are required to challenge assumptions, compare perspectives and make logical conclusions. In addition, academic writing is a place where students are able to demonstrate originality by developing original arguments backed by valid evidence (Greetham, 2020).</w:t>
      </w:r>
    </w:p>
    <w:p w14:paraId="2303F969" w14:textId="77777777" w:rsidR="006C5BC8"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Academic writing is also essential in the creation of university assignments in the form of essays, reports, reflective works, literature reviews, and dissertations. In all these formats, the students would have to use discipline-related conventions and stylistic expectations. An example is that report writing requires the concise presentation of findings as compared to reflective writing where the individual experience is connected with the theoretical knowledge. Academic writing, regardless of the format, allows students to transfer their knowledge in a clear and professional way to show knowledge and intellectual interest in their subject.</w:t>
      </w:r>
    </w:p>
    <w:p w14:paraId="6A83E717" w14:textId="77777777" w:rsidR="006C5BC8"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 xml:space="preserve">In addition to the academic setting, good writing ability can be important in the work environment. Written communication is always indicated by the employers as one of the key competencies in employability. According to Drew and Bingham (2021), writing effectively in a clear, logical, and convincing way is one of the factors that lead to effective communication at the workplace, especially in report writing, documentation, proposals, and official correspondence. Writing plays a key role in the operations of teams, decision making and sharing of information in most </w:t>
      </w:r>
      <w:proofErr w:type="spellStart"/>
      <w:r w:rsidRPr="00FF028E">
        <w:rPr>
          <w:rFonts w:ascii="Arial" w:hAnsi="Arial" w:cs="Arial"/>
          <w:sz w:val="24"/>
          <w:szCs w:val="24"/>
        </w:rPr>
        <w:t>organisations</w:t>
      </w:r>
      <w:proofErr w:type="spellEnd"/>
      <w:r w:rsidRPr="00FF028E">
        <w:rPr>
          <w:rFonts w:ascii="Arial" w:hAnsi="Arial" w:cs="Arial"/>
          <w:sz w:val="24"/>
          <w:szCs w:val="24"/>
        </w:rPr>
        <w:t>. According to National Association of Colleges and Employers (2022), written communication is one of the most valued qualities that employers consider during the evaluation of the applicant, and this fact explains why academic writing equips students with the expectations of the occupational environment.</w:t>
      </w:r>
    </w:p>
    <w:p w14:paraId="6145552A" w14:textId="77777777" w:rsidR="006C5BC8"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Moreover, academic writing can assist individuals in lifelong learning because it allows them to be critical and responsible in information processing and to apply knowledge meaningfully to it. It also brings education in discipline, attention to detail and proper use of sources by right citation and reference practices. The habits are also useful in the university life as well as in the work environment where precision, openness, and responsibility can be considered important.</w:t>
      </w:r>
    </w:p>
    <w:p w14:paraId="3BE1171B" w14:textId="77777777" w:rsidR="002068FD" w:rsidRPr="00FF028E" w:rsidRDefault="006C5BC8" w:rsidP="00FF028E">
      <w:pPr>
        <w:spacing w:line="360" w:lineRule="auto"/>
        <w:jc w:val="both"/>
        <w:rPr>
          <w:rFonts w:ascii="Arial" w:hAnsi="Arial" w:cs="Arial"/>
          <w:sz w:val="24"/>
          <w:szCs w:val="24"/>
        </w:rPr>
      </w:pPr>
      <w:r w:rsidRPr="00FF028E">
        <w:rPr>
          <w:rFonts w:ascii="Arial" w:hAnsi="Arial" w:cs="Arial"/>
          <w:sz w:val="24"/>
          <w:szCs w:val="24"/>
        </w:rPr>
        <w:t>Comprehensively, the value and goal of academic writing goes far beyond writing of university papers. It is a core competence that provides learners with the competence to think critically, communicate effectively and engage fully in academic and professional communities. Through good writing, people are able to perform better in school as well as be prepared to take up opportunities in their career life.</w:t>
      </w:r>
    </w:p>
    <w:p w14:paraId="45404166" w14:textId="77777777" w:rsidR="00FF028E" w:rsidRDefault="00FF028E" w:rsidP="00227920">
      <w:pPr>
        <w:pStyle w:val="Titlu1"/>
      </w:pPr>
      <w:bookmarkStart w:id="2" w:name="_Toc214424501"/>
      <w:r w:rsidRPr="00FF028E">
        <w:t>Importance and Purpose of Note-Taking</w:t>
      </w:r>
      <w:bookmarkEnd w:id="2"/>
      <w:r w:rsidRPr="00FF028E">
        <w:t xml:space="preserve"> </w:t>
      </w:r>
    </w:p>
    <w:p w14:paraId="4D19B0AF" w14:textId="77777777" w:rsidR="00227920" w:rsidRPr="00227920" w:rsidRDefault="00227920" w:rsidP="00227920"/>
    <w:p w14:paraId="6D9C001D"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It is a well-known fact that note-taking is a critical academic and professional skill as it helps people to process, structure and memorize information in a more efficient manner. It refers to the active and selective documentation of lectures, reading, discussion, or presentation content (Williams and Eggert, 2020). Contrasting to passive listening, when taking notes, learners have to find out the relevant points, summarise them in their own language, and present them in a manner that will help to comprehend later. This participatory learning makes the process more enjoyable because it can make the learners perceive information and not passive</w:t>
      </w:r>
      <w:r w:rsidR="00FF028E" w:rsidRPr="00FF028E">
        <w:rPr>
          <w:rFonts w:ascii="Arial" w:hAnsi="Arial" w:cs="Arial"/>
          <w:sz w:val="24"/>
          <w:szCs w:val="24"/>
        </w:rPr>
        <w:t>ly receive it (Rowlands, 2021).</w:t>
      </w:r>
    </w:p>
    <w:p w14:paraId="14BD50DF"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 xml:space="preserve">Cognitively, the role of taking notes is strictly connected with the work of human memory. The Information Processing Theory, which is connected to Atkinson and Shiffrin (1968), suggests that information should be transmitted through the sensory memory and short-term memory and then encoded into the long-term memory. Active techniques that aid this process include taking of notes since they involve the use of the mind and the higher the frequency of the use of the mind the higher the chances that the information will be stored in long-term memory. It implies that those who make considered, well-organized notes have a higher chance of recalling and getting an in-depth grasp of intricate information (Mueller and Oppenheimer, 2014). Their studies reveal that the conceptual learning is better with the </w:t>
      </w:r>
      <w:proofErr w:type="spellStart"/>
      <w:r w:rsidRPr="00FF028E">
        <w:rPr>
          <w:rFonts w:ascii="Arial" w:hAnsi="Arial" w:cs="Arial"/>
          <w:sz w:val="24"/>
          <w:szCs w:val="24"/>
        </w:rPr>
        <w:t>summarisation</w:t>
      </w:r>
      <w:proofErr w:type="spellEnd"/>
      <w:r w:rsidRPr="00FF028E">
        <w:rPr>
          <w:rFonts w:ascii="Arial" w:hAnsi="Arial" w:cs="Arial"/>
          <w:sz w:val="24"/>
          <w:szCs w:val="24"/>
        </w:rPr>
        <w:t xml:space="preserve"> of ideas as opposed to verbatim, which explains why developing effective note-taking skills are the keys to academic success.</w:t>
      </w:r>
    </w:p>
    <w:p w14:paraId="3DD44A10"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Besides, taking notes facilitates focus and cognitive load by dividing information into digestible portions. According to Cognitive Load Theory, the working memory capacity of the learners is limited, and the notes allow them to avoid overloading (Sweller, 2010). Properly written notes serve as helpful external memory aids and they enable the learners to be able to revisit the materials, not just by use of memory.</w:t>
      </w:r>
    </w:p>
    <w:p w14:paraId="142A137E"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 xml:space="preserve">Critical thinking also involves note taking. Individuals are using higher-order thinking skills which include evaluation, analysis, and synthesis when making decisions about what to cover and what not to cover, and the way to arrange the most important ideas (Fry, </w:t>
      </w:r>
      <w:proofErr w:type="spellStart"/>
      <w:r w:rsidRPr="00FF028E">
        <w:rPr>
          <w:rFonts w:ascii="Arial" w:hAnsi="Arial" w:cs="Arial"/>
          <w:sz w:val="24"/>
          <w:szCs w:val="24"/>
        </w:rPr>
        <w:t>Ketteridge</w:t>
      </w:r>
      <w:proofErr w:type="spellEnd"/>
      <w:r w:rsidRPr="00FF028E">
        <w:rPr>
          <w:rFonts w:ascii="Arial" w:hAnsi="Arial" w:cs="Arial"/>
          <w:sz w:val="24"/>
          <w:szCs w:val="24"/>
        </w:rPr>
        <w:t xml:space="preserve"> and Marshall, 2015). This has been of great importance, especially at university level where students are expected to analyze and critique arguments, as well as relate information derived out of different sources.</w:t>
      </w:r>
    </w:p>
    <w:p w14:paraId="2D3A8DC9" w14:textId="77777777" w:rsidR="002068FD"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In the work environment, excellent note taking is also desirable. At work, the right notes are the way to guarantee the clarity and accountability of the meetings, interaction with the client, and project discussions (Carnegie, 2020). They assist professionals to follow the deadlines, summarise the decisions, and develop action plans which enhance the efficiency of the teams. Accurate notes are critical in areas like healthcare, law, business, and project management because they are mandatory to guarantee compliance and documentation of data and reduce risks (Johnson, 2022). As an example, meeting minutes in project environments provide the necessary records that facilitate the planning and coordination (PMI, 2021). Thus, the ability to take notes is not solely an academic skill, but a professional transferable competence, which improves communication, decision making and organisational performance.</w:t>
      </w:r>
    </w:p>
    <w:p w14:paraId="3A5E16A9" w14:textId="77777777" w:rsidR="00FF028E" w:rsidRPr="00FF028E" w:rsidRDefault="002068FD" w:rsidP="00FF028E">
      <w:pPr>
        <w:spacing w:line="360" w:lineRule="auto"/>
        <w:jc w:val="both"/>
        <w:rPr>
          <w:rFonts w:ascii="Arial" w:hAnsi="Arial" w:cs="Arial"/>
          <w:sz w:val="24"/>
          <w:szCs w:val="24"/>
        </w:rPr>
      </w:pPr>
      <w:r w:rsidRPr="00FF028E">
        <w:rPr>
          <w:rFonts w:ascii="Arial" w:hAnsi="Arial" w:cs="Arial"/>
          <w:sz w:val="24"/>
          <w:szCs w:val="24"/>
        </w:rPr>
        <w:t>In general, note-taking plays a crucial role since it helps with learning, memory, critical thinking, and professional responsibility. Through these effective methods of taking notes, one can be able to handle information better and succeed better in both academics and in the workplace.</w:t>
      </w:r>
    </w:p>
    <w:p w14:paraId="4698258A" w14:textId="77777777" w:rsidR="00FF028E" w:rsidRDefault="00FF028E" w:rsidP="00227920">
      <w:pPr>
        <w:pStyle w:val="Titlu1"/>
      </w:pPr>
      <w:bookmarkStart w:id="3" w:name="_Toc214424502"/>
      <w:r w:rsidRPr="00FF028E">
        <w:t>Strategies for Developing Academic Writing Skill</w:t>
      </w:r>
      <w:r w:rsidR="00227920">
        <w:t>s</w:t>
      </w:r>
      <w:bookmarkEnd w:id="3"/>
    </w:p>
    <w:p w14:paraId="55E4F84C" w14:textId="77777777" w:rsidR="00227920" w:rsidRPr="00227920" w:rsidRDefault="00227920" w:rsidP="00227920"/>
    <w:p w14:paraId="4C165B4B"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Acquisition of good academic writing skills is a matter of deliberate practice, exposure to academic language, and application of good writing strategies. Sticking to the structured paragraph structures (PEEL or TEEL) which assist writers in structuring their thoughts logically and ensure the logical flow of ideas, can be ranked among the most useful strategies (Cottrell, 2019). Such structures help students to have a solid argument, maintain it with valid evidence, justify its significance, and relate it to the discussion as a whole. Writing with such structures </w:t>
      </w:r>
      <w:proofErr w:type="spellStart"/>
      <w:r w:rsidRPr="00FF028E">
        <w:rPr>
          <w:rFonts w:ascii="Arial" w:hAnsi="Arial" w:cs="Arial"/>
          <w:sz w:val="24"/>
          <w:szCs w:val="24"/>
        </w:rPr>
        <w:t>minimises</w:t>
      </w:r>
      <w:proofErr w:type="spellEnd"/>
      <w:r w:rsidRPr="00FF028E">
        <w:rPr>
          <w:rFonts w:ascii="Arial" w:hAnsi="Arial" w:cs="Arial"/>
          <w:sz w:val="24"/>
          <w:szCs w:val="24"/>
        </w:rPr>
        <w:t xml:space="preserve"> the chances of developing unstructured or descriptive writing and ensures critical work with sources.</w:t>
      </w:r>
    </w:p>
    <w:p w14:paraId="10B9245D"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The other important strategy is reading extensively. Academic samples Reading academic journals, textbooks, and research articles allows students to study how the scholars create the arguments, utilize discipline-related terms, and provide evidence (Wallace and Wray, 2021). This acquaintance empowers the individual writing of students, as they learn the tone, objectivity and academic conventions. Reading within various perspectives also deepens critical thinking as it contributes to the comparison of the perspectives.</w:t>
      </w:r>
    </w:p>
    <w:p w14:paraId="29B4CEA4"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Feedback is an important element of enhancing the quality of writing. Lecturers, writing </w:t>
      </w:r>
      <w:proofErr w:type="spellStart"/>
      <w:r w:rsidRPr="00FF028E">
        <w:rPr>
          <w:rFonts w:ascii="Arial" w:hAnsi="Arial" w:cs="Arial"/>
          <w:sz w:val="24"/>
          <w:szCs w:val="24"/>
        </w:rPr>
        <w:t>centres</w:t>
      </w:r>
      <w:proofErr w:type="spellEnd"/>
      <w:r w:rsidRPr="00FF028E">
        <w:rPr>
          <w:rFonts w:ascii="Arial" w:hAnsi="Arial" w:cs="Arial"/>
          <w:sz w:val="24"/>
          <w:szCs w:val="24"/>
        </w:rPr>
        <w:t>, or their peers can provide constructive feedback to help the students realize their weaknesses in grammar, argumentation, structure, and referencing (Wingate, 2015). Active interaction with feedback should be encouraged instead of treating it as a form of criticism so that the learner can amend the writing and prevent them to repeat their errors. Academic support services are offered by numerous universities, and the utilization of such opportunities results in the substantial enhancement of writing competence all the time.</w:t>
      </w:r>
    </w:p>
    <w:p w14:paraId="18682EAA"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Besides, it is necessary to practice drafting and editing. Drafting, proofreading, revising, and planning are the processes involved in academic writing (Gillet, Hammond and </w:t>
      </w:r>
      <w:proofErr w:type="spellStart"/>
      <w:r w:rsidRPr="00FF028E">
        <w:rPr>
          <w:rFonts w:ascii="Arial" w:hAnsi="Arial" w:cs="Arial"/>
          <w:sz w:val="24"/>
          <w:szCs w:val="24"/>
        </w:rPr>
        <w:t>Martala</w:t>
      </w:r>
      <w:proofErr w:type="spellEnd"/>
      <w:r w:rsidRPr="00FF028E">
        <w:rPr>
          <w:rFonts w:ascii="Arial" w:hAnsi="Arial" w:cs="Arial"/>
          <w:sz w:val="24"/>
          <w:szCs w:val="24"/>
        </w:rPr>
        <w:t>, 2009). Students that take time to polish their work gain better clarity and coherence. Creating maps or outlines, mind maps or essay plans before writing are also examples of some techniques that would ensure that arguments are structured in a logical order.</w:t>
      </w:r>
    </w:p>
    <w:p w14:paraId="6FD2F55D"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academic writing is also supported by the application of digital tools. Referencing is automated by citation managers, such as Zotero, EndNote, or </w:t>
      </w:r>
      <w:proofErr w:type="spellStart"/>
      <w:r w:rsidRPr="00FF028E">
        <w:rPr>
          <w:rFonts w:ascii="Arial" w:hAnsi="Arial" w:cs="Arial"/>
          <w:sz w:val="24"/>
          <w:szCs w:val="24"/>
        </w:rPr>
        <w:t>Mendeley</w:t>
      </w:r>
      <w:proofErr w:type="spellEnd"/>
      <w:r w:rsidRPr="00FF028E">
        <w:rPr>
          <w:rFonts w:ascii="Arial" w:hAnsi="Arial" w:cs="Arial"/>
          <w:sz w:val="24"/>
          <w:szCs w:val="24"/>
        </w:rPr>
        <w:t xml:space="preserve">; they </w:t>
      </w:r>
      <w:proofErr w:type="spellStart"/>
      <w:r w:rsidRPr="00FF028E">
        <w:rPr>
          <w:rFonts w:ascii="Arial" w:hAnsi="Arial" w:cs="Arial"/>
          <w:sz w:val="24"/>
          <w:szCs w:val="24"/>
        </w:rPr>
        <w:t>minimise</w:t>
      </w:r>
      <w:proofErr w:type="spellEnd"/>
      <w:r w:rsidRPr="00FF028E">
        <w:rPr>
          <w:rFonts w:ascii="Arial" w:hAnsi="Arial" w:cs="Arial"/>
          <w:sz w:val="24"/>
          <w:szCs w:val="24"/>
        </w:rPr>
        <w:t xml:space="preserve"> mistakes and assist students to keep a structured library of academic references (Neville, 2020). Grammar-checking programs, proofreading programs, and text-to-speech functions help to increase the clarity and accuracy but not to depend on them entirely.</w:t>
      </w:r>
    </w:p>
    <w:p w14:paraId="0B1BE72D"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Lastly, academic honesty is a practice that is part and parcel of writing development. Knowing how to paraphrase, summarise and reference properly enables the student to prevent plagiarism and conscientiously participate in scholarship (Pears and Shields, 2019). On the whole, academic writing is not an easy task, yet with the help of constant practice, feedback, and optimal usage of the tools, the skills of students can be considerably developed.</w:t>
      </w:r>
    </w:p>
    <w:p w14:paraId="48805C86" w14:textId="77777777" w:rsidR="00FF028E" w:rsidRDefault="00FF028E" w:rsidP="00227920">
      <w:pPr>
        <w:pStyle w:val="Titlu1"/>
      </w:pPr>
      <w:bookmarkStart w:id="4" w:name="_Toc214424503"/>
      <w:r w:rsidRPr="00FF028E">
        <w:t>Strategies for Developing Note-Taking Skills</w:t>
      </w:r>
      <w:bookmarkEnd w:id="4"/>
    </w:p>
    <w:p w14:paraId="7F6A5CD7" w14:textId="77777777" w:rsidR="00227920" w:rsidRPr="00227920" w:rsidRDefault="00227920" w:rsidP="00227920"/>
    <w:p w14:paraId="2E788DFB"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enhancement of the ability to take notes means the incorporation of the systematic approaches, active listening, and the </w:t>
      </w:r>
      <w:proofErr w:type="spellStart"/>
      <w:r w:rsidRPr="00FF028E">
        <w:rPr>
          <w:rFonts w:ascii="Arial" w:hAnsi="Arial" w:cs="Arial"/>
          <w:sz w:val="24"/>
          <w:szCs w:val="24"/>
        </w:rPr>
        <w:t>utilisation</w:t>
      </w:r>
      <w:proofErr w:type="spellEnd"/>
      <w:r w:rsidRPr="00FF028E">
        <w:rPr>
          <w:rFonts w:ascii="Arial" w:hAnsi="Arial" w:cs="Arial"/>
          <w:sz w:val="24"/>
          <w:szCs w:val="24"/>
        </w:rPr>
        <w:t xml:space="preserve"> of the tools that promote the </w:t>
      </w:r>
      <w:proofErr w:type="spellStart"/>
      <w:r w:rsidRPr="00FF028E">
        <w:rPr>
          <w:rFonts w:ascii="Arial" w:hAnsi="Arial" w:cs="Arial"/>
          <w:sz w:val="24"/>
          <w:szCs w:val="24"/>
        </w:rPr>
        <w:t>organisation</w:t>
      </w:r>
      <w:proofErr w:type="spellEnd"/>
      <w:r w:rsidRPr="00FF028E">
        <w:rPr>
          <w:rFonts w:ascii="Arial" w:hAnsi="Arial" w:cs="Arial"/>
          <w:sz w:val="24"/>
          <w:szCs w:val="24"/>
        </w:rPr>
        <w:t xml:space="preserve"> and </w:t>
      </w:r>
      <w:proofErr w:type="spellStart"/>
      <w:r w:rsidRPr="00FF028E">
        <w:rPr>
          <w:rFonts w:ascii="Arial" w:hAnsi="Arial" w:cs="Arial"/>
          <w:sz w:val="24"/>
          <w:szCs w:val="24"/>
        </w:rPr>
        <w:t>memorisation</w:t>
      </w:r>
      <w:proofErr w:type="spellEnd"/>
      <w:r w:rsidRPr="00FF028E">
        <w:rPr>
          <w:rFonts w:ascii="Arial" w:hAnsi="Arial" w:cs="Arial"/>
          <w:sz w:val="24"/>
          <w:szCs w:val="24"/>
        </w:rPr>
        <w:t>. The Cornell Note-Taking System is one of the most popular techniques and splits the page into cues, main notes and summary sections. Such a structure helps learners to systematize information, find important ideas, and process information after the lesson (Williams and Eggert, 2020). The summary section enhances long-term memorization since the learners are requi</w:t>
      </w:r>
      <w:r w:rsidR="00227920">
        <w:rPr>
          <w:rFonts w:ascii="Arial" w:hAnsi="Arial" w:cs="Arial"/>
          <w:sz w:val="24"/>
          <w:szCs w:val="24"/>
        </w:rPr>
        <w:t>red to paraphrase the concepts.</w:t>
      </w:r>
    </w:p>
    <w:p w14:paraId="61EBA2FC"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Another strategy that works is mind-Mapping especially in visual learners. Mind maps allow the individual to view the association between ideas and structure multifaceted information in a hierarchical manner by displaying concepts and branches in diagrams (Buzan, 2018). The method is useful in the topics that deal with processes, theor</w:t>
      </w:r>
      <w:r w:rsidR="00227920">
        <w:rPr>
          <w:rFonts w:ascii="Arial" w:hAnsi="Arial" w:cs="Arial"/>
          <w:sz w:val="24"/>
          <w:szCs w:val="24"/>
        </w:rPr>
        <w:t>ies and thematic relationships.</w:t>
      </w:r>
    </w:p>
    <w:p w14:paraId="27D87E5B"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Effective note taking is based upon active listening. Instead of rewriting verbatim, the learners are supposed to concentrate on making key points, examples, and descriptions (Rowlands, 2021). This is in line with the Cognitive Load Theory, which focuses on </w:t>
      </w:r>
      <w:proofErr w:type="spellStart"/>
      <w:r w:rsidRPr="00FF028E">
        <w:rPr>
          <w:rFonts w:ascii="Arial" w:hAnsi="Arial" w:cs="Arial"/>
          <w:sz w:val="24"/>
          <w:szCs w:val="24"/>
        </w:rPr>
        <w:t>minimising</w:t>
      </w:r>
      <w:proofErr w:type="spellEnd"/>
      <w:r w:rsidRPr="00FF028E">
        <w:rPr>
          <w:rFonts w:ascii="Arial" w:hAnsi="Arial" w:cs="Arial"/>
          <w:sz w:val="24"/>
          <w:szCs w:val="24"/>
        </w:rPr>
        <w:t xml:space="preserve"> unneeded information to prevent the working memory load (Sweller, 2010). By paraphrasing main points in short statements, learners are able to </w:t>
      </w:r>
      <w:proofErr w:type="spellStart"/>
      <w:r w:rsidRPr="00FF028E">
        <w:rPr>
          <w:rFonts w:ascii="Arial" w:hAnsi="Arial" w:cs="Arial"/>
          <w:sz w:val="24"/>
          <w:szCs w:val="24"/>
        </w:rPr>
        <w:t>memorise</w:t>
      </w:r>
      <w:proofErr w:type="spellEnd"/>
      <w:r w:rsidRPr="00FF028E">
        <w:rPr>
          <w:rFonts w:ascii="Arial" w:hAnsi="Arial" w:cs="Arial"/>
          <w:sz w:val="24"/>
          <w:szCs w:val="24"/>
        </w:rPr>
        <w:t xml:space="preserve"> the main points without being distracted.</w:t>
      </w:r>
    </w:p>
    <w:p w14:paraId="3774369C"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It is also important to read through notes regularly. Van der Meer (2019) discovered that reading notes in 24 hours enhances memory and comprehension since neural pathways become strengthened. Repeating and rewriting notes in more understandable forms als</w:t>
      </w:r>
      <w:r w:rsidR="00227920">
        <w:rPr>
          <w:rFonts w:ascii="Arial" w:hAnsi="Arial" w:cs="Arial"/>
          <w:sz w:val="24"/>
          <w:szCs w:val="24"/>
        </w:rPr>
        <w:t>o aid to better understandings.</w:t>
      </w:r>
    </w:p>
    <w:p w14:paraId="005FD871"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use of digital tools has helped in the process of note taking. OneNote, Notion, Obsidian, and Google Keep are some applications that enable learners to store, manage, </w:t>
      </w:r>
      <w:proofErr w:type="spellStart"/>
      <w:r w:rsidRPr="00FF028E">
        <w:rPr>
          <w:rFonts w:ascii="Arial" w:hAnsi="Arial" w:cs="Arial"/>
          <w:sz w:val="24"/>
          <w:szCs w:val="24"/>
        </w:rPr>
        <w:t>synchronise</w:t>
      </w:r>
      <w:proofErr w:type="spellEnd"/>
      <w:r w:rsidRPr="00FF028E">
        <w:rPr>
          <w:rFonts w:ascii="Arial" w:hAnsi="Arial" w:cs="Arial"/>
          <w:sz w:val="24"/>
          <w:szCs w:val="24"/>
        </w:rPr>
        <w:t xml:space="preserve"> notes on a variety of devices. Digital notes are also easy to navigate and get because of features like tagging, hyperlinking, and search facilities (Stone, 2021). Students are however advised to be careful not to over type in lectures because they may be tempted to do more typing than meaningful </w:t>
      </w:r>
      <w:proofErr w:type="spellStart"/>
      <w:r w:rsidRPr="00FF028E">
        <w:rPr>
          <w:rFonts w:ascii="Arial" w:hAnsi="Arial" w:cs="Arial"/>
          <w:sz w:val="24"/>
          <w:szCs w:val="24"/>
        </w:rPr>
        <w:t>summarisation</w:t>
      </w:r>
      <w:proofErr w:type="spellEnd"/>
      <w:r w:rsidRPr="00FF028E">
        <w:rPr>
          <w:rFonts w:ascii="Arial" w:hAnsi="Arial" w:cs="Arial"/>
          <w:sz w:val="24"/>
          <w:szCs w:val="24"/>
        </w:rPr>
        <w:t xml:space="preserve"> with transcription (Mueller and Oppenheimer, 2014).</w:t>
      </w:r>
    </w:p>
    <w:p w14:paraId="77FF0B6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Finally, it is possible to plan ahead prior to lectures through reading slides, previewing subjects, or finding important questions to take more specific notes. This pre-training enhances comprehension as well as lessening the effort required to adhere to intricate explanations. Through a combination of systematic practices, active participation and frequent revision, students can become quite better at taking notes.</w:t>
      </w:r>
    </w:p>
    <w:p w14:paraId="0E64D8D8" w14:textId="77777777" w:rsidR="00FF028E" w:rsidRDefault="00FF028E" w:rsidP="00227920">
      <w:pPr>
        <w:pStyle w:val="Titlu1"/>
      </w:pPr>
      <w:bookmarkStart w:id="5" w:name="_Toc214424504"/>
      <w:r w:rsidRPr="00FF028E">
        <w:t>Conclusion</w:t>
      </w:r>
      <w:bookmarkEnd w:id="5"/>
    </w:p>
    <w:p w14:paraId="4DDF8C57" w14:textId="77777777" w:rsidR="00227920" w:rsidRPr="00227920" w:rsidRDefault="00227920" w:rsidP="00227920"/>
    <w:p w14:paraId="1417D67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To sum up, academic writing and note taking are compulsory items of successful education and professional interaction. Academic writing offers systematic argument, critical thinking and ethical application of evidence, which are crucial in academic performance assessments and documentation in the workplace. Memorizing, understanding, and being productive in a university and professional level are better with taking notes.</w:t>
      </w:r>
    </w:p>
    <w:p w14:paraId="718AC261"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 xml:space="preserve">The significance of the skills can be supported by the theories of Deep and Surface Learning, Cognitive Load Theory, and Information Processing Theory, that </w:t>
      </w:r>
      <w:proofErr w:type="spellStart"/>
      <w:r w:rsidRPr="00FF028E">
        <w:rPr>
          <w:rFonts w:ascii="Arial" w:hAnsi="Arial" w:cs="Arial"/>
          <w:sz w:val="24"/>
          <w:szCs w:val="24"/>
        </w:rPr>
        <w:t>emphasise</w:t>
      </w:r>
      <w:proofErr w:type="spellEnd"/>
      <w:r w:rsidRPr="00FF028E">
        <w:rPr>
          <w:rFonts w:ascii="Arial" w:hAnsi="Arial" w:cs="Arial"/>
          <w:sz w:val="24"/>
          <w:szCs w:val="24"/>
        </w:rPr>
        <w:t xml:space="preserve"> the need to use active engagement and properly structured learning processes. Through structured writing, implementing strategic approaches to taking notes, digital tools, and in search of constant feedback, students can notably enhance their performance and employability in academic and professional life. The two abilities are indispensable to lifelong learning and will continue to play a role in the lives of various people in multiple educational and career settings.</w:t>
      </w:r>
    </w:p>
    <w:p w14:paraId="735003D0" w14:textId="77777777" w:rsidR="00FF028E" w:rsidRPr="00FF028E" w:rsidRDefault="00FF028E" w:rsidP="00FF028E">
      <w:pPr>
        <w:spacing w:line="360" w:lineRule="auto"/>
        <w:jc w:val="both"/>
        <w:rPr>
          <w:rFonts w:ascii="Arial" w:hAnsi="Arial" w:cs="Arial"/>
          <w:sz w:val="24"/>
          <w:szCs w:val="24"/>
        </w:rPr>
      </w:pPr>
    </w:p>
    <w:p w14:paraId="5FAF3713" w14:textId="77777777" w:rsidR="00FF028E" w:rsidRPr="00FF028E" w:rsidRDefault="00FF028E" w:rsidP="00FF028E">
      <w:pPr>
        <w:spacing w:line="360" w:lineRule="auto"/>
        <w:jc w:val="both"/>
        <w:rPr>
          <w:rFonts w:ascii="Arial" w:hAnsi="Arial" w:cs="Arial"/>
          <w:sz w:val="24"/>
          <w:szCs w:val="24"/>
        </w:rPr>
      </w:pPr>
    </w:p>
    <w:p w14:paraId="5FE0BF20" w14:textId="77777777" w:rsidR="00FF028E" w:rsidRPr="00FF028E" w:rsidRDefault="00FF028E" w:rsidP="00FF028E">
      <w:pPr>
        <w:spacing w:line="360" w:lineRule="auto"/>
        <w:jc w:val="both"/>
        <w:rPr>
          <w:rFonts w:ascii="Arial" w:hAnsi="Arial" w:cs="Arial"/>
          <w:sz w:val="24"/>
          <w:szCs w:val="24"/>
        </w:rPr>
      </w:pPr>
    </w:p>
    <w:p w14:paraId="4C1105B1" w14:textId="77777777" w:rsidR="00FF028E" w:rsidRPr="00FF028E" w:rsidRDefault="00FF028E" w:rsidP="00FF028E">
      <w:pPr>
        <w:spacing w:line="360" w:lineRule="auto"/>
        <w:jc w:val="both"/>
        <w:rPr>
          <w:rFonts w:ascii="Arial" w:hAnsi="Arial" w:cs="Arial"/>
          <w:sz w:val="24"/>
          <w:szCs w:val="24"/>
        </w:rPr>
      </w:pPr>
    </w:p>
    <w:p w14:paraId="441433B0" w14:textId="77777777" w:rsidR="00FF028E" w:rsidRPr="00FF028E" w:rsidRDefault="00FF028E" w:rsidP="00FF028E">
      <w:pPr>
        <w:spacing w:line="360" w:lineRule="auto"/>
        <w:jc w:val="both"/>
        <w:rPr>
          <w:rFonts w:ascii="Arial" w:hAnsi="Arial" w:cs="Arial"/>
          <w:sz w:val="24"/>
          <w:szCs w:val="24"/>
        </w:rPr>
      </w:pPr>
    </w:p>
    <w:p w14:paraId="560FBF5A" w14:textId="77777777" w:rsidR="00FF028E" w:rsidRDefault="00FF028E" w:rsidP="00227920">
      <w:pPr>
        <w:pStyle w:val="Titlu1"/>
      </w:pPr>
      <w:bookmarkStart w:id="6" w:name="_Toc214424505"/>
      <w:r w:rsidRPr="00227920">
        <w:t>Group Member Contributions</w:t>
      </w:r>
      <w:bookmarkEnd w:id="6"/>
    </w:p>
    <w:p w14:paraId="352CC66C" w14:textId="77777777" w:rsidR="00227920" w:rsidRPr="00227920" w:rsidRDefault="00227920" w:rsidP="00227920"/>
    <w:p w14:paraId="11C4F833" w14:textId="6FF3DC12"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The head of the group is A</w:t>
      </w:r>
      <w:r w:rsidR="004D5BA2">
        <w:rPr>
          <w:rFonts w:ascii="Arial" w:hAnsi="Arial" w:cs="Arial"/>
          <w:sz w:val="24"/>
          <w:szCs w:val="24"/>
        </w:rPr>
        <w:t xml:space="preserve">driana Calin </w:t>
      </w:r>
    </w:p>
    <w:p w14:paraId="4C7283A2"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Formatted group meetings, which were introduced and concluded, and that gave overall coherence and structure.</w:t>
      </w:r>
    </w:p>
    <w:p w14:paraId="6030C626"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Cosmin:</w:t>
      </w:r>
    </w:p>
    <w:p w14:paraId="4A2E9A03"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Definitions were written down, the significance of the skills discussed, and major learning theories incorporated.</w:t>
      </w:r>
    </w:p>
    <w:p w14:paraId="78D748BE"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Jaskirat Singh:</w:t>
      </w:r>
    </w:p>
    <w:p w14:paraId="760E9130" w14:textId="77777777" w:rsidR="00FF028E" w:rsidRPr="00FF028E" w:rsidRDefault="00FF028E" w:rsidP="00FF028E">
      <w:pPr>
        <w:spacing w:line="360" w:lineRule="auto"/>
        <w:jc w:val="both"/>
        <w:rPr>
          <w:rFonts w:ascii="Arial" w:hAnsi="Arial" w:cs="Arial"/>
          <w:sz w:val="24"/>
          <w:szCs w:val="24"/>
        </w:rPr>
      </w:pPr>
      <w:r w:rsidRPr="00FF028E">
        <w:rPr>
          <w:rFonts w:ascii="Arial" w:hAnsi="Arial" w:cs="Arial"/>
          <w:sz w:val="24"/>
          <w:szCs w:val="24"/>
        </w:rPr>
        <w:t>Wrote the strategies segments, revised the main body to make it clear, and created the reference list.</w:t>
      </w:r>
    </w:p>
    <w:p w14:paraId="27E4DB7F" w14:textId="77777777" w:rsidR="00FF028E" w:rsidRPr="00227920" w:rsidRDefault="00FF028E" w:rsidP="00227920">
      <w:pPr>
        <w:spacing w:line="360" w:lineRule="auto"/>
        <w:jc w:val="center"/>
        <w:rPr>
          <w:rFonts w:ascii="Arial" w:hAnsi="Arial" w:cs="Arial"/>
          <w:b/>
          <w:sz w:val="24"/>
          <w:szCs w:val="24"/>
        </w:rPr>
      </w:pPr>
      <w:r w:rsidRPr="00227920">
        <w:rPr>
          <w:rFonts w:ascii="Arial" w:hAnsi="Arial" w:cs="Arial"/>
          <w:b/>
          <w:sz w:val="24"/>
          <w:szCs w:val="24"/>
        </w:rPr>
        <w:t>The final submission was also reviewed and approved by all members.</w:t>
      </w:r>
    </w:p>
    <w:p w14:paraId="11C550C2" w14:textId="77777777" w:rsidR="00FF028E" w:rsidRPr="00FF028E" w:rsidRDefault="00FF028E" w:rsidP="00FF028E">
      <w:pPr>
        <w:spacing w:line="360" w:lineRule="auto"/>
        <w:jc w:val="both"/>
        <w:rPr>
          <w:rFonts w:ascii="Arial" w:hAnsi="Arial" w:cs="Arial"/>
          <w:sz w:val="24"/>
          <w:szCs w:val="24"/>
        </w:rPr>
      </w:pPr>
    </w:p>
    <w:p w14:paraId="59B7F01A" w14:textId="77777777" w:rsidR="00FF028E" w:rsidRPr="00FF028E" w:rsidRDefault="00FF028E" w:rsidP="00FF028E">
      <w:pPr>
        <w:spacing w:line="360" w:lineRule="auto"/>
        <w:jc w:val="both"/>
        <w:rPr>
          <w:rFonts w:ascii="Arial" w:hAnsi="Arial" w:cs="Arial"/>
          <w:sz w:val="24"/>
          <w:szCs w:val="24"/>
        </w:rPr>
      </w:pPr>
    </w:p>
    <w:p w14:paraId="0082F62F" w14:textId="77777777" w:rsidR="00FF028E" w:rsidRPr="00FF028E" w:rsidRDefault="00FF028E" w:rsidP="00FF028E">
      <w:pPr>
        <w:spacing w:line="360" w:lineRule="auto"/>
        <w:jc w:val="both"/>
        <w:rPr>
          <w:rFonts w:ascii="Arial" w:hAnsi="Arial" w:cs="Arial"/>
          <w:sz w:val="24"/>
          <w:szCs w:val="24"/>
        </w:rPr>
      </w:pPr>
    </w:p>
    <w:p w14:paraId="3B2B094B" w14:textId="77777777" w:rsidR="00FF028E" w:rsidRPr="00FF028E" w:rsidRDefault="00FF028E" w:rsidP="00FF028E">
      <w:pPr>
        <w:spacing w:line="360" w:lineRule="auto"/>
        <w:jc w:val="both"/>
        <w:rPr>
          <w:rFonts w:ascii="Arial" w:hAnsi="Arial" w:cs="Arial"/>
          <w:sz w:val="24"/>
          <w:szCs w:val="24"/>
        </w:rPr>
      </w:pPr>
    </w:p>
    <w:p w14:paraId="7D106021" w14:textId="77777777" w:rsidR="00FF028E" w:rsidRPr="00FF028E" w:rsidRDefault="00FF028E" w:rsidP="00FF028E">
      <w:pPr>
        <w:spacing w:line="360" w:lineRule="auto"/>
        <w:jc w:val="both"/>
        <w:rPr>
          <w:rFonts w:ascii="Arial" w:hAnsi="Arial" w:cs="Arial"/>
          <w:sz w:val="24"/>
          <w:szCs w:val="24"/>
        </w:rPr>
      </w:pPr>
    </w:p>
    <w:p w14:paraId="7844CE24" w14:textId="77777777" w:rsidR="00FF028E" w:rsidRPr="00FF028E" w:rsidRDefault="00FF028E" w:rsidP="00FF028E">
      <w:pPr>
        <w:spacing w:line="360" w:lineRule="auto"/>
        <w:jc w:val="both"/>
        <w:rPr>
          <w:rFonts w:ascii="Arial" w:hAnsi="Arial" w:cs="Arial"/>
          <w:sz w:val="24"/>
          <w:szCs w:val="24"/>
        </w:rPr>
      </w:pPr>
    </w:p>
    <w:p w14:paraId="02A53A89" w14:textId="77777777" w:rsidR="00FF028E" w:rsidRPr="00FF028E" w:rsidRDefault="00FF028E" w:rsidP="00FF028E">
      <w:pPr>
        <w:spacing w:line="360" w:lineRule="auto"/>
        <w:jc w:val="both"/>
        <w:rPr>
          <w:rFonts w:ascii="Arial" w:hAnsi="Arial" w:cs="Arial"/>
          <w:sz w:val="24"/>
          <w:szCs w:val="24"/>
        </w:rPr>
      </w:pPr>
    </w:p>
    <w:p w14:paraId="17C34C33" w14:textId="77777777" w:rsidR="00FF028E" w:rsidRPr="00FF028E" w:rsidRDefault="00FF028E" w:rsidP="00FF028E">
      <w:pPr>
        <w:spacing w:line="360" w:lineRule="auto"/>
        <w:jc w:val="both"/>
        <w:rPr>
          <w:rFonts w:ascii="Arial" w:hAnsi="Arial" w:cs="Arial"/>
          <w:sz w:val="24"/>
          <w:szCs w:val="24"/>
        </w:rPr>
      </w:pPr>
    </w:p>
    <w:p w14:paraId="3A4EFD5F" w14:textId="77777777" w:rsidR="00FF028E" w:rsidRPr="00FF028E" w:rsidRDefault="00FF028E" w:rsidP="00FF028E">
      <w:pPr>
        <w:spacing w:line="360" w:lineRule="auto"/>
        <w:jc w:val="both"/>
        <w:rPr>
          <w:rFonts w:ascii="Arial" w:hAnsi="Arial" w:cs="Arial"/>
          <w:sz w:val="24"/>
          <w:szCs w:val="24"/>
        </w:rPr>
      </w:pPr>
    </w:p>
    <w:p w14:paraId="035B02E0" w14:textId="77777777" w:rsidR="00FF028E" w:rsidRPr="00FF028E" w:rsidRDefault="00FF028E" w:rsidP="00FF028E">
      <w:pPr>
        <w:spacing w:line="360" w:lineRule="auto"/>
        <w:jc w:val="both"/>
        <w:rPr>
          <w:rFonts w:ascii="Arial" w:hAnsi="Arial" w:cs="Arial"/>
          <w:sz w:val="24"/>
          <w:szCs w:val="24"/>
        </w:rPr>
      </w:pPr>
    </w:p>
    <w:p w14:paraId="558A0B4A" w14:textId="77777777" w:rsidR="00FF028E" w:rsidRPr="00FF028E" w:rsidRDefault="00FF028E" w:rsidP="00FF028E">
      <w:pPr>
        <w:spacing w:line="360" w:lineRule="auto"/>
        <w:jc w:val="both"/>
        <w:rPr>
          <w:rFonts w:ascii="Arial" w:hAnsi="Arial" w:cs="Arial"/>
          <w:sz w:val="24"/>
          <w:szCs w:val="24"/>
        </w:rPr>
      </w:pPr>
    </w:p>
    <w:p w14:paraId="2BDFED67" w14:textId="77777777" w:rsidR="00FF028E" w:rsidRPr="00FF028E" w:rsidRDefault="00FF028E" w:rsidP="00227920">
      <w:pPr>
        <w:pStyle w:val="Titlu1"/>
      </w:pPr>
      <w:bookmarkStart w:id="7" w:name="_Toc214424506"/>
      <w:r w:rsidRPr="00FF028E">
        <w:rPr>
          <w:rStyle w:val="Robust"/>
          <w:rFonts w:ascii="Arial" w:hAnsi="Arial" w:cs="Arial"/>
          <w:b/>
          <w:bCs/>
          <w:sz w:val="24"/>
          <w:szCs w:val="24"/>
        </w:rPr>
        <w:t>References</w:t>
      </w:r>
      <w:bookmarkEnd w:id="7"/>
      <w:r w:rsidRPr="00FF028E">
        <w:rPr>
          <w:rStyle w:val="Robust"/>
          <w:rFonts w:ascii="Arial" w:hAnsi="Arial" w:cs="Arial"/>
          <w:b/>
          <w:bCs/>
          <w:sz w:val="24"/>
          <w:szCs w:val="24"/>
        </w:rPr>
        <w:t xml:space="preserve"> </w:t>
      </w:r>
    </w:p>
    <w:p w14:paraId="48A341E3"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Atkinson, R.C. &amp; Shiffrin, R.M. (1968) ‘Human memory: A proposed system and its control processes’, </w:t>
      </w:r>
      <w:r w:rsidRPr="00FF028E">
        <w:rPr>
          <w:rStyle w:val="Accentuat"/>
          <w:rFonts w:ascii="Arial" w:hAnsi="Arial" w:cs="Arial"/>
        </w:rPr>
        <w:t>Psychology of Learning and Motivation</w:t>
      </w:r>
      <w:r w:rsidRPr="00FF028E">
        <w:rPr>
          <w:rFonts w:ascii="Arial" w:hAnsi="Arial" w:cs="Arial"/>
        </w:rPr>
        <w:t>, 2, pp. 89–195.</w:t>
      </w:r>
    </w:p>
    <w:p w14:paraId="3A238785"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Bailey, S. (2018) </w:t>
      </w:r>
      <w:r w:rsidRPr="00FF028E">
        <w:rPr>
          <w:rStyle w:val="Accentuat"/>
          <w:rFonts w:ascii="Arial" w:hAnsi="Arial" w:cs="Arial"/>
        </w:rPr>
        <w:t>Academic Writing: A Handbook for International Students</w:t>
      </w:r>
      <w:r w:rsidRPr="00FF028E">
        <w:rPr>
          <w:rFonts w:ascii="Arial" w:hAnsi="Arial" w:cs="Arial"/>
        </w:rPr>
        <w:t xml:space="preserve">. 5th </w:t>
      </w:r>
      <w:proofErr w:type="spellStart"/>
      <w:r w:rsidRPr="00FF028E">
        <w:rPr>
          <w:rFonts w:ascii="Arial" w:hAnsi="Arial" w:cs="Arial"/>
        </w:rPr>
        <w:t>edn</w:t>
      </w:r>
      <w:proofErr w:type="spellEnd"/>
      <w:r w:rsidRPr="00FF028E">
        <w:rPr>
          <w:rFonts w:ascii="Arial" w:hAnsi="Arial" w:cs="Arial"/>
        </w:rPr>
        <w:t>. London: Routledge.</w:t>
      </w:r>
    </w:p>
    <w:p w14:paraId="0012BBEF"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Buzan, T. (2018) </w:t>
      </w:r>
      <w:r w:rsidRPr="00FF028E">
        <w:rPr>
          <w:rStyle w:val="Accentuat"/>
          <w:rFonts w:ascii="Arial" w:hAnsi="Arial" w:cs="Arial"/>
        </w:rPr>
        <w:t>The Mind Map Book</w:t>
      </w:r>
      <w:r w:rsidRPr="00FF028E">
        <w:rPr>
          <w:rFonts w:ascii="Arial" w:hAnsi="Arial" w:cs="Arial"/>
        </w:rPr>
        <w:t>. London: BBC Active.</w:t>
      </w:r>
    </w:p>
    <w:p w14:paraId="69C05F4B"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Carnegie, D. (2020) </w:t>
      </w:r>
      <w:r w:rsidRPr="00FF028E">
        <w:rPr>
          <w:rStyle w:val="Accentuat"/>
          <w:rFonts w:ascii="Arial" w:hAnsi="Arial" w:cs="Arial"/>
        </w:rPr>
        <w:t>Effective Communication Skills in the Workplace</w:t>
      </w:r>
      <w:r w:rsidRPr="00FF028E">
        <w:rPr>
          <w:rFonts w:ascii="Arial" w:hAnsi="Arial" w:cs="Arial"/>
        </w:rPr>
        <w:t>. New York: Dale Carnegie Training.</w:t>
      </w:r>
    </w:p>
    <w:p w14:paraId="1414A52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Cottrell, S. (2019) </w:t>
      </w:r>
      <w:r w:rsidRPr="00FF028E">
        <w:rPr>
          <w:rStyle w:val="Accentuat"/>
          <w:rFonts w:ascii="Arial" w:hAnsi="Arial" w:cs="Arial"/>
        </w:rPr>
        <w:t>The Study Skills Handbook</w:t>
      </w:r>
      <w:r w:rsidRPr="00FF028E">
        <w:rPr>
          <w:rFonts w:ascii="Arial" w:hAnsi="Arial" w:cs="Arial"/>
        </w:rPr>
        <w:t xml:space="preserve">. 5th </w:t>
      </w:r>
      <w:proofErr w:type="spellStart"/>
      <w:r w:rsidRPr="00FF028E">
        <w:rPr>
          <w:rFonts w:ascii="Arial" w:hAnsi="Arial" w:cs="Arial"/>
        </w:rPr>
        <w:t>edn</w:t>
      </w:r>
      <w:proofErr w:type="spellEnd"/>
      <w:r w:rsidRPr="00FF028E">
        <w:rPr>
          <w:rFonts w:ascii="Arial" w:hAnsi="Arial" w:cs="Arial"/>
        </w:rPr>
        <w:t>. London: Macmillan.</w:t>
      </w:r>
    </w:p>
    <w:p w14:paraId="77118A28"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Drew, S. &amp; Bingham, R. (2021) </w:t>
      </w:r>
      <w:r w:rsidRPr="00FF028E">
        <w:rPr>
          <w:rStyle w:val="Accentuat"/>
          <w:rFonts w:ascii="Arial" w:hAnsi="Arial" w:cs="Arial"/>
        </w:rPr>
        <w:t>The Guide to Effective Business Writing</w:t>
      </w:r>
      <w:r w:rsidRPr="00FF028E">
        <w:rPr>
          <w:rFonts w:ascii="Arial" w:hAnsi="Arial" w:cs="Arial"/>
        </w:rPr>
        <w:t>. London: Sage.</w:t>
      </w:r>
    </w:p>
    <w:p w14:paraId="76EE266D"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Fry, H., </w:t>
      </w:r>
      <w:proofErr w:type="spellStart"/>
      <w:r w:rsidRPr="00FF028E">
        <w:rPr>
          <w:rFonts w:ascii="Arial" w:hAnsi="Arial" w:cs="Arial"/>
        </w:rPr>
        <w:t>Ketteridge</w:t>
      </w:r>
      <w:proofErr w:type="spellEnd"/>
      <w:r w:rsidRPr="00FF028E">
        <w:rPr>
          <w:rFonts w:ascii="Arial" w:hAnsi="Arial" w:cs="Arial"/>
        </w:rPr>
        <w:t xml:space="preserve">, S. &amp; Marshall, S. (2015) </w:t>
      </w:r>
      <w:r w:rsidRPr="00FF028E">
        <w:rPr>
          <w:rStyle w:val="Accentuat"/>
          <w:rFonts w:ascii="Arial" w:hAnsi="Arial" w:cs="Arial"/>
        </w:rPr>
        <w:t>A Handbook for Teaching and Learning in Higher Education</w:t>
      </w:r>
      <w:r w:rsidRPr="00FF028E">
        <w:rPr>
          <w:rFonts w:ascii="Arial" w:hAnsi="Arial" w:cs="Arial"/>
        </w:rPr>
        <w:t xml:space="preserve">. 4th </w:t>
      </w:r>
      <w:proofErr w:type="spellStart"/>
      <w:r w:rsidRPr="00FF028E">
        <w:rPr>
          <w:rFonts w:ascii="Arial" w:hAnsi="Arial" w:cs="Arial"/>
        </w:rPr>
        <w:t>edn</w:t>
      </w:r>
      <w:proofErr w:type="spellEnd"/>
      <w:r w:rsidRPr="00FF028E">
        <w:rPr>
          <w:rFonts w:ascii="Arial" w:hAnsi="Arial" w:cs="Arial"/>
        </w:rPr>
        <w:t>. London: Routledge.</w:t>
      </w:r>
    </w:p>
    <w:p w14:paraId="29451437"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Gillet, A., Hammond, A. &amp; </w:t>
      </w:r>
      <w:proofErr w:type="spellStart"/>
      <w:r w:rsidRPr="00FF028E">
        <w:rPr>
          <w:rFonts w:ascii="Arial" w:hAnsi="Arial" w:cs="Arial"/>
        </w:rPr>
        <w:t>Martala</w:t>
      </w:r>
      <w:proofErr w:type="spellEnd"/>
      <w:r w:rsidRPr="00FF028E">
        <w:rPr>
          <w:rFonts w:ascii="Arial" w:hAnsi="Arial" w:cs="Arial"/>
        </w:rPr>
        <w:t xml:space="preserve">, M. (2009) </w:t>
      </w:r>
      <w:r w:rsidRPr="00FF028E">
        <w:rPr>
          <w:rStyle w:val="Accentuat"/>
          <w:rFonts w:ascii="Arial" w:hAnsi="Arial" w:cs="Arial"/>
        </w:rPr>
        <w:t>Successful Academic Writing</w:t>
      </w:r>
      <w:r w:rsidRPr="00FF028E">
        <w:rPr>
          <w:rFonts w:ascii="Arial" w:hAnsi="Arial" w:cs="Arial"/>
        </w:rPr>
        <w:t>. Harlow: Pearson.</w:t>
      </w:r>
    </w:p>
    <w:p w14:paraId="5A255C1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Johnson, T. (2022) </w:t>
      </w:r>
      <w:r w:rsidRPr="00FF028E">
        <w:rPr>
          <w:rStyle w:val="Accentuat"/>
          <w:rFonts w:ascii="Arial" w:hAnsi="Arial" w:cs="Arial"/>
        </w:rPr>
        <w:t>Professional Documentation and Workplace Communication</w:t>
      </w:r>
      <w:r w:rsidRPr="00FF028E">
        <w:rPr>
          <w:rFonts w:ascii="Arial" w:hAnsi="Arial" w:cs="Arial"/>
        </w:rPr>
        <w:t>. London: Kogan Page.</w:t>
      </w:r>
    </w:p>
    <w:p w14:paraId="664BD871"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Marton, F. &amp; </w:t>
      </w:r>
      <w:proofErr w:type="spellStart"/>
      <w:r w:rsidRPr="00FF028E">
        <w:rPr>
          <w:rFonts w:ascii="Arial" w:hAnsi="Arial" w:cs="Arial"/>
        </w:rPr>
        <w:t>Säljö</w:t>
      </w:r>
      <w:proofErr w:type="spellEnd"/>
      <w:r w:rsidRPr="00FF028E">
        <w:rPr>
          <w:rFonts w:ascii="Arial" w:hAnsi="Arial" w:cs="Arial"/>
        </w:rPr>
        <w:t xml:space="preserve">, R. (1976) ‘On qualitative differences in learning: I—Outcome and process’, </w:t>
      </w:r>
      <w:r w:rsidRPr="00FF028E">
        <w:rPr>
          <w:rStyle w:val="Accentuat"/>
          <w:rFonts w:ascii="Arial" w:hAnsi="Arial" w:cs="Arial"/>
        </w:rPr>
        <w:t>British Journal of Educational Psychology</w:t>
      </w:r>
      <w:r w:rsidRPr="00FF028E">
        <w:rPr>
          <w:rFonts w:ascii="Arial" w:hAnsi="Arial" w:cs="Arial"/>
        </w:rPr>
        <w:t>, 46(1), pp. 4–11.</w:t>
      </w:r>
    </w:p>
    <w:p w14:paraId="06BB5653"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Mueller, P.A. &amp; Oppenheimer, D.M. (2014) ‘The pen is mightier than the keyboard’, </w:t>
      </w:r>
      <w:r w:rsidRPr="00FF028E">
        <w:rPr>
          <w:rStyle w:val="Accentuat"/>
          <w:rFonts w:ascii="Arial" w:hAnsi="Arial" w:cs="Arial"/>
        </w:rPr>
        <w:t>Psychological Science</w:t>
      </w:r>
      <w:r w:rsidRPr="00FF028E">
        <w:rPr>
          <w:rFonts w:ascii="Arial" w:hAnsi="Arial" w:cs="Arial"/>
        </w:rPr>
        <w:t>, 25(6), pp. 1159–1168.</w:t>
      </w:r>
    </w:p>
    <w:p w14:paraId="5BEB5783"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National Association of Colleges and Employers (2022) ‘Job Outlook Survey: Top Skills for Employability’, </w:t>
      </w:r>
      <w:r w:rsidRPr="00FF028E">
        <w:rPr>
          <w:rStyle w:val="Accentuat"/>
          <w:rFonts w:ascii="Arial" w:hAnsi="Arial" w:cs="Arial"/>
        </w:rPr>
        <w:t>NACE Journal</w:t>
      </w:r>
      <w:r w:rsidRPr="00FF028E">
        <w:rPr>
          <w:rFonts w:ascii="Arial" w:hAnsi="Arial" w:cs="Arial"/>
        </w:rPr>
        <w:t>, 82(4), pp. 20–25.</w:t>
      </w:r>
    </w:p>
    <w:p w14:paraId="6E89209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Neville, C. (2020) </w:t>
      </w:r>
      <w:r w:rsidRPr="00FF028E">
        <w:rPr>
          <w:rStyle w:val="Accentuat"/>
          <w:rFonts w:ascii="Arial" w:hAnsi="Arial" w:cs="Arial"/>
        </w:rPr>
        <w:t>The Complete Guide to Referencing and Avoiding Plagiarism</w:t>
      </w:r>
      <w:r w:rsidRPr="00FF028E">
        <w:rPr>
          <w:rFonts w:ascii="Arial" w:hAnsi="Arial" w:cs="Arial"/>
        </w:rPr>
        <w:t xml:space="preserve">. 3rd </w:t>
      </w:r>
      <w:proofErr w:type="spellStart"/>
      <w:r w:rsidRPr="00FF028E">
        <w:rPr>
          <w:rFonts w:ascii="Arial" w:hAnsi="Arial" w:cs="Arial"/>
        </w:rPr>
        <w:t>edn</w:t>
      </w:r>
      <w:proofErr w:type="spellEnd"/>
      <w:r w:rsidRPr="00FF028E">
        <w:rPr>
          <w:rFonts w:ascii="Arial" w:hAnsi="Arial" w:cs="Arial"/>
        </w:rPr>
        <w:t>. Maidenhead: Open University Press.</w:t>
      </w:r>
    </w:p>
    <w:p w14:paraId="1DB53A0C"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Pears, R. &amp; Shields, G. (2019) </w:t>
      </w:r>
      <w:r w:rsidRPr="00FF028E">
        <w:rPr>
          <w:rStyle w:val="Accentuat"/>
          <w:rFonts w:ascii="Arial" w:hAnsi="Arial" w:cs="Arial"/>
        </w:rPr>
        <w:t>Cite Them Right: The Essential Referencing Guide</w:t>
      </w:r>
      <w:r w:rsidRPr="00FF028E">
        <w:rPr>
          <w:rFonts w:ascii="Arial" w:hAnsi="Arial" w:cs="Arial"/>
        </w:rPr>
        <w:t xml:space="preserve">. 11th </w:t>
      </w:r>
      <w:proofErr w:type="spellStart"/>
      <w:r w:rsidRPr="00FF028E">
        <w:rPr>
          <w:rFonts w:ascii="Arial" w:hAnsi="Arial" w:cs="Arial"/>
        </w:rPr>
        <w:t>edn</w:t>
      </w:r>
      <w:proofErr w:type="spellEnd"/>
      <w:r w:rsidRPr="00FF028E">
        <w:rPr>
          <w:rFonts w:ascii="Arial" w:hAnsi="Arial" w:cs="Arial"/>
        </w:rPr>
        <w:t>. London: Macmillan.</w:t>
      </w:r>
    </w:p>
    <w:p w14:paraId="4C80A085"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PMI (Project Management Institute) (2021) </w:t>
      </w:r>
      <w:r w:rsidRPr="00FF028E">
        <w:rPr>
          <w:rStyle w:val="Accentuat"/>
          <w:rFonts w:ascii="Arial" w:hAnsi="Arial" w:cs="Arial"/>
        </w:rPr>
        <w:t>A Guide to the Project Management Body of Knowledge</w:t>
      </w:r>
      <w:r w:rsidRPr="00FF028E">
        <w:rPr>
          <w:rFonts w:ascii="Arial" w:hAnsi="Arial" w:cs="Arial"/>
        </w:rPr>
        <w:t xml:space="preserve">. 7th </w:t>
      </w:r>
      <w:proofErr w:type="spellStart"/>
      <w:r w:rsidRPr="00FF028E">
        <w:rPr>
          <w:rFonts w:ascii="Arial" w:hAnsi="Arial" w:cs="Arial"/>
        </w:rPr>
        <w:t>edn</w:t>
      </w:r>
      <w:proofErr w:type="spellEnd"/>
      <w:r w:rsidRPr="00FF028E">
        <w:rPr>
          <w:rFonts w:ascii="Arial" w:hAnsi="Arial" w:cs="Arial"/>
        </w:rPr>
        <w:t>. Newtown Square: PMI.</w:t>
      </w:r>
    </w:p>
    <w:p w14:paraId="7D9AF710"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Rowlands, J. (2021) </w:t>
      </w:r>
      <w:r w:rsidRPr="00FF028E">
        <w:rPr>
          <w:rStyle w:val="Accentuat"/>
          <w:rFonts w:ascii="Arial" w:hAnsi="Arial" w:cs="Arial"/>
        </w:rPr>
        <w:t>Learning Skills for University Success</w:t>
      </w:r>
      <w:r w:rsidRPr="00FF028E">
        <w:rPr>
          <w:rFonts w:ascii="Arial" w:hAnsi="Arial" w:cs="Arial"/>
        </w:rPr>
        <w:t>. London: Sage.</w:t>
      </w:r>
    </w:p>
    <w:p w14:paraId="3D051E78"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Stone, M. (2021) </w:t>
      </w:r>
      <w:r w:rsidRPr="00FF028E">
        <w:rPr>
          <w:rStyle w:val="Accentuat"/>
          <w:rFonts w:ascii="Arial" w:hAnsi="Arial" w:cs="Arial"/>
        </w:rPr>
        <w:t>Digital Note-Taking for Productivity</w:t>
      </w:r>
      <w:r w:rsidRPr="00FF028E">
        <w:rPr>
          <w:rFonts w:ascii="Arial" w:hAnsi="Arial" w:cs="Arial"/>
        </w:rPr>
        <w:t>. Oxford: Oxford Productivity Press.</w:t>
      </w:r>
    </w:p>
    <w:p w14:paraId="086EAC9A"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Sweller, J. (1994) ‘Cognitive load theory, learning difficulty, and instructional design’, </w:t>
      </w:r>
      <w:r w:rsidRPr="00FF028E">
        <w:rPr>
          <w:rStyle w:val="Accentuat"/>
          <w:rFonts w:ascii="Arial" w:hAnsi="Arial" w:cs="Arial"/>
        </w:rPr>
        <w:t>Learning and Instruction</w:t>
      </w:r>
      <w:r w:rsidRPr="00FF028E">
        <w:rPr>
          <w:rFonts w:ascii="Arial" w:hAnsi="Arial" w:cs="Arial"/>
        </w:rPr>
        <w:t>, 4(4), pp. 295–312.</w:t>
      </w:r>
    </w:p>
    <w:p w14:paraId="18E03C9B"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Sweller, J. (2010) ‘Cognitive load theory: Recent theoretical advances’, </w:t>
      </w:r>
      <w:r w:rsidRPr="00FF028E">
        <w:rPr>
          <w:rStyle w:val="Accentuat"/>
          <w:rFonts w:ascii="Arial" w:hAnsi="Arial" w:cs="Arial"/>
        </w:rPr>
        <w:t>Cognitive Psychology</w:t>
      </w:r>
      <w:r w:rsidRPr="00FF028E">
        <w:rPr>
          <w:rFonts w:ascii="Arial" w:hAnsi="Arial" w:cs="Arial"/>
        </w:rPr>
        <w:t>, 59(2), pp. 106–116.</w:t>
      </w:r>
    </w:p>
    <w:p w14:paraId="6D81C3AC"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van der Meer, J. (2019) ‘Note-taking for learning’, </w:t>
      </w:r>
      <w:r w:rsidRPr="00FF028E">
        <w:rPr>
          <w:rStyle w:val="Accentuat"/>
          <w:rFonts w:ascii="Arial" w:hAnsi="Arial" w:cs="Arial"/>
        </w:rPr>
        <w:t>Journal of University Teaching &amp; Learning Practice</w:t>
      </w:r>
      <w:r w:rsidRPr="00FF028E">
        <w:rPr>
          <w:rFonts w:ascii="Arial" w:hAnsi="Arial" w:cs="Arial"/>
        </w:rPr>
        <w:t>, 16(2), pp. 1–15.</w:t>
      </w:r>
    </w:p>
    <w:p w14:paraId="263C949F"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van der Meer, J. (2019) ‘Students’ note-taking practices in higher education’, </w:t>
      </w:r>
      <w:r w:rsidRPr="00FF028E">
        <w:rPr>
          <w:rStyle w:val="Accentuat"/>
          <w:rFonts w:ascii="Arial" w:hAnsi="Arial" w:cs="Arial"/>
        </w:rPr>
        <w:t>Journal of Academic Skills Development</w:t>
      </w:r>
      <w:r w:rsidRPr="00FF028E">
        <w:rPr>
          <w:rFonts w:ascii="Arial" w:hAnsi="Arial" w:cs="Arial"/>
        </w:rPr>
        <w:t>, 12(3), pp. 45–58.</w:t>
      </w:r>
    </w:p>
    <w:p w14:paraId="7D1E6A67"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Williams, K. &amp; Eggert, L. (2020) </w:t>
      </w:r>
      <w:r w:rsidRPr="00FF028E">
        <w:rPr>
          <w:rStyle w:val="Accentuat"/>
          <w:rFonts w:ascii="Arial" w:hAnsi="Arial" w:cs="Arial"/>
        </w:rPr>
        <w:t>Study Skills for Students</w:t>
      </w:r>
      <w:r w:rsidRPr="00FF028E">
        <w:rPr>
          <w:rFonts w:ascii="Arial" w:hAnsi="Arial" w:cs="Arial"/>
        </w:rPr>
        <w:t>. London: Routledge.</w:t>
      </w:r>
    </w:p>
    <w:p w14:paraId="12E4FF09"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Williams, R. &amp; Eggert, A. (2020) </w:t>
      </w:r>
      <w:r w:rsidRPr="00FF028E">
        <w:rPr>
          <w:rStyle w:val="Accentuat"/>
          <w:rFonts w:ascii="Arial" w:hAnsi="Arial" w:cs="Arial"/>
        </w:rPr>
        <w:t>Note-Taking Strategies for Academic Success</w:t>
      </w:r>
      <w:r w:rsidRPr="00FF028E">
        <w:rPr>
          <w:rFonts w:ascii="Arial" w:hAnsi="Arial" w:cs="Arial"/>
        </w:rPr>
        <w:t>. Oxford: Oxford University Press.</w:t>
      </w:r>
    </w:p>
    <w:p w14:paraId="7618BB6E" w14:textId="77777777" w:rsidR="00FF028E" w:rsidRPr="00FF028E" w:rsidRDefault="00FF028E" w:rsidP="00FF028E">
      <w:pPr>
        <w:pStyle w:val="NormalWeb"/>
        <w:spacing w:line="360" w:lineRule="auto"/>
        <w:jc w:val="both"/>
        <w:rPr>
          <w:rFonts w:ascii="Arial" w:hAnsi="Arial" w:cs="Arial"/>
        </w:rPr>
      </w:pPr>
      <w:r w:rsidRPr="00FF028E">
        <w:rPr>
          <w:rFonts w:ascii="Arial" w:hAnsi="Arial" w:cs="Arial"/>
        </w:rPr>
        <w:t xml:space="preserve">Zotero (2021) </w:t>
      </w:r>
      <w:r w:rsidRPr="00FF028E">
        <w:rPr>
          <w:rStyle w:val="Accentuat"/>
          <w:rFonts w:ascii="Arial" w:hAnsi="Arial" w:cs="Arial"/>
        </w:rPr>
        <w:t>Guide to Referencing and Citation Management</w:t>
      </w:r>
      <w:r w:rsidRPr="00FF028E">
        <w:rPr>
          <w:rFonts w:ascii="Arial" w:hAnsi="Arial" w:cs="Arial"/>
        </w:rPr>
        <w:t xml:space="preserve">. Available at: </w:t>
      </w:r>
      <w:hyperlink r:id="rId7" w:tgtFrame="_new" w:history="1">
        <w:r w:rsidRPr="00FF028E">
          <w:rPr>
            <w:rStyle w:val="Hyperlink"/>
            <w:rFonts w:ascii="Arial" w:hAnsi="Arial" w:cs="Arial"/>
          </w:rPr>
          <w:t>https://www.zotero.org</w:t>
        </w:r>
      </w:hyperlink>
      <w:r w:rsidRPr="00FF028E">
        <w:rPr>
          <w:rFonts w:ascii="Arial" w:hAnsi="Arial" w:cs="Arial"/>
        </w:rPr>
        <w:t xml:space="preserve"> (Accessed: insert date).</w:t>
      </w:r>
    </w:p>
    <w:p w14:paraId="2DDB6FE3" w14:textId="77777777" w:rsidR="00FF028E" w:rsidRPr="00F321AA" w:rsidRDefault="00FF028E" w:rsidP="00FF028E">
      <w:pPr>
        <w:spacing w:line="360" w:lineRule="auto"/>
        <w:jc w:val="both"/>
        <w:rPr>
          <w:rFonts w:ascii="Arial" w:hAnsi="Arial" w:cs="Arial"/>
          <w:sz w:val="24"/>
        </w:rPr>
      </w:pPr>
    </w:p>
    <w:sectPr w:rsidR="00FF028E" w:rsidRPr="00F321AA" w:rsidSect="00FB7D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32FB0"/>
    <w:multiLevelType w:val="multilevel"/>
    <w:tmpl w:val="0590D6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4A51E8"/>
    <w:multiLevelType w:val="multilevel"/>
    <w:tmpl w:val="7DEE8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D43ED4"/>
    <w:multiLevelType w:val="multilevel"/>
    <w:tmpl w:val="0590D6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D038F0"/>
    <w:multiLevelType w:val="multilevel"/>
    <w:tmpl w:val="35C05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413316"/>
    <w:multiLevelType w:val="multilevel"/>
    <w:tmpl w:val="0590D62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4462878">
    <w:abstractNumId w:val="1"/>
  </w:num>
  <w:num w:numId="2" w16cid:durableId="1570996210">
    <w:abstractNumId w:val="4"/>
  </w:num>
  <w:num w:numId="3" w16cid:durableId="1711033298">
    <w:abstractNumId w:val="2"/>
  </w:num>
  <w:num w:numId="4" w16cid:durableId="2035182631">
    <w:abstractNumId w:val="0"/>
  </w:num>
  <w:num w:numId="5" w16cid:durableId="1332180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0B"/>
    <w:rsid w:val="00095B25"/>
    <w:rsid w:val="00174831"/>
    <w:rsid w:val="001874CC"/>
    <w:rsid w:val="002068FD"/>
    <w:rsid w:val="00227920"/>
    <w:rsid w:val="004D5BA2"/>
    <w:rsid w:val="00556834"/>
    <w:rsid w:val="005C43B7"/>
    <w:rsid w:val="006C5BC8"/>
    <w:rsid w:val="007A400B"/>
    <w:rsid w:val="00867DAE"/>
    <w:rsid w:val="00D7638E"/>
    <w:rsid w:val="00E5233F"/>
    <w:rsid w:val="00EE5EF6"/>
    <w:rsid w:val="00F321AA"/>
    <w:rsid w:val="00FB7D5B"/>
    <w:rsid w:val="00FF0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C6EF7"/>
  <w15:docId w15:val="{6283B14E-D88E-4B45-8B43-2DB5C4142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D5B"/>
  </w:style>
  <w:style w:type="paragraph" w:styleId="Titlu1">
    <w:name w:val="heading 1"/>
    <w:basedOn w:val="Normal"/>
    <w:next w:val="Normal"/>
    <w:link w:val="Titlu1Caracter"/>
    <w:uiPriority w:val="9"/>
    <w:qFormat/>
    <w:rsid w:val="002279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link w:val="Titlu2Caracter"/>
    <w:uiPriority w:val="9"/>
    <w:qFormat/>
    <w:rsid w:val="005C43B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Titlu3">
    <w:name w:val="heading 3"/>
    <w:basedOn w:val="Normal"/>
    <w:link w:val="Titlu3Caracter"/>
    <w:uiPriority w:val="9"/>
    <w:qFormat/>
    <w:rsid w:val="005C43B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5C43B7"/>
    <w:rPr>
      <w:rFonts w:ascii="Times New Roman" w:eastAsia="Times New Roman" w:hAnsi="Times New Roman" w:cs="Times New Roman"/>
      <w:b/>
      <w:bCs/>
      <w:sz w:val="36"/>
      <w:szCs w:val="36"/>
    </w:rPr>
  </w:style>
  <w:style w:type="character" w:customStyle="1" w:styleId="Titlu3Caracter">
    <w:name w:val="Titlu 3 Caracter"/>
    <w:basedOn w:val="Fontdeparagrafimplicit"/>
    <w:link w:val="Titlu3"/>
    <w:uiPriority w:val="9"/>
    <w:rsid w:val="005C43B7"/>
    <w:rPr>
      <w:rFonts w:ascii="Times New Roman" w:eastAsia="Times New Roman" w:hAnsi="Times New Roman" w:cs="Times New Roman"/>
      <w:b/>
      <w:bCs/>
      <w:sz w:val="27"/>
      <w:szCs w:val="27"/>
    </w:rPr>
  </w:style>
  <w:style w:type="character" w:styleId="Robust">
    <w:name w:val="Strong"/>
    <w:basedOn w:val="Fontdeparagrafimplicit"/>
    <w:uiPriority w:val="22"/>
    <w:qFormat/>
    <w:rsid w:val="005C43B7"/>
    <w:rPr>
      <w:b/>
      <w:bCs/>
    </w:rPr>
  </w:style>
  <w:style w:type="paragraph" w:styleId="NormalWeb">
    <w:name w:val="Normal (Web)"/>
    <w:basedOn w:val="Normal"/>
    <w:uiPriority w:val="99"/>
    <w:unhideWhenUsed/>
    <w:rsid w:val="005C43B7"/>
    <w:pPr>
      <w:spacing w:before="100" w:beforeAutospacing="1" w:after="100" w:afterAutospacing="1" w:line="240" w:lineRule="auto"/>
    </w:pPr>
    <w:rPr>
      <w:rFonts w:ascii="Times New Roman" w:eastAsia="Times New Roman" w:hAnsi="Times New Roman" w:cs="Times New Roman"/>
      <w:sz w:val="24"/>
      <w:szCs w:val="24"/>
    </w:rPr>
  </w:style>
  <w:style w:type="character" w:styleId="Accentuat">
    <w:name w:val="Emphasis"/>
    <w:basedOn w:val="Fontdeparagrafimplicit"/>
    <w:uiPriority w:val="20"/>
    <w:qFormat/>
    <w:rsid w:val="005C43B7"/>
    <w:rPr>
      <w:i/>
      <w:iCs/>
    </w:rPr>
  </w:style>
  <w:style w:type="paragraph" w:styleId="Listparagraf">
    <w:name w:val="List Paragraph"/>
    <w:basedOn w:val="Normal"/>
    <w:uiPriority w:val="34"/>
    <w:qFormat/>
    <w:rsid w:val="005C43B7"/>
    <w:pPr>
      <w:ind w:left="720"/>
      <w:contextualSpacing/>
    </w:pPr>
  </w:style>
  <w:style w:type="paragraph" w:styleId="TextnBalon">
    <w:name w:val="Balloon Text"/>
    <w:basedOn w:val="Normal"/>
    <w:link w:val="TextnBalonCaracter"/>
    <w:uiPriority w:val="99"/>
    <w:semiHidden/>
    <w:unhideWhenUsed/>
    <w:rsid w:val="005C43B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C43B7"/>
    <w:rPr>
      <w:rFonts w:ascii="Tahoma" w:hAnsi="Tahoma" w:cs="Tahoma"/>
      <w:sz w:val="16"/>
      <w:szCs w:val="16"/>
    </w:rPr>
  </w:style>
  <w:style w:type="character" w:styleId="Hyperlink">
    <w:name w:val="Hyperlink"/>
    <w:basedOn w:val="Fontdeparagrafimplicit"/>
    <w:uiPriority w:val="99"/>
    <w:unhideWhenUsed/>
    <w:rsid w:val="00FF028E"/>
    <w:rPr>
      <w:color w:val="0000FF"/>
      <w:u w:val="single"/>
    </w:rPr>
  </w:style>
  <w:style w:type="character" w:customStyle="1" w:styleId="Titlu1Caracter">
    <w:name w:val="Titlu 1 Caracter"/>
    <w:basedOn w:val="Fontdeparagrafimplicit"/>
    <w:link w:val="Titlu1"/>
    <w:uiPriority w:val="9"/>
    <w:rsid w:val="00227920"/>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E5233F"/>
    <w:pPr>
      <w:outlineLvl w:val="9"/>
    </w:pPr>
  </w:style>
  <w:style w:type="paragraph" w:styleId="Cuprins2">
    <w:name w:val="toc 2"/>
    <w:basedOn w:val="Normal"/>
    <w:next w:val="Normal"/>
    <w:autoRedefine/>
    <w:uiPriority w:val="39"/>
    <w:unhideWhenUsed/>
    <w:rsid w:val="00E5233F"/>
    <w:pPr>
      <w:spacing w:after="100"/>
      <w:ind w:left="220"/>
    </w:pPr>
  </w:style>
  <w:style w:type="paragraph" w:styleId="Cuprins3">
    <w:name w:val="toc 3"/>
    <w:basedOn w:val="Normal"/>
    <w:next w:val="Normal"/>
    <w:autoRedefine/>
    <w:uiPriority w:val="39"/>
    <w:unhideWhenUsed/>
    <w:rsid w:val="00E5233F"/>
    <w:pPr>
      <w:spacing w:after="100"/>
      <w:ind w:left="440"/>
    </w:pPr>
  </w:style>
  <w:style w:type="paragraph" w:styleId="Cuprins1">
    <w:name w:val="toc 1"/>
    <w:basedOn w:val="Normal"/>
    <w:next w:val="Normal"/>
    <w:autoRedefine/>
    <w:uiPriority w:val="39"/>
    <w:unhideWhenUsed/>
    <w:rsid w:val="00E523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823938">
      <w:bodyDiv w:val="1"/>
      <w:marLeft w:val="0"/>
      <w:marRight w:val="0"/>
      <w:marTop w:val="0"/>
      <w:marBottom w:val="0"/>
      <w:divBdr>
        <w:top w:val="none" w:sz="0" w:space="0" w:color="auto"/>
        <w:left w:val="none" w:sz="0" w:space="0" w:color="auto"/>
        <w:bottom w:val="none" w:sz="0" w:space="0" w:color="auto"/>
        <w:right w:val="none" w:sz="0" w:space="0" w:color="auto"/>
      </w:divBdr>
    </w:div>
    <w:div w:id="575089167">
      <w:bodyDiv w:val="1"/>
      <w:marLeft w:val="0"/>
      <w:marRight w:val="0"/>
      <w:marTop w:val="0"/>
      <w:marBottom w:val="0"/>
      <w:divBdr>
        <w:top w:val="none" w:sz="0" w:space="0" w:color="auto"/>
        <w:left w:val="none" w:sz="0" w:space="0" w:color="auto"/>
        <w:bottom w:val="none" w:sz="0" w:space="0" w:color="auto"/>
        <w:right w:val="none" w:sz="0" w:space="0" w:color="auto"/>
      </w:divBdr>
    </w:div>
    <w:div w:id="1060403129">
      <w:bodyDiv w:val="1"/>
      <w:marLeft w:val="0"/>
      <w:marRight w:val="0"/>
      <w:marTop w:val="0"/>
      <w:marBottom w:val="0"/>
      <w:divBdr>
        <w:top w:val="none" w:sz="0" w:space="0" w:color="auto"/>
        <w:left w:val="none" w:sz="0" w:space="0" w:color="auto"/>
        <w:bottom w:val="none" w:sz="0" w:space="0" w:color="auto"/>
        <w:right w:val="none" w:sz="0" w:space="0" w:color="auto"/>
      </w:divBdr>
    </w:div>
    <w:div w:id="1098909058">
      <w:bodyDiv w:val="1"/>
      <w:marLeft w:val="0"/>
      <w:marRight w:val="0"/>
      <w:marTop w:val="0"/>
      <w:marBottom w:val="0"/>
      <w:divBdr>
        <w:top w:val="none" w:sz="0" w:space="0" w:color="auto"/>
        <w:left w:val="none" w:sz="0" w:space="0" w:color="auto"/>
        <w:bottom w:val="none" w:sz="0" w:space="0" w:color="auto"/>
        <w:right w:val="none" w:sz="0" w:space="0" w:color="auto"/>
      </w:divBdr>
    </w:div>
    <w:div w:id="1161970101">
      <w:bodyDiv w:val="1"/>
      <w:marLeft w:val="0"/>
      <w:marRight w:val="0"/>
      <w:marTop w:val="0"/>
      <w:marBottom w:val="0"/>
      <w:divBdr>
        <w:top w:val="none" w:sz="0" w:space="0" w:color="auto"/>
        <w:left w:val="none" w:sz="0" w:space="0" w:color="auto"/>
        <w:bottom w:val="none" w:sz="0" w:space="0" w:color="auto"/>
        <w:right w:val="none" w:sz="0" w:space="0" w:color="auto"/>
      </w:divBdr>
    </w:div>
    <w:div w:id="1443455915">
      <w:bodyDiv w:val="1"/>
      <w:marLeft w:val="0"/>
      <w:marRight w:val="0"/>
      <w:marTop w:val="0"/>
      <w:marBottom w:val="0"/>
      <w:divBdr>
        <w:top w:val="none" w:sz="0" w:space="0" w:color="auto"/>
        <w:left w:val="none" w:sz="0" w:space="0" w:color="auto"/>
        <w:bottom w:val="none" w:sz="0" w:space="0" w:color="auto"/>
        <w:right w:val="none" w:sz="0" w:space="0" w:color="auto"/>
      </w:divBdr>
    </w:div>
    <w:div w:id="1845051633">
      <w:bodyDiv w:val="1"/>
      <w:marLeft w:val="0"/>
      <w:marRight w:val="0"/>
      <w:marTop w:val="0"/>
      <w:marBottom w:val="0"/>
      <w:divBdr>
        <w:top w:val="none" w:sz="0" w:space="0" w:color="auto"/>
        <w:left w:val="none" w:sz="0" w:space="0" w:color="auto"/>
        <w:bottom w:val="none" w:sz="0" w:space="0" w:color="auto"/>
        <w:right w:val="none" w:sz="0" w:space="0" w:color="auto"/>
      </w:divBdr>
    </w:div>
    <w:div w:id="185972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zotero.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B2914-93AC-484B-AA75-CFAD14DD79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3013</Words>
  <Characters>17478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Adriana Calin (2436786)</cp:lastModifiedBy>
  <cp:revision>3</cp:revision>
  <dcterms:created xsi:type="dcterms:W3CDTF">2025-11-20T13:32:00Z</dcterms:created>
  <dcterms:modified xsi:type="dcterms:W3CDTF">2025-11-20T13:34:00Z</dcterms:modified>
</cp:coreProperties>
</file>