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vsdx" ContentType="application/vnd.ms-visio.drawing"/>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0EA94D" w14:textId="77777777" w:rsidR="00220863" w:rsidRDefault="00220863">
      <w:pPr>
        <w:pStyle w:val="NoSpacing"/>
        <w:rPr>
          <w:rFonts w:ascii="Arial" w:eastAsiaTheme="minorHAnsi" w:hAnsi="Arial"/>
          <w:sz w:val="2"/>
          <w:lang w:val="en-GB"/>
        </w:rPr>
      </w:pPr>
      <w:r>
        <w:rPr>
          <w:rFonts w:ascii="Arial" w:eastAsiaTheme="minorHAnsi" w:hAnsi="Arial"/>
          <w:sz w:val="2"/>
          <w:lang w:val="en-GB"/>
        </w:rPr>
        <w:t xml:space="preserve">+                                                                                                                                                                                                                                                                                             +9           </w:t>
      </w:r>
    </w:p>
    <w:p w14:paraId="0281CC43" w14:textId="77777777" w:rsidR="00220863" w:rsidRDefault="00220863">
      <w:pPr>
        <w:pStyle w:val="NoSpacing"/>
        <w:rPr>
          <w:rFonts w:ascii="Arial" w:eastAsiaTheme="minorHAnsi" w:hAnsi="Arial"/>
          <w:sz w:val="2"/>
          <w:lang w:val="en-GB"/>
        </w:rPr>
      </w:pPr>
      <w:r>
        <w:rPr>
          <w:rFonts w:ascii="Arial" w:eastAsiaTheme="minorHAnsi" w:hAnsi="Arial"/>
          <w:sz w:val="2"/>
          <w:lang w:val="en-GB"/>
        </w:rPr>
        <w:t xml:space="preserve">            </w:t>
      </w:r>
      <w:r>
        <w:rPr>
          <w:rFonts w:ascii="Arial" w:eastAsiaTheme="minorHAnsi" w:hAnsi="Arial"/>
          <w:sz w:val="2"/>
          <w:lang w:val="en-GB"/>
        </w:rPr>
        <w:tab/>
      </w:r>
    </w:p>
    <w:sdt>
      <w:sdtPr>
        <w:rPr>
          <w:rFonts w:ascii="Arial" w:eastAsiaTheme="minorHAnsi" w:hAnsi="Arial"/>
          <w:sz w:val="2"/>
          <w:lang w:val="en-GB"/>
        </w:rPr>
        <w:id w:val="-695843848"/>
        <w:docPartObj>
          <w:docPartGallery w:val="Cover Pages"/>
          <w:docPartUnique/>
        </w:docPartObj>
      </w:sdtPr>
      <w:sdtEndPr>
        <w:rPr>
          <w:sz w:val="22"/>
        </w:rPr>
      </w:sdtEndPr>
      <w:sdtContent>
        <w:p w14:paraId="4885DF49" w14:textId="77777777" w:rsidR="008029BA" w:rsidRDefault="008029BA">
          <w:pPr>
            <w:pStyle w:val="NoSpacing"/>
            <w:rPr>
              <w:sz w:val="2"/>
            </w:rPr>
          </w:pPr>
        </w:p>
        <w:p w14:paraId="52D3CF29" w14:textId="77777777" w:rsidR="008029BA" w:rsidRDefault="008029BA">
          <w:r>
            <w:rPr>
              <w:noProof/>
              <w:lang w:eastAsia="en-GB"/>
            </w:rPr>
            <mc:AlternateContent>
              <mc:Choice Requires="wps">
                <w:drawing>
                  <wp:anchor distT="0" distB="0" distL="114300" distR="114300" simplePos="0" relativeHeight="251661312" behindDoc="0" locked="0" layoutInCell="1" allowOverlap="1" wp14:anchorId="386CEDB5" wp14:editId="2261977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66A190" w14:textId="0EB03E72" w:rsidR="008C301E" w:rsidRDefault="008C301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lang w:val="en-GB"/>
                                      </w:rPr>
                                      <w:t>Introduction of an Advanced Product Quality Planning (APQP) Framework at a low-volume manufacturing company</w:t>
                                    </w:r>
                                  </w:p>
                                </w:sdtContent>
                              </w:sdt>
                              <w:p w14:paraId="2750C683" w14:textId="77777777" w:rsidR="008C301E" w:rsidRDefault="008C301E" w:rsidP="008029BA">
                                <w:pPr>
                                  <w:pStyle w:val="NoSpacing"/>
                                  <w:spacing w:before="120"/>
                                  <w:rPr>
                                    <w:color w:val="5B9BD5" w:themeColor="accent1"/>
                                    <w:sz w:val="36"/>
                                    <w:szCs w:val="36"/>
                                    <w:lang w:val="en-GB"/>
                                  </w:rPr>
                                </w:pPr>
                              </w:p>
                              <w:p w14:paraId="60DC6814" w14:textId="77777777" w:rsidR="008C301E" w:rsidRDefault="008C301E" w:rsidP="008029BA">
                                <w:pPr>
                                  <w:pStyle w:val="NoSpacing"/>
                                  <w:spacing w:before="120"/>
                                  <w:rPr>
                                    <w:noProof/>
                                  </w:rPr>
                                </w:pPr>
                                <w:sdt>
                                  <w:sdtPr>
                                    <w:rPr>
                                      <w:color w:val="5B9BD5"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029BA">
                                      <w:rPr>
                                        <w:color w:val="5B9BD5" w:themeColor="accent1"/>
                                        <w:sz w:val="36"/>
                                        <w:szCs w:val="36"/>
                                        <w:lang w:val="en-GB"/>
                                      </w:rPr>
                                      <w:t>ACMA 6013 - Independent Project</w:t>
                                    </w:r>
                                  </w:sdtContent>
                                </w:sdt>
                                <w:r>
                                  <w:rPr>
                                    <w:noProof/>
                                  </w:rPr>
                                  <w:t xml:space="preserve"> </w:t>
                                </w:r>
                              </w:p>
                              <w:p w14:paraId="0291B4F7" w14:textId="77777777" w:rsidR="008C301E" w:rsidRDefault="008C301E" w:rsidP="008029BA">
                                <w:pPr>
                                  <w:pStyle w:val="NoSpacing"/>
                                  <w:spacing w:before="120"/>
                                  <w:rPr>
                                    <w:noProof/>
                                  </w:rPr>
                                </w:pPr>
                              </w:p>
                              <w:p w14:paraId="2AD81836" w14:textId="77777777" w:rsidR="008C301E" w:rsidRDefault="008C301E" w:rsidP="008029BA">
                                <w:pPr>
                                  <w:pStyle w:val="NoSpacing"/>
                                  <w:spacing w:before="120"/>
                                  <w:rPr>
                                    <w:noProof/>
                                  </w:rPr>
                                </w:pPr>
                              </w:p>
                              <w:p w14:paraId="3F25971A" w14:textId="77777777" w:rsidR="008C301E" w:rsidRPr="008029BA" w:rsidRDefault="008C301E" w:rsidP="00AD209D">
                                <w:pPr>
                                  <w:pStyle w:val="NoSpacing"/>
                                  <w:rPr>
                                    <w:color w:val="5B9BD5" w:themeColor="accent1"/>
                                    <w:sz w:val="36"/>
                                    <w:szCs w:val="36"/>
                                    <w:lang w:val="en-GB"/>
                                  </w:rPr>
                                </w:pPr>
                                <w:r w:rsidRPr="008029BA">
                                  <w:rPr>
                                    <w:color w:val="5B9BD5" w:themeColor="accent1"/>
                                    <w:sz w:val="36"/>
                                    <w:szCs w:val="36"/>
                                    <w:lang w:val="en-GB"/>
                                  </w:rPr>
                                  <w:t>University of Wales Trinity St. David</w:t>
                                </w:r>
                              </w:p>
                              <w:p w14:paraId="202295DE" w14:textId="59F97FC9" w:rsidR="008C301E" w:rsidRDefault="008C301E" w:rsidP="00AD209D">
                                <w:pPr>
                                  <w:pStyle w:val="NoSpacing"/>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5B9BD5" w:themeColor="accent1"/>
                                        <w:sz w:val="36"/>
                                        <w:szCs w:val="36"/>
                                      </w:rPr>
                                      <w:t>BEng (Hons) Manufacturing Systems Engineering</w:t>
                                    </w:r>
                                  </w:sdtContent>
                                </w:sdt>
                              </w:p>
                              <w:p w14:paraId="69DC1BD2" w14:textId="77777777" w:rsidR="008C301E" w:rsidRDefault="008C301E" w:rsidP="008029BA">
                                <w:pPr>
                                  <w:pStyle w:val="NoSpacing"/>
                                  <w:spacing w:before="120"/>
                                  <w:rPr>
                                    <w:color w:val="5B9BD5" w:themeColor="accent1"/>
                                    <w:sz w:val="36"/>
                                    <w:szCs w:val="36"/>
                                  </w:rPr>
                                </w:pPr>
                              </w:p>
                              <w:p w14:paraId="3C242DA4" w14:textId="77777777" w:rsidR="008C301E" w:rsidRDefault="008C30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6CEDB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66A190" w14:textId="0EB03E72" w:rsidR="008C301E" w:rsidRDefault="008C301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lang w:val="en-GB"/>
                                </w:rPr>
                                <w:t>Introduction of an Advanced Product Quality Planning (APQP) Framework at a low-volume manufacturing company</w:t>
                              </w:r>
                            </w:p>
                          </w:sdtContent>
                        </w:sdt>
                        <w:p w14:paraId="2750C683" w14:textId="77777777" w:rsidR="008C301E" w:rsidRDefault="008C301E" w:rsidP="008029BA">
                          <w:pPr>
                            <w:pStyle w:val="NoSpacing"/>
                            <w:spacing w:before="120"/>
                            <w:rPr>
                              <w:color w:val="5B9BD5" w:themeColor="accent1"/>
                              <w:sz w:val="36"/>
                              <w:szCs w:val="36"/>
                              <w:lang w:val="en-GB"/>
                            </w:rPr>
                          </w:pPr>
                        </w:p>
                        <w:p w14:paraId="60DC6814" w14:textId="77777777" w:rsidR="008C301E" w:rsidRDefault="008C301E" w:rsidP="008029BA">
                          <w:pPr>
                            <w:pStyle w:val="NoSpacing"/>
                            <w:spacing w:before="120"/>
                            <w:rPr>
                              <w:noProof/>
                            </w:rPr>
                          </w:pPr>
                          <w:sdt>
                            <w:sdtPr>
                              <w:rPr>
                                <w:color w:val="5B9BD5"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029BA">
                                <w:rPr>
                                  <w:color w:val="5B9BD5" w:themeColor="accent1"/>
                                  <w:sz w:val="36"/>
                                  <w:szCs w:val="36"/>
                                  <w:lang w:val="en-GB"/>
                                </w:rPr>
                                <w:t>ACMA 6013 - Independent Project</w:t>
                              </w:r>
                            </w:sdtContent>
                          </w:sdt>
                          <w:r>
                            <w:rPr>
                              <w:noProof/>
                            </w:rPr>
                            <w:t xml:space="preserve"> </w:t>
                          </w:r>
                        </w:p>
                        <w:p w14:paraId="0291B4F7" w14:textId="77777777" w:rsidR="008C301E" w:rsidRDefault="008C301E" w:rsidP="008029BA">
                          <w:pPr>
                            <w:pStyle w:val="NoSpacing"/>
                            <w:spacing w:before="120"/>
                            <w:rPr>
                              <w:noProof/>
                            </w:rPr>
                          </w:pPr>
                        </w:p>
                        <w:p w14:paraId="2AD81836" w14:textId="77777777" w:rsidR="008C301E" w:rsidRDefault="008C301E" w:rsidP="008029BA">
                          <w:pPr>
                            <w:pStyle w:val="NoSpacing"/>
                            <w:spacing w:before="120"/>
                            <w:rPr>
                              <w:noProof/>
                            </w:rPr>
                          </w:pPr>
                        </w:p>
                        <w:p w14:paraId="3F25971A" w14:textId="77777777" w:rsidR="008C301E" w:rsidRPr="008029BA" w:rsidRDefault="008C301E" w:rsidP="00AD209D">
                          <w:pPr>
                            <w:pStyle w:val="NoSpacing"/>
                            <w:rPr>
                              <w:color w:val="5B9BD5" w:themeColor="accent1"/>
                              <w:sz w:val="36"/>
                              <w:szCs w:val="36"/>
                              <w:lang w:val="en-GB"/>
                            </w:rPr>
                          </w:pPr>
                          <w:r w:rsidRPr="008029BA">
                            <w:rPr>
                              <w:color w:val="5B9BD5" w:themeColor="accent1"/>
                              <w:sz w:val="36"/>
                              <w:szCs w:val="36"/>
                              <w:lang w:val="en-GB"/>
                            </w:rPr>
                            <w:t>University of Wales Trinity St. David</w:t>
                          </w:r>
                        </w:p>
                        <w:p w14:paraId="202295DE" w14:textId="59F97FC9" w:rsidR="008C301E" w:rsidRDefault="008C301E" w:rsidP="00AD209D">
                          <w:pPr>
                            <w:pStyle w:val="NoSpacing"/>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5B9BD5" w:themeColor="accent1"/>
                                  <w:sz w:val="36"/>
                                  <w:szCs w:val="36"/>
                                </w:rPr>
                                <w:t>BEng (Hons) Manufacturing Systems Engineering</w:t>
                              </w:r>
                            </w:sdtContent>
                          </w:sdt>
                        </w:p>
                        <w:p w14:paraId="69DC1BD2" w14:textId="77777777" w:rsidR="008C301E" w:rsidRDefault="008C301E" w:rsidP="008029BA">
                          <w:pPr>
                            <w:pStyle w:val="NoSpacing"/>
                            <w:spacing w:before="120"/>
                            <w:rPr>
                              <w:color w:val="5B9BD5" w:themeColor="accent1"/>
                              <w:sz w:val="36"/>
                              <w:szCs w:val="36"/>
                            </w:rPr>
                          </w:pPr>
                        </w:p>
                        <w:p w14:paraId="3C242DA4" w14:textId="77777777" w:rsidR="008C301E" w:rsidRDefault="008C301E"/>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73FE58CD" wp14:editId="7FA1A1B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914EB0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6C4C875" wp14:editId="764B238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36"/>
                                    <w:szCs w:val="36"/>
                                  </w:rPr>
                                  <w:alias w:val="Author"/>
                                  <w:tag w:val=""/>
                                  <w:id w:val="-230149073"/>
                                  <w:dataBinding w:prefixMappings="xmlns:ns0='http://purl.org/dc/elements/1.1/' xmlns:ns1='http://schemas.openxmlformats.org/package/2006/metadata/core-properties' " w:xpath="/ns1:coreProperties[1]/ns0:creator[1]" w:storeItemID="{6C3C8BC8-F283-45AE-878A-BAB7291924A1}"/>
                                  <w:text/>
                                </w:sdtPr>
                                <w:sdtContent>
                                  <w:p w14:paraId="07360087" w14:textId="77777777" w:rsidR="008C301E" w:rsidRDefault="008C301E" w:rsidP="008029BA">
                                    <w:pPr>
                                      <w:pStyle w:val="NoSpacing"/>
                                      <w:jc w:val="right"/>
                                      <w:rPr>
                                        <w:color w:val="5B9BD5" w:themeColor="accent1"/>
                                        <w:sz w:val="36"/>
                                        <w:szCs w:val="36"/>
                                      </w:rPr>
                                    </w:pPr>
                                    <w:r>
                                      <w:rPr>
                                        <w:color w:val="5B9BD5" w:themeColor="accent1"/>
                                        <w:sz w:val="36"/>
                                        <w:szCs w:val="36"/>
                                      </w:rPr>
                                      <w:t>EVANS Owen (SAFRAN SEATS)</w:t>
                                    </w:r>
                                  </w:p>
                                </w:sdtContent>
                              </w:sdt>
                              <w:sdt>
                                <w:sdtPr>
                                  <w:rPr>
                                    <w:color w:val="5B9BD5" w:themeColor="accent1"/>
                                    <w:sz w:val="36"/>
                                    <w:szCs w:val="36"/>
                                  </w:rPr>
                                  <w:alias w:val="Publish Date"/>
                                  <w:tag w:val=""/>
                                  <w:id w:val="527145130"/>
                                  <w:dataBinding w:prefixMappings="xmlns:ns0='http://schemas.microsoft.com/office/2006/coverPageProps' " w:xpath="/ns0:CoverPageProperties[1]/ns0:PublishDate[1]" w:storeItemID="{55AF091B-3C7A-41E3-B477-F2FDAA23CFDA}"/>
                                  <w:date w:fullDate="2023-06-16T00:00:00Z">
                                    <w:dateFormat w:val="dd/MM/yyyy"/>
                                    <w:lid w:val="en-GB"/>
                                    <w:storeMappedDataAs w:val="dateTime"/>
                                    <w:calendar w:val="gregorian"/>
                                  </w:date>
                                </w:sdtPr>
                                <w:sdtContent>
                                  <w:p w14:paraId="3DBEFB1B" w14:textId="3C609CDF" w:rsidR="008C301E" w:rsidRDefault="008C301E" w:rsidP="008029BA">
                                    <w:pPr>
                                      <w:pStyle w:val="NoSpacing"/>
                                      <w:jc w:val="right"/>
                                      <w:rPr>
                                        <w:color w:val="5B9BD5" w:themeColor="accent1"/>
                                        <w:sz w:val="36"/>
                                        <w:szCs w:val="36"/>
                                      </w:rPr>
                                    </w:pPr>
                                    <w:r>
                                      <w:rPr>
                                        <w:color w:val="5B9BD5" w:themeColor="accent1"/>
                                        <w:sz w:val="36"/>
                                        <w:szCs w:val="36"/>
                                      </w:rPr>
                                      <w:t>16</w:t>
                                    </w:r>
                                    <w:r>
                                      <w:rPr>
                                        <w:color w:val="5B9BD5" w:themeColor="accent1"/>
                                        <w:sz w:val="36"/>
                                        <w:szCs w:val="36"/>
                                        <w:lang w:val="en-GB"/>
                                      </w:rPr>
                                      <w:t>/06/2023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6C4C87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sdt>
                          <w:sdtPr>
                            <w:rPr>
                              <w:color w:val="5B9BD5" w:themeColor="accent1"/>
                              <w:sz w:val="36"/>
                              <w:szCs w:val="36"/>
                            </w:rPr>
                            <w:alias w:val="Author"/>
                            <w:tag w:val=""/>
                            <w:id w:val="-230149073"/>
                            <w:dataBinding w:prefixMappings="xmlns:ns0='http://purl.org/dc/elements/1.1/' xmlns:ns1='http://schemas.openxmlformats.org/package/2006/metadata/core-properties' " w:xpath="/ns1:coreProperties[1]/ns0:creator[1]" w:storeItemID="{6C3C8BC8-F283-45AE-878A-BAB7291924A1}"/>
                            <w:text/>
                          </w:sdtPr>
                          <w:sdtContent>
                            <w:p w14:paraId="07360087" w14:textId="77777777" w:rsidR="008C301E" w:rsidRDefault="008C301E" w:rsidP="008029BA">
                              <w:pPr>
                                <w:pStyle w:val="NoSpacing"/>
                                <w:jc w:val="right"/>
                                <w:rPr>
                                  <w:color w:val="5B9BD5" w:themeColor="accent1"/>
                                  <w:sz w:val="36"/>
                                  <w:szCs w:val="36"/>
                                </w:rPr>
                              </w:pPr>
                              <w:r>
                                <w:rPr>
                                  <w:color w:val="5B9BD5" w:themeColor="accent1"/>
                                  <w:sz w:val="36"/>
                                  <w:szCs w:val="36"/>
                                </w:rPr>
                                <w:t>EVANS Owen (SAFRAN SEATS)</w:t>
                              </w:r>
                            </w:p>
                          </w:sdtContent>
                        </w:sdt>
                        <w:sdt>
                          <w:sdtPr>
                            <w:rPr>
                              <w:color w:val="5B9BD5" w:themeColor="accent1"/>
                              <w:sz w:val="36"/>
                              <w:szCs w:val="36"/>
                            </w:rPr>
                            <w:alias w:val="Publish Date"/>
                            <w:tag w:val=""/>
                            <w:id w:val="527145130"/>
                            <w:dataBinding w:prefixMappings="xmlns:ns0='http://schemas.microsoft.com/office/2006/coverPageProps' " w:xpath="/ns0:CoverPageProperties[1]/ns0:PublishDate[1]" w:storeItemID="{55AF091B-3C7A-41E3-B477-F2FDAA23CFDA}"/>
                            <w:date w:fullDate="2023-06-16T00:00:00Z">
                              <w:dateFormat w:val="dd/MM/yyyy"/>
                              <w:lid w:val="en-GB"/>
                              <w:storeMappedDataAs w:val="dateTime"/>
                              <w:calendar w:val="gregorian"/>
                            </w:date>
                          </w:sdtPr>
                          <w:sdtContent>
                            <w:p w14:paraId="3DBEFB1B" w14:textId="3C609CDF" w:rsidR="008C301E" w:rsidRDefault="008C301E" w:rsidP="008029BA">
                              <w:pPr>
                                <w:pStyle w:val="NoSpacing"/>
                                <w:jc w:val="right"/>
                                <w:rPr>
                                  <w:color w:val="5B9BD5" w:themeColor="accent1"/>
                                  <w:sz w:val="36"/>
                                  <w:szCs w:val="36"/>
                                </w:rPr>
                              </w:pPr>
                              <w:r>
                                <w:rPr>
                                  <w:color w:val="5B9BD5" w:themeColor="accent1"/>
                                  <w:sz w:val="36"/>
                                  <w:szCs w:val="36"/>
                                </w:rPr>
                                <w:t>16</w:t>
                              </w:r>
                              <w:r>
                                <w:rPr>
                                  <w:color w:val="5B9BD5" w:themeColor="accent1"/>
                                  <w:sz w:val="36"/>
                                  <w:szCs w:val="36"/>
                                  <w:lang w:val="en-GB"/>
                                </w:rPr>
                                <w:t>/06/2023</w:t>
                              </w:r>
                            </w:p>
                          </w:sdtContent>
                        </w:sdt>
                      </w:txbxContent>
                    </v:textbox>
                    <w10:wrap anchorx="page" anchory="margin"/>
                  </v:shape>
                </w:pict>
              </mc:Fallback>
            </mc:AlternateContent>
          </w:r>
        </w:p>
        <w:p w14:paraId="22BF27FF" w14:textId="77777777" w:rsidR="008029BA" w:rsidRDefault="008029BA">
          <w:pPr>
            <w:spacing w:line="259" w:lineRule="auto"/>
          </w:pPr>
          <w:r>
            <w:br w:type="page"/>
          </w:r>
        </w:p>
      </w:sdtContent>
    </w:sdt>
    <w:p w14:paraId="1A6E1BC9" w14:textId="77777777" w:rsidR="00872440" w:rsidRDefault="00872440" w:rsidP="00872440">
      <w:pPr>
        <w:pStyle w:val="Heading1"/>
      </w:pPr>
      <w:bookmarkStart w:id="0" w:name="_Toc137807585"/>
      <w:r w:rsidRPr="00872440">
        <w:lastRenderedPageBreak/>
        <w:t>Declaration of Authenticity</w:t>
      </w:r>
      <w:bookmarkEnd w:id="0"/>
    </w:p>
    <w:p w14:paraId="0D2C9FB3" w14:textId="77777777" w:rsidR="00872440" w:rsidRDefault="00872440" w:rsidP="00872440"/>
    <w:p w14:paraId="03F759EB" w14:textId="77777777" w:rsidR="00872440" w:rsidRDefault="00872440" w:rsidP="00872440">
      <w:r>
        <w:t>‘This thesis is the result of the author’s original research. It has been composed by the author and has not been previously submitted for examination which has led to the award of a degree.’</w:t>
      </w:r>
    </w:p>
    <w:p w14:paraId="43412F36" w14:textId="77777777" w:rsidR="00872440" w:rsidRDefault="00872440" w:rsidP="00872440"/>
    <w:p w14:paraId="36BD1637" w14:textId="77777777" w:rsidR="00872440" w:rsidRDefault="00872440" w:rsidP="00872440"/>
    <w:p w14:paraId="0F0A0F87" w14:textId="37D6D9CF" w:rsidR="00872440" w:rsidRDefault="00872440" w:rsidP="00872440">
      <w:r>
        <w:t xml:space="preserve">Signed: </w:t>
      </w:r>
      <w:r w:rsidR="00184290">
        <w:rPr>
          <w:noProof/>
          <w:lang w:eastAsia="en-GB"/>
        </w:rPr>
        <w:drawing>
          <wp:inline distT="0" distB="0" distL="0" distR="0" wp14:anchorId="486EA175" wp14:editId="760296EA">
            <wp:extent cx="1333686" cy="419158"/>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Dim Report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333686" cy="419158"/>
                    </a:xfrm>
                    <a:prstGeom prst="rect">
                      <a:avLst/>
                    </a:prstGeom>
                  </pic:spPr>
                </pic:pic>
              </a:graphicData>
            </a:graphic>
          </wp:inline>
        </w:drawing>
      </w:r>
      <w:r>
        <w:tab/>
      </w:r>
      <w:r>
        <w:tab/>
      </w:r>
      <w:r>
        <w:tab/>
      </w:r>
      <w:r>
        <w:tab/>
      </w:r>
      <w:r>
        <w:tab/>
        <w:t>Date:</w:t>
      </w:r>
      <w:r w:rsidR="00184290">
        <w:t xml:space="preserve"> 16-06-2023</w:t>
      </w:r>
      <w:r>
        <w:br w:type="page"/>
      </w:r>
    </w:p>
    <w:sdt>
      <w:sdtPr>
        <w:rPr>
          <w:rFonts w:ascii="Arial" w:eastAsiaTheme="minorHAnsi" w:hAnsi="Arial" w:cstheme="minorBidi"/>
          <w:color w:val="auto"/>
          <w:sz w:val="22"/>
          <w:szCs w:val="22"/>
          <w:lang w:val="en-GB"/>
        </w:rPr>
        <w:id w:val="-149594659"/>
        <w:docPartObj>
          <w:docPartGallery w:val="Table of Contents"/>
          <w:docPartUnique/>
        </w:docPartObj>
      </w:sdtPr>
      <w:sdtEndPr>
        <w:rPr>
          <w:b/>
          <w:bCs/>
          <w:noProof/>
        </w:rPr>
      </w:sdtEndPr>
      <w:sdtContent>
        <w:p w14:paraId="100275D4" w14:textId="77777777" w:rsidR="00872440" w:rsidRDefault="00872440">
          <w:pPr>
            <w:pStyle w:val="TOCHeading"/>
          </w:pPr>
          <w:r>
            <w:t>Contents</w:t>
          </w:r>
        </w:p>
        <w:p w14:paraId="496EF9F1" w14:textId="77777777" w:rsidR="0084346A" w:rsidRPr="0084346A" w:rsidRDefault="0084346A" w:rsidP="0084346A">
          <w:pPr>
            <w:rPr>
              <w:lang w:val="en-US"/>
            </w:rPr>
          </w:pPr>
        </w:p>
        <w:p w14:paraId="48E77BCB" w14:textId="3CE8E756" w:rsidR="008C301E" w:rsidRDefault="00872440">
          <w:pPr>
            <w:pStyle w:val="TOC1"/>
            <w:tabs>
              <w:tab w:val="right" w:leader="dot" w:pos="10185"/>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7807585" w:history="1">
            <w:r w:rsidR="008C301E" w:rsidRPr="00A411F6">
              <w:rPr>
                <w:rStyle w:val="Hyperlink"/>
                <w:noProof/>
              </w:rPr>
              <w:t>Declaration of Authenticity</w:t>
            </w:r>
            <w:r w:rsidR="008C301E">
              <w:rPr>
                <w:noProof/>
                <w:webHidden/>
              </w:rPr>
              <w:tab/>
            </w:r>
            <w:r w:rsidR="008C301E">
              <w:rPr>
                <w:noProof/>
                <w:webHidden/>
              </w:rPr>
              <w:fldChar w:fldCharType="begin"/>
            </w:r>
            <w:r w:rsidR="008C301E">
              <w:rPr>
                <w:noProof/>
                <w:webHidden/>
              </w:rPr>
              <w:instrText xml:space="preserve"> PAGEREF _Toc137807585 \h </w:instrText>
            </w:r>
            <w:r w:rsidR="008C301E">
              <w:rPr>
                <w:noProof/>
                <w:webHidden/>
              </w:rPr>
            </w:r>
            <w:r w:rsidR="008C301E">
              <w:rPr>
                <w:noProof/>
                <w:webHidden/>
              </w:rPr>
              <w:fldChar w:fldCharType="separate"/>
            </w:r>
            <w:r w:rsidR="008C301E">
              <w:rPr>
                <w:noProof/>
                <w:webHidden/>
              </w:rPr>
              <w:t>1</w:t>
            </w:r>
            <w:r w:rsidR="008C301E">
              <w:rPr>
                <w:noProof/>
                <w:webHidden/>
              </w:rPr>
              <w:fldChar w:fldCharType="end"/>
            </w:r>
          </w:hyperlink>
        </w:p>
        <w:p w14:paraId="7385000C" w14:textId="681226F8" w:rsidR="008C301E" w:rsidRDefault="008C301E">
          <w:pPr>
            <w:pStyle w:val="TOC1"/>
            <w:tabs>
              <w:tab w:val="right" w:leader="dot" w:pos="10185"/>
            </w:tabs>
            <w:rPr>
              <w:rFonts w:asciiTheme="minorHAnsi" w:eastAsiaTheme="minorEastAsia" w:hAnsiTheme="minorHAnsi"/>
              <w:noProof/>
              <w:lang w:eastAsia="en-GB"/>
            </w:rPr>
          </w:pPr>
          <w:hyperlink w:anchor="_Toc137807586" w:history="1">
            <w:r w:rsidRPr="00A411F6">
              <w:rPr>
                <w:rStyle w:val="Hyperlink"/>
                <w:noProof/>
              </w:rPr>
              <w:t>List of Figures</w:t>
            </w:r>
            <w:r>
              <w:rPr>
                <w:noProof/>
                <w:webHidden/>
              </w:rPr>
              <w:tab/>
            </w:r>
            <w:r>
              <w:rPr>
                <w:noProof/>
                <w:webHidden/>
              </w:rPr>
              <w:fldChar w:fldCharType="begin"/>
            </w:r>
            <w:r>
              <w:rPr>
                <w:noProof/>
                <w:webHidden/>
              </w:rPr>
              <w:instrText xml:space="preserve"> PAGEREF _Toc137807586 \h </w:instrText>
            </w:r>
            <w:r>
              <w:rPr>
                <w:noProof/>
                <w:webHidden/>
              </w:rPr>
            </w:r>
            <w:r>
              <w:rPr>
                <w:noProof/>
                <w:webHidden/>
              </w:rPr>
              <w:fldChar w:fldCharType="separate"/>
            </w:r>
            <w:r>
              <w:rPr>
                <w:noProof/>
                <w:webHidden/>
              </w:rPr>
              <w:t>4</w:t>
            </w:r>
            <w:r>
              <w:rPr>
                <w:noProof/>
                <w:webHidden/>
              </w:rPr>
              <w:fldChar w:fldCharType="end"/>
            </w:r>
          </w:hyperlink>
        </w:p>
        <w:p w14:paraId="505FBC60" w14:textId="120C4186" w:rsidR="008C301E" w:rsidRDefault="008C301E">
          <w:pPr>
            <w:pStyle w:val="TOC1"/>
            <w:tabs>
              <w:tab w:val="right" w:leader="dot" w:pos="10185"/>
            </w:tabs>
            <w:rPr>
              <w:rFonts w:asciiTheme="minorHAnsi" w:eastAsiaTheme="minorEastAsia" w:hAnsiTheme="minorHAnsi"/>
              <w:noProof/>
              <w:lang w:eastAsia="en-GB"/>
            </w:rPr>
          </w:pPr>
          <w:hyperlink w:anchor="_Toc137807587" w:history="1">
            <w:r w:rsidRPr="00A411F6">
              <w:rPr>
                <w:rStyle w:val="Hyperlink"/>
                <w:noProof/>
              </w:rPr>
              <w:t>Acronym section</w:t>
            </w:r>
            <w:r>
              <w:rPr>
                <w:noProof/>
                <w:webHidden/>
              </w:rPr>
              <w:tab/>
            </w:r>
            <w:r>
              <w:rPr>
                <w:noProof/>
                <w:webHidden/>
              </w:rPr>
              <w:fldChar w:fldCharType="begin"/>
            </w:r>
            <w:r>
              <w:rPr>
                <w:noProof/>
                <w:webHidden/>
              </w:rPr>
              <w:instrText xml:space="preserve"> PAGEREF _Toc137807587 \h </w:instrText>
            </w:r>
            <w:r>
              <w:rPr>
                <w:noProof/>
                <w:webHidden/>
              </w:rPr>
            </w:r>
            <w:r>
              <w:rPr>
                <w:noProof/>
                <w:webHidden/>
              </w:rPr>
              <w:fldChar w:fldCharType="separate"/>
            </w:r>
            <w:r>
              <w:rPr>
                <w:noProof/>
                <w:webHidden/>
              </w:rPr>
              <w:t>6</w:t>
            </w:r>
            <w:r>
              <w:rPr>
                <w:noProof/>
                <w:webHidden/>
              </w:rPr>
              <w:fldChar w:fldCharType="end"/>
            </w:r>
          </w:hyperlink>
        </w:p>
        <w:p w14:paraId="03CA9DFF" w14:textId="635BBBF1"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588" w:history="1">
            <w:r w:rsidRPr="00A411F6">
              <w:rPr>
                <w:rStyle w:val="Hyperlink"/>
                <w:noProof/>
              </w:rPr>
              <w:t>1.</w:t>
            </w:r>
            <w:r>
              <w:rPr>
                <w:rFonts w:asciiTheme="minorHAnsi" w:eastAsiaTheme="minorEastAsia" w:hAnsiTheme="minorHAnsi"/>
                <w:noProof/>
                <w:lang w:eastAsia="en-GB"/>
              </w:rPr>
              <w:tab/>
            </w:r>
            <w:r w:rsidRPr="00A411F6">
              <w:rPr>
                <w:rStyle w:val="Hyperlink"/>
                <w:noProof/>
              </w:rPr>
              <w:t>Abstract</w:t>
            </w:r>
            <w:r>
              <w:rPr>
                <w:noProof/>
                <w:webHidden/>
              </w:rPr>
              <w:tab/>
            </w:r>
            <w:r>
              <w:rPr>
                <w:noProof/>
                <w:webHidden/>
              </w:rPr>
              <w:fldChar w:fldCharType="begin"/>
            </w:r>
            <w:r>
              <w:rPr>
                <w:noProof/>
                <w:webHidden/>
              </w:rPr>
              <w:instrText xml:space="preserve"> PAGEREF _Toc137807588 \h </w:instrText>
            </w:r>
            <w:r>
              <w:rPr>
                <w:noProof/>
                <w:webHidden/>
              </w:rPr>
            </w:r>
            <w:r>
              <w:rPr>
                <w:noProof/>
                <w:webHidden/>
              </w:rPr>
              <w:fldChar w:fldCharType="separate"/>
            </w:r>
            <w:r>
              <w:rPr>
                <w:noProof/>
                <w:webHidden/>
              </w:rPr>
              <w:t>7</w:t>
            </w:r>
            <w:r>
              <w:rPr>
                <w:noProof/>
                <w:webHidden/>
              </w:rPr>
              <w:fldChar w:fldCharType="end"/>
            </w:r>
          </w:hyperlink>
        </w:p>
        <w:p w14:paraId="0F1C016D" w14:textId="36026244"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589" w:history="1">
            <w:r w:rsidRPr="00A411F6">
              <w:rPr>
                <w:rStyle w:val="Hyperlink"/>
                <w:noProof/>
              </w:rPr>
              <w:t>2.</w:t>
            </w:r>
            <w:r>
              <w:rPr>
                <w:rFonts w:asciiTheme="minorHAnsi" w:eastAsiaTheme="minorEastAsia" w:hAnsiTheme="minorHAnsi"/>
                <w:noProof/>
                <w:lang w:eastAsia="en-GB"/>
              </w:rPr>
              <w:tab/>
            </w:r>
            <w:r w:rsidRPr="00A411F6">
              <w:rPr>
                <w:rStyle w:val="Hyperlink"/>
                <w:noProof/>
              </w:rPr>
              <w:t>Aims and objectives</w:t>
            </w:r>
            <w:r>
              <w:rPr>
                <w:noProof/>
                <w:webHidden/>
              </w:rPr>
              <w:tab/>
            </w:r>
            <w:r>
              <w:rPr>
                <w:noProof/>
                <w:webHidden/>
              </w:rPr>
              <w:fldChar w:fldCharType="begin"/>
            </w:r>
            <w:r>
              <w:rPr>
                <w:noProof/>
                <w:webHidden/>
              </w:rPr>
              <w:instrText xml:space="preserve"> PAGEREF _Toc137807589 \h </w:instrText>
            </w:r>
            <w:r>
              <w:rPr>
                <w:noProof/>
                <w:webHidden/>
              </w:rPr>
            </w:r>
            <w:r>
              <w:rPr>
                <w:noProof/>
                <w:webHidden/>
              </w:rPr>
              <w:fldChar w:fldCharType="separate"/>
            </w:r>
            <w:r>
              <w:rPr>
                <w:noProof/>
                <w:webHidden/>
              </w:rPr>
              <w:t>8</w:t>
            </w:r>
            <w:r>
              <w:rPr>
                <w:noProof/>
                <w:webHidden/>
              </w:rPr>
              <w:fldChar w:fldCharType="end"/>
            </w:r>
          </w:hyperlink>
        </w:p>
        <w:p w14:paraId="406F7882" w14:textId="1542B215"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590" w:history="1">
            <w:r w:rsidRPr="00A411F6">
              <w:rPr>
                <w:rStyle w:val="Hyperlink"/>
                <w:noProof/>
              </w:rPr>
              <w:t>3.</w:t>
            </w:r>
            <w:r>
              <w:rPr>
                <w:rFonts w:asciiTheme="minorHAnsi" w:eastAsiaTheme="minorEastAsia" w:hAnsiTheme="minorHAnsi"/>
                <w:noProof/>
                <w:lang w:eastAsia="en-GB"/>
              </w:rPr>
              <w:tab/>
            </w:r>
            <w:r w:rsidRPr="00A411F6">
              <w:rPr>
                <w:rStyle w:val="Hyperlink"/>
                <w:noProof/>
              </w:rPr>
              <w:t>Timing plan</w:t>
            </w:r>
            <w:r>
              <w:rPr>
                <w:noProof/>
                <w:webHidden/>
              </w:rPr>
              <w:tab/>
            </w:r>
            <w:r>
              <w:rPr>
                <w:noProof/>
                <w:webHidden/>
              </w:rPr>
              <w:fldChar w:fldCharType="begin"/>
            </w:r>
            <w:r>
              <w:rPr>
                <w:noProof/>
                <w:webHidden/>
              </w:rPr>
              <w:instrText xml:space="preserve"> PAGEREF _Toc137807590 \h </w:instrText>
            </w:r>
            <w:r>
              <w:rPr>
                <w:noProof/>
                <w:webHidden/>
              </w:rPr>
            </w:r>
            <w:r>
              <w:rPr>
                <w:noProof/>
                <w:webHidden/>
              </w:rPr>
              <w:fldChar w:fldCharType="separate"/>
            </w:r>
            <w:r>
              <w:rPr>
                <w:noProof/>
                <w:webHidden/>
              </w:rPr>
              <w:t>11</w:t>
            </w:r>
            <w:r>
              <w:rPr>
                <w:noProof/>
                <w:webHidden/>
              </w:rPr>
              <w:fldChar w:fldCharType="end"/>
            </w:r>
          </w:hyperlink>
        </w:p>
        <w:p w14:paraId="0F6ED8C3" w14:textId="01B61418"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591" w:history="1">
            <w:r w:rsidRPr="00A411F6">
              <w:rPr>
                <w:rStyle w:val="Hyperlink"/>
                <w:noProof/>
              </w:rPr>
              <w:t>4.</w:t>
            </w:r>
            <w:r>
              <w:rPr>
                <w:rFonts w:asciiTheme="minorHAnsi" w:eastAsiaTheme="minorEastAsia" w:hAnsiTheme="minorHAnsi"/>
                <w:noProof/>
                <w:lang w:eastAsia="en-GB"/>
              </w:rPr>
              <w:tab/>
            </w:r>
            <w:r w:rsidRPr="00A411F6">
              <w:rPr>
                <w:rStyle w:val="Hyperlink"/>
                <w:noProof/>
              </w:rPr>
              <w:t>Research/literature survey</w:t>
            </w:r>
            <w:r>
              <w:rPr>
                <w:noProof/>
                <w:webHidden/>
              </w:rPr>
              <w:tab/>
            </w:r>
            <w:r>
              <w:rPr>
                <w:noProof/>
                <w:webHidden/>
              </w:rPr>
              <w:fldChar w:fldCharType="begin"/>
            </w:r>
            <w:r>
              <w:rPr>
                <w:noProof/>
                <w:webHidden/>
              </w:rPr>
              <w:instrText xml:space="preserve"> PAGEREF _Toc137807591 \h </w:instrText>
            </w:r>
            <w:r>
              <w:rPr>
                <w:noProof/>
                <w:webHidden/>
              </w:rPr>
            </w:r>
            <w:r>
              <w:rPr>
                <w:noProof/>
                <w:webHidden/>
              </w:rPr>
              <w:fldChar w:fldCharType="separate"/>
            </w:r>
            <w:r>
              <w:rPr>
                <w:noProof/>
                <w:webHidden/>
              </w:rPr>
              <w:t>14</w:t>
            </w:r>
            <w:r>
              <w:rPr>
                <w:noProof/>
                <w:webHidden/>
              </w:rPr>
              <w:fldChar w:fldCharType="end"/>
            </w:r>
          </w:hyperlink>
        </w:p>
        <w:p w14:paraId="2A7E79E6" w14:textId="4D6B7E71"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2" w:history="1">
            <w:r w:rsidRPr="00A411F6">
              <w:rPr>
                <w:rStyle w:val="Hyperlink"/>
                <w:noProof/>
              </w:rPr>
              <w:t>4.1</w:t>
            </w:r>
            <w:r>
              <w:rPr>
                <w:rFonts w:asciiTheme="minorHAnsi" w:eastAsiaTheme="minorEastAsia" w:hAnsiTheme="minorHAnsi"/>
                <w:noProof/>
                <w:lang w:eastAsia="en-GB"/>
              </w:rPr>
              <w:tab/>
            </w:r>
            <w:r w:rsidRPr="00A411F6">
              <w:rPr>
                <w:rStyle w:val="Hyperlink"/>
                <w:noProof/>
              </w:rPr>
              <w:t>Introduction into APQP</w:t>
            </w:r>
            <w:r>
              <w:rPr>
                <w:noProof/>
                <w:webHidden/>
              </w:rPr>
              <w:tab/>
            </w:r>
            <w:r>
              <w:rPr>
                <w:noProof/>
                <w:webHidden/>
              </w:rPr>
              <w:fldChar w:fldCharType="begin"/>
            </w:r>
            <w:r>
              <w:rPr>
                <w:noProof/>
                <w:webHidden/>
              </w:rPr>
              <w:instrText xml:space="preserve"> PAGEREF _Toc137807592 \h </w:instrText>
            </w:r>
            <w:r>
              <w:rPr>
                <w:noProof/>
                <w:webHidden/>
              </w:rPr>
            </w:r>
            <w:r>
              <w:rPr>
                <w:noProof/>
                <w:webHidden/>
              </w:rPr>
              <w:fldChar w:fldCharType="separate"/>
            </w:r>
            <w:r>
              <w:rPr>
                <w:noProof/>
                <w:webHidden/>
              </w:rPr>
              <w:t>14</w:t>
            </w:r>
            <w:r>
              <w:rPr>
                <w:noProof/>
                <w:webHidden/>
              </w:rPr>
              <w:fldChar w:fldCharType="end"/>
            </w:r>
          </w:hyperlink>
        </w:p>
        <w:p w14:paraId="511723DA" w14:textId="4F7FB6BB"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3" w:history="1">
            <w:r w:rsidRPr="00A411F6">
              <w:rPr>
                <w:rStyle w:val="Hyperlink"/>
                <w:noProof/>
              </w:rPr>
              <w:t>4.2</w:t>
            </w:r>
            <w:r>
              <w:rPr>
                <w:rFonts w:asciiTheme="minorHAnsi" w:eastAsiaTheme="minorEastAsia" w:hAnsiTheme="minorHAnsi"/>
                <w:noProof/>
                <w:lang w:eastAsia="en-GB"/>
              </w:rPr>
              <w:tab/>
            </w:r>
            <w:r w:rsidRPr="00A411F6">
              <w:rPr>
                <w:rStyle w:val="Hyperlink"/>
                <w:noProof/>
              </w:rPr>
              <w:t>APQP Principles</w:t>
            </w:r>
            <w:r>
              <w:rPr>
                <w:noProof/>
                <w:webHidden/>
              </w:rPr>
              <w:tab/>
            </w:r>
            <w:r>
              <w:rPr>
                <w:noProof/>
                <w:webHidden/>
              </w:rPr>
              <w:fldChar w:fldCharType="begin"/>
            </w:r>
            <w:r>
              <w:rPr>
                <w:noProof/>
                <w:webHidden/>
              </w:rPr>
              <w:instrText xml:space="preserve"> PAGEREF _Toc137807593 \h </w:instrText>
            </w:r>
            <w:r>
              <w:rPr>
                <w:noProof/>
                <w:webHidden/>
              </w:rPr>
            </w:r>
            <w:r>
              <w:rPr>
                <w:noProof/>
                <w:webHidden/>
              </w:rPr>
              <w:fldChar w:fldCharType="separate"/>
            </w:r>
            <w:r>
              <w:rPr>
                <w:noProof/>
                <w:webHidden/>
              </w:rPr>
              <w:t>17</w:t>
            </w:r>
            <w:r>
              <w:rPr>
                <w:noProof/>
                <w:webHidden/>
              </w:rPr>
              <w:fldChar w:fldCharType="end"/>
            </w:r>
          </w:hyperlink>
        </w:p>
        <w:p w14:paraId="7FC73DFB" w14:textId="4818EAB9"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4" w:history="1">
            <w:r w:rsidRPr="00A411F6">
              <w:rPr>
                <w:rStyle w:val="Hyperlink"/>
                <w:noProof/>
              </w:rPr>
              <w:t>4.3</w:t>
            </w:r>
            <w:r>
              <w:rPr>
                <w:rFonts w:asciiTheme="minorHAnsi" w:eastAsiaTheme="minorEastAsia" w:hAnsiTheme="minorHAnsi"/>
                <w:noProof/>
                <w:lang w:eastAsia="en-GB"/>
              </w:rPr>
              <w:tab/>
            </w:r>
            <w:r w:rsidRPr="00A411F6">
              <w:rPr>
                <w:rStyle w:val="Hyperlink"/>
                <w:noProof/>
              </w:rPr>
              <w:t>Benefits/Limitations of APQP</w:t>
            </w:r>
            <w:r>
              <w:rPr>
                <w:noProof/>
                <w:webHidden/>
              </w:rPr>
              <w:tab/>
            </w:r>
            <w:r>
              <w:rPr>
                <w:noProof/>
                <w:webHidden/>
              </w:rPr>
              <w:fldChar w:fldCharType="begin"/>
            </w:r>
            <w:r>
              <w:rPr>
                <w:noProof/>
                <w:webHidden/>
              </w:rPr>
              <w:instrText xml:space="preserve"> PAGEREF _Toc137807594 \h </w:instrText>
            </w:r>
            <w:r>
              <w:rPr>
                <w:noProof/>
                <w:webHidden/>
              </w:rPr>
            </w:r>
            <w:r>
              <w:rPr>
                <w:noProof/>
                <w:webHidden/>
              </w:rPr>
              <w:fldChar w:fldCharType="separate"/>
            </w:r>
            <w:r>
              <w:rPr>
                <w:noProof/>
                <w:webHidden/>
              </w:rPr>
              <w:t>23</w:t>
            </w:r>
            <w:r>
              <w:rPr>
                <w:noProof/>
                <w:webHidden/>
              </w:rPr>
              <w:fldChar w:fldCharType="end"/>
            </w:r>
          </w:hyperlink>
        </w:p>
        <w:p w14:paraId="19A1B395" w14:textId="152C441B"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595" w:history="1">
            <w:r w:rsidRPr="00A411F6">
              <w:rPr>
                <w:rStyle w:val="Hyperlink"/>
                <w:noProof/>
              </w:rPr>
              <w:t>4.3.1</w:t>
            </w:r>
            <w:r>
              <w:rPr>
                <w:rFonts w:asciiTheme="minorHAnsi" w:eastAsiaTheme="minorEastAsia" w:hAnsiTheme="minorHAnsi"/>
                <w:noProof/>
                <w:lang w:eastAsia="en-GB"/>
              </w:rPr>
              <w:tab/>
            </w:r>
            <w:r w:rsidRPr="00A411F6">
              <w:rPr>
                <w:rStyle w:val="Hyperlink"/>
                <w:noProof/>
              </w:rPr>
              <w:t>Benefits</w:t>
            </w:r>
            <w:r>
              <w:rPr>
                <w:noProof/>
                <w:webHidden/>
              </w:rPr>
              <w:tab/>
            </w:r>
            <w:r>
              <w:rPr>
                <w:noProof/>
                <w:webHidden/>
              </w:rPr>
              <w:fldChar w:fldCharType="begin"/>
            </w:r>
            <w:r>
              <w:rPr>
                <w:noProof/>
                <w:webHidden/>
              </w:rPr>
              <w:instrText xml:space="preserve"> PAGEREF _Toc137807595 \h </w:instrText>
            </w:r>
            <w:r>
              <w:rPr>
                <w:noProof/>
                <w:webHidden/>
              </w:rPr>
            </w:r>
            <w:r>
              <w:rPr>
                <w:noProof/>
                <w:webHidden/>
              </w:rPr>
              <w:fldChar w:fldCharType="separate"/>
            </w:r>
            <w:r>
              <w:rPr>
                <w:noProof/>
                <w:webHidden/>
              </w:rPr>
              <w:t>23</w:t>
            </w:r>
            <w:r>
              <w:rPr>
                <w:noProof/>
                <w:webHidden/>
              </w:rPr>
              <w:fldChar w:fldCharType="end"/>
            </w:r>
          </w:hyperlink>
        </w:p>
        <w:p w14:paraId="6B731618" w14:textId="68CC843E" w:rsidR="008C301E" w:rsidRDefault="008C301E">
          <w:pPr>
            <w:pStyle w:val="TOC3"/>
            <w:tabs>
              <w:tab w:val="right" w:leader="dot" w:pos="10185"/>
            </w:tabs>
            <w:rPr>
              <w:rFonts w:asciiTheme="minorHAnsi" w:eastAsiaTheme="minorEastAsia" w:hAnsiTheme="minorHAnsi"/>
              <w:noProof/>
              <w:lang w:eastAsia="en-GB"/>
            </w:rPr>
          </w:pPr>
          <w:hyperlink w:anchor="_Toc137807596" w:history="1">
            <w:r w:rsidRPr="00A411F6">
              <w:rPr>
                <w:rStyle w:val="Hyperlink"/>
                <w:noProof/>
              </w:rPr>
              <w:t>4.3.2 Limitations</w:t>
            </w:r>
            <w:r>
              <w:rPr>
                <w:noProof/>
                <w:webHidden/>
              </w:rPr>
              <w:tab/>
            </w:r>
            <w:r>
              <w:rPr>
                <w:noProof/>
                <w:webHidden/>
              </w:rPr>
              <w:fldChar w:fldCharType="begin"/>
            </w:r>
            <w:r>
              <w:rPr>
                <w:noProof/>
                <w:webHidden/>
              </w:rPr>
              <w:instrText xml:space="preserve"> PAGEREF _Toc137807596 \h </w:instrText>
            </w:r>
            <w:r>
              <w:rPr>
                <w:noProof/>
                <w:webHidden/>
              </w:rPr>
            </w:r>
            <w:r>
              <w:rPr>
                <w:noProof/>
                <w:webHidden/>
              </w:rPr>
              <w:fldChar w:fldCharType="separate"/>
            </w:r>
            <w:r>
              <w:rPr>
                <w:noProof/>
                <w:webHidden/>
              </w:rPr>
              <w:t>25</w:t>
            </w:r>
            <w:r>
              <w:rPr>
                <w:noProof/>
                <w:webHidden/>
              </w:rPr>
              <w:fldChar w:fldCharType="end"/>
            </w:r>
          </w:hyperlink>
        </w:p>
        <w:p w14:paraId="3923950C" w14:textId="6F01E6F6"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7" w:history="1">
            <w:r w:rsidRPr="00A411F6">
              <w:rPr>
                <w:rStyle w:val="Hyperlink"/>
                <w:noProof/>
              </w:rPr>
              <w:t>4.4</w:t>
            </w:r>
            <w:r>
              <w:rPr>
                <w:rFonts w:asciiTheme="minorHAnsi" w:eastAsiaTheme="minorEastAsia" w:hAnsiTheme="minorHAnsi"/>
                <w:noProof/>
                <w:lang w:eastAsia="en-GB"/>
              </w:rPr>
              <w:tab/>
            </w:r>
            <w:r w:rsidRPr="00A411F6">
              <w:rPr>
                <w:rStyle w:val="Hyperlink"/>
                <w:noProof/>
              </w:rPr>
              <w:t>Aviation vs. Automotive Sector</w:t>
            </w:r>
            <w:r>
              <w:rPr>
                <w:noProof/>
                <w:webHidden/>
              </w:rPr>
              <w:tab/>
            </w:r>
            <w:r>
              <w:rPr>
                <w:noProof/>
                <w:webHidden/>
              </w:rPr>
              <w:fldChar w:fldCharType="begin"/>
            </w:r>
            <w:r>
              <w:rPr>
                <w:noProof/>
                <w:webHidden/>
              </w:rPr>
              <w:instrText xml:space="preserve"> PAGEREF _Toc137807597 \h </w:instrText>
            </w:r>
            <w:r>
              <w:rPr>
                <w:noProof/>
                <w:webHidden/>
              </w:rPr>
            </w:r>
            <w:r>
              <w:rPr>
                <w:noProof/>
                <w:webHidden/>
              </w:rPr>
              <w:fldChar w:fldCharType="separate"/>
            </w:r>
            <w:r>
              <w:rPr>
                <w:noProof/>
                <w:webHidden/>
              </w:rPr>
              <w:t>26</w:t>
            </w:r>
            <w:r>
              <w:rPr>
                <w:noProof/>
                <w:webHidden/>
              </w:rPr>
              <w:fldChar w:fldCharType="end"/>
            </w:r>
          </w:hyperlink>
        </w:p>
        <w:p w14:paraId="2519D0CB" w14:textId="3A8815AF"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8" w:history="1">
            <w:r w:rsidRPr="00A411F6">
              <w:rPr>
                <w:rStyle w:val="Hyperlink"/>
                <w:noProof/>
              </w:rPr>
              <w:t>4.5</w:t>
            </w:r>
            <w:r>
              <w:rPr>
                <w:rFonts w:asciiTheme="minorHAnsi" w:eastAsiaTheme="minorEastAsia" w:hAnsiTheme="minorHAnsi"/>
                <w:noProof/>
                <w:lang w:eastAsia="en-GB"/>
              </w:rPr>
              <w:tab/>
            </w:r>
            <w:r w:rsidRPr="00A411F6">
              <w:rPr>
                <w:rStyle w:val="Hyperlink"/>
                <w:noProof/>
              </w:rPr>
              <w:t>APQP vs. Total Quality Management (TQM)</w:t>
            </w:r>
            <w:r>
              <w:rPr>
                <w:noProof/>
                <w:webHidden/>
              </w:rPr>
              <w:tab/>
            </w:r>
            <w:r>
              <w:rPr>
                <w:noProof/>
                <w:webHidden/>
              </w:rPr>
              <w:fldChar w:fldCharType="begin"/>
            </w:r>
            <w:r>
              <w:rPr>
                <w:noProof/>
                <w:webHidden/>
              </w:rPr>
              <w:instrText xml:space="preserve"> PAGEREF _Toc137807598 \h </w:instrText>
            </w:r>
            <w:r>
              <w:rPr>
                <w:noProof/>
                <w:webHidden/>
              </w:rPr>
            </w:r>
            <w:r>
              <w:rPr>
                <w:noProof/>
                <w:webHidden/>
              </w:rPr>
              <w:fldChar w:fldCharType="separate"/>
            </w:r>
            <w:r>
              <w:rPr>
                <w:noProof/>
                <w:webHidden/>
              </w:rPr>
              <w:t>28</w:t>
            </w:r>
            <w:r>
              <w:rPr>
                <w:noProof/>
                <w:webHidden/>
              </w:rPr>
              <w:fldChar w:fldCharType="end"/>
            </w:r>
          </w:hyperlink>
        </w:p>
        <w:p w14:paraId="6A6BB0A5" w14:textId="48979341"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599" w:history="1">
            <w:r w:rsidRPr="00A411F6">
              <w:rPr>
                <w:rStyle w:val="Hyperlink"/>
                <w:noProof/>
              </w:rPr>
              <w:t>4.6</w:t>
            </w:r>
            <w:r>
              <w:rPr>
                <w:rFonts w:asciiTheme="minorHAnsi" w:eastAsiaTheme="minorEastAsia" w:hAnsiTheme="minorHAnsi"/>
                <w:noProof/>
                <w:lang w:eastAsia="en-GB"/>
              </w:rPr>
              <w:tab/>
            </w:r>
            <w:r w:rsidRPr="00A411F6">
              <w:rPr>
                <w:rStyle w:val="Hyperlink"/>
                <w:noProof/>
              </w:rPr>
              <w:t>APQP at Safran</w:t>
            </w:r>
            <w:r>
              <w:rPr>
                <w:noProof/>
                <w:webHidden/>
              </w:rPr>
              <w:tab/>
            </w:r>
            <w:r>
              <w:rPr>
                <w:noProof/>
                <w:webHidden/>
              </w:rPr>
              <w:fldChar w:fldCharType="begin"/>
            </w:r>
            <w:r>
              <w:rPr>
                <w:noProof/>
                <w:webHidden/>
              </w:rPr>
              <w:instrText xml:space="preserve"> PAGEREF _Toc137807599 \h </w:instrText>
            </w:r>
            <w:r>
              <w:rPr>
                <w:noProof/>
                <w:webHidden/>
              </w:rPr>
            </w:r>
            <w:r>
              <w:rPr>
                <w:noProof/>
                <w:webHidden/>
              </w:rPr>
              <w:fldChar w:fldCharType="separate"/>
            </w:r>
            <w:r>
              <w:rPr>
                <w:noProof/>
                <w:webHidden/>
              </w:rPr>
              <w:t>30</w:t>
            </w:r>
            <w:r>
              <w:rPr>
                <w:noProof/>
                <w:webHidden/>
              </w:rPr>
              <w:fldChar w:fldCharType="end"/>
            </w:r>
          </w:hyperlink>
        </w:p>
        <w:p w14:paraId="40648CEC" w14:textId="26516697"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600" w:history="1">
            <w:r w:rsidRPr="00A411F6">
              <w:rPr>
                <w:rStyle w:val="Hyperlink"/>
                <w:noProof/>
              </w:rPr>
              <w:t>5.</w:t>
            </w:r>
            <w:r>
              <w:rPr>
                <w:rFonts w:asciiTheme="minorHAnsi" w:eastAsiaTheme="minorEastAsia" w:hAnsiTheme="minorHAnsi"/>
                <w:noProof/>
                <w:lang w:eastAsia="en-GB"/>
              </w:rPr>
              <w:tab/>
            </w:r>
            <w:r w:rsidRPr="00A411F6">
              <w:rPr>
                <w:rStyle w:val="Hyperlink"/>
                <w:noProof/>
              </w:rPr>
              <w:t>Work carried out</w:t>
            </w:r>
            <w:r>
              <w:rPr>
                <w:noProof/>
                <w:webHidden/>
              </w:rPr>
              <w:tab/>
            </w:r>
            <w:r>
              <w:rPr>
                <w:noProof/>
                <w:webHidden/>
              </w:rPr>
              <w:fldChar w:fldCharType="begin"/>
            </w:r>
            <w:r>
              <w:rPr>
                <w:noProof/>
                <w:webHidden/>
              </w:rPr>
              <w:instrText xml:space="preserve"> PAGEREF _Toc137807600 \h </w:instrText>
            </w:r>
            <w:r>
              <w:rPr>
                <w:noProof/>
                <w:webHidden/>
              </w:rPr>
            </w:r>
            <w:r>
              <w:rPr>
                <w:noProof/>
                <w:webHidden/>
              </w:rPr>
              <w:fldChar w:fldCharType="separate"/>
            </w:r>
            <w:r>
              <w:rPr>
                <w:noProof/>
                <w:webHidden/>
              </w:rPr>
              <w:t>34</w:t>
            </w:r>
            <w:r>
              <w:rPr>
                <w:noProof/>
                <w:webHidden/>
              </w:rPr>
              <w:fldChar w:fldCharType="end"/>
            </w:r>
          </w:hyperlink>
        </w:p>
        <w:p w14:paraId="6C7F118C" w14:textId="2D0C0E63"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01" w:history="1">
            <w:r w:rsidRPr="00A411F6">
              <w:rPr>
                <w:rStyle w:val="Hyperlink"/>
                <w:noProof/>
              </w:rPr>
              <w:t>5.1</w:t>
            </w:r>
            <w:r>
              <w:rPr>
                <w:rFonts w:asciiTheme="minorHAnsi" w:eastAsiaTheme="minorEastAsia" w:hAnsiTheme="minorHAnsi"/>
                <w:noProof/>
                <w:lang w:eastAsia="en-GB"/>
              </w:rPr>
              <w:tab/>
            </w:r>
            <w:r w:rsidRPr="00A411F6">
              <w:rPr>
                <w:rStyle w:val="Hyperlink"/>
                <w:noProof/>
              </w:rPr>
              <w:t>Developing SGB’s APQP Requirements</w:t>
            </w:r>
            <w:r>
              <w:rPr>
                <w:noProof/>
                <w:webHidden/>
              </w:rPr>
              <w:tab/>
            </w:r>
            <w:r>
              <w:rPr>
                <w:noProof/>
                <w:webHidden/>
              </w:rPr>
              <w:fldChar w:fldCharType="begin"/>
            </w:r>
            <w:r>
              <w:rPr>
                <w:noProof/>
                <w:webHidden/>
              </w:rPr>
              <w:instrText xml:space="preserve"> PAGEREF _Toc137807601 \h </w:instrText>
            </w:r>
            <w:r>
              <w:rPr>
                <w:noProof/>
                <w:webHidden/>
              </w:rPr>
            </w:r>
            <w:r>
              <w:rPr>
                <w:noProof/>
                <w:webHidden/>
              </w:rPr>
              <w:fldChar w:fldCharType="separate"/>
            </w:r>
            <w:r>
              <w:rPr>
                <w:noProof/>
                <w:webHidden/>
              </w:rPr>
              <w:t>34</w:t>
            </w:r>
            <w:r>
              <w:rPr>
                <w:noProof/>
                <w:webHidden/>
              </w:rPr>
              <w:fldChar w:fldCharType="end"/>
            </w:r>
          </w:hyperlink>
        </w:p>
        <w:p w14:paraId="61D12390" w14:textId="01876D12"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02" w:history="1">
            <w:r w:rsidRPr="00A411F6">
              <w:rPr>
                <w:rStyle w:val="Hyperlink"/>
                <w:noProof/>
              </w:rPr>
              <w:t>5.2</w:t>
            </w:r>
            <w:r>
              <w:rPr>
                <w:rFonts w:asciiTheme="minorHAnsi" w:eastAsiaTheme="minorEastAsia" w:hAnsiTheme="minorHAnsi"/>
                <w:noProof/>
                <w:lang w:eastAsia="en-GB"/>
              </w:rPr>
              <w:tab/>
            </w:r>
            <w:r w:rsidRPr="00A411F6">
              <w:rPr>
                <w:rStyle w:val="Hyperlink"/>
                <w:noProof/>
              </w:rPr>
              <w:t>Developing a Strategy</w:t>
            </w:r>
            <w:r>
              <w:rPr>
                <w:noProof/>
                <w:webHidden/>
              </w:rPr>
              <w:tab/>
            </w:r>
            <w:r>
              <w:rPr>
                <w:noProof/>
                <w:webHidden/>
              </w:rPr>
              <w:fldChar w:fldCharType="begin"/>
            </w:r>
            <w:r>
              <w:rPr>
                <w:noProof/>
                <w:webHidden/>
              </w:rPr>
              <w:instrText xml:space="preserve"> PAGEREF _Toc137807602 \h </w:instrText>
            </w:r>
            <w:r>
              <w:rPr>
                <w:noProof/>
                <w:webHidden/>
              </w:rPr>
            </w:r>
            <w:r>
              <w:rPr>
                <w:noProof/>
                <w:webHidden/>
              </w:rPr>
              <w:fldChar w:fldCharType="separate"/>
            </w:r>
            <w:r>
              <w:rPr>
                <w:noProof/>
                <w:webHidden/>
              </w:rPr>
              <w:t>44</w:t>
            </w:r>
            <w:r>
              <w:rPr>
                <w:noProof/>
                <w:webHidden/>
              </w:rPr>
              <w:fldChar w:fldCharType="end"/>
            </w:r>
          </w:hyperlink>
        </w:p>
        <w:p w14:paraId="2F4E4752" w14:textId="0D560C42"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03" w:history="1">
            <w:r w:rsidRPr="00A411F6">
              <w:rPr>
                <w:rStyle w:val="Hyperlink"/>
                <w:noProof/>
              </w:rPr>
              <w:t>5.2.1</w:t>
            </w:r>
            <w:r>
              <w:rPr>
                <w:rFonts w:asciiTheme="minorHAnsi" w:eastAsiaTheme="minorEastAsia" w:hAnsiTheme="minorHAnsi"/>
                <w:noProof/>
                <w:lang w:eastAsia="en-GB"/>
              </w:rPr>
              <w:tab/>
            </w:r>
            <w:r w:rsidRPr="00A411F6">
              <w:rPr>
                <w:rStyle w:val="Hyperlink"/>
                <w:noProof/>
              </w:rPr>
              <w:t>Updating SGB’s Processes</w:t>
            </w:r>
            <w:r>
              <w:rPr>
                <w:noProof/>
                <w:webHidden/>
              </w:rPr>
              <w:tab/>
            </w:r>
            <w:r>
              <w:rPr>
                <w:noProof/>
                <w:webHidden/>
              </w:rPr>
              <w:fldChar w:fldCharType="begin"/>
            </w:r>
            <w:r>
              <w:rPr>
                <w:noProof/>
                <w:webHidden/>
              </w:rPr>
              <w:instrText xml:space="preserve"> PAGEREF _Toc137807603 \h </w:instrText>
            </w:r>
            <w:r>
              <w:rPr>
                <w:noProof/>
                <w:webHidden/>
              </w:rPr>
            </w:r>
            <w:r>
              <w:rPr>
                <w:noProof/>
                <w:webHidden/>
              </w:rPr>
              <w:fldChar w:fldCharType="separate"/>
            </w:r>
            <w:r>
              <w:rPr>
                <w:noProof/>
                <w:webHidden/>
              </w:rPr>
              <w:t>44</w:t>
            </w:r>
            <w:r>
              <w:rPr>
                <w:noProof/>
                <w:webHidden/>
              </w:rPr>
              <w:fldChar w:fldCharType="end"/>
            </w:r>
          </w:hyperlink>
        </w:p>
        <w:p w14:paraId="6912DFDD" w14:textId="34D49007"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04" w:history="1">
            <w:r w:rsidRPr="00A411F6">
              <w:rPr>
                <w:rStyle w:val="Hyperlink"/>
                <w:noProof/>
              </w:rPr>
              <w:t>5.2.2</w:t>
            </w:r>
            <w:r>
              <w:rPr>
                <w:rFonts w:asciiTheme="minorHAnsi" w:eastAsiaTheme="minorEastAsia" w:hAnsiTheme="minorHAnsi"/>
                <w:noProof/>
                <w:lang w:eastAsia="en-GB"/>
              </w:rPr>
              <w:tab/>
            </w:r>
            <w:r w:rsidRPr="00A411F6">
              <w:rPr>
                <w:rStyle w:val="Hyperlink"/>
                <w:noProof/>
              </w:rPr>
              <w:t>Creation of the Industrialisation Risk Analysis</w:t>
            </w:r>
            <w:r>
              <w:rPr>
                <w:noProof/>
                <w:webHidden/>
              </w:rPr>
              <w:tab/>
            </w:r>
            <w:r>
              <w:rPr>
                <w:noProof/>
                <w:webHidden/>
              </w:rPr>
              <w:fldChar w:fldCharType="begin"/>
            </w:r>
            <w:r>
              <w:rPr>
                <w:noProof/>
                <w:webHidden/>
              </w:rPr>
              <w:instrText xml:space="preserve"> PAGEREF _Toc137807604 \h </w:instrText>
            </w:r>
            <w:r>
              <w:rPr>
                <w:noProof/>
                <w:webHidden/>
              </w:rPr>
            </w:r>
            <w:r>
              <w:rPr>
                <w:noProof/>
                <w:webHidden/>
              </w:rPr>
              <w:fldChar w:fldCharType="separate"/>
            </w:r>
            <w:r>
              <w:rPr>
                <w:noProof/>
                <w:webHidden/>
              </w:rPr>
              <w:t>44</w:t>
            </w:r>
            <w:r>
              <w:rPr>
                <w:noProof/>
                <w:webHidden/>
              </w:rPr>
              <w:fldChar w:fldCharType="end"/>
            </w:r>
          </w:hyperlink>
        </w:p>
        <w:p w14:paraId="142321A4" w14:textId="25015FC7"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05" w:history="1">
            <w:r w:rsidRPr="00A411F6">
              <w:rPr>
                <w:rStyle w:val="Hyperlink"/>
                <w:noProof/>
              </w:rPr>
              <w:t>5.3</w:t>
            </w:r>
            <w:r>
              <w:rPr>
                <w:rFonts w:asciiTheme="minorHAnsi" w:eastAsiaTheme="minorEastAsia" w:hAnsiTheme="minorHAnsi"/>
                <w:noProof/>
                <w:lang w:eastAsia="en-GB"/>
              </w:rPr>
              <w:tab/>
            </w:r>
            <w:r w:rsidRPr="00A411F6">
              <w:rPr>
                <w:rStyle w:val="Hyperlink"/>
                <w:noProof/>
              </w:rPr>
              <w:t>Building a PPAP Tool</w:t>
            </w:r>
            <w:r>
              <w:rPr>
                <w:noProof/>
                <w:webHidden/>
              </w:rPr>
              <w:tab/>
            </w:r>
            <w:r>
              <w:rPr>
                <w:noProof/>
                <w:webHidden/>
              </w:rPr>
              <w:fldChar w:fldCharType="begin"/>
            </w:r>
            <w:r>
              <w:rPr>
                <w:noProof/>
                <w:webHidden/>
              </w:rPr>
              <w:instrText xml:space="preserve"> PAGEREF _Toc137807605 \h </w:instrText>
            </w:r>
            <w:r>
              <w:rPr>
                <w:noProof/>
                <w:webHidden/>
              </w:rPr>
            </w:r>
            <w:r>
              <w:rPr>
                <w:noProof/>
                <w:webHidden/>
              </w:rPr>
              <w:fldChar w:fldCharType="separate"/>
            </w:r>
            <w:r>
              <w:rPr>
                <w:noProof/>
                <w:webHidden/>
              </w:rPr>
              <w:t>45</w:t>
            </w:r>
            <w:r>
              <w:rPr>
                <w:noProof/>
                <w:webHidden/>
              </w:rPr>
              <w:fldChar w:fldCharType="end"/>
            </w:r>
          </w:hyperlink>
        </w:p>
        <w:p w14:paraId="22CE49D3" w14:textId="4A0908CA"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06" w:history="1">
            <w:r w:rsidRPr="00A411F6">
              <w:rPr>
                <w:rStyle w:val="Hyperlink"/>
                <w:noProof/>
              </w:rPr>
              <w:t>5.4</w:t>
            </w:r>
            <w:r>
              <w:rPr>
                <w:rFonts w:asciiTheme="minorHAnsi" w:eastAsiaTheme="minorEastAsia" w:hAnsiTheme="minorHAnsi"/>
                <w:noProof/>
                <w:lang w:eastAsia="en-GB"/>
              </w:rPr>
              <w:tab/>
            </w:r>
            <w:r w:rsidRPr="00A411F6">
              <w:rPr>
                <w:rStyle w:val="Hyperlink"/>
                <w:noProof/>
              </w:rPr>
              <w:t>SGB Process Updates</w:t>
            </w:r>
            <w:r>
              <w:rPr>
                <w:noProof/>
                <w:webHidden/>
              </w:rPr>
              <w:tab/>
            </w:r>
            <w:r>
              <w:rPr>
                <w:noProof/>
                <w:webHidden/>
              </w:rPr>
              <w:fldChar w:fldCharType="begin"/>
            </w:r>
            <w:r>
              <w:rPr>
                <w:noProof/>
                <w:webHidden/>
              </w:rPr>
              <w:instrText xml:space="preserve"> PAGEREF _Toc137807606 \h </w:instrText>
            </w:r>
            <w:r>
              <w:rPr>
                <w:noProof/>
                <w:webHidden/>
              </w:rPr>
            </w:r>
            <w:r>
              <w:rPr>
                <w:noProof/>
                <w:webHidden/>
              </w:rPr>
              <w:fldChar w:fldCharType="separate"/>
            </w:r>
            <w:r>
              <w:rPr>
                <w:noProof/>
                <w:webHidden/>
              </w:rPr>
              <w:t>49</w:t>
            </w:r>
            <w:r>
              <w:rPr>
                <w:noProof/>
                <w:webHidden/>
              </w:rPr>
              <w:fldChar w:fldCharType="end"/>
            </w:r>
          </w:hyperlink>
        </w:p>
        <w:p w14:paraId="5EF2F4CC" w14:textId="323870C1"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607" w:history="1">
            <w:r w:rsidRPr="00A411F6">
              <w:rPr>
                <w:rStyle w:val="Hyperlink"/>
                <w:noProof/>
              </w:rPr>
              <w:t>6.</w:t>
            </w:r>
            <w:r>
              <w:rPr>
                <w:rFonts w:asciiTheme="minorHAnsi" w:eastAsiaTheme="minorEastAsia" w:hAnsiTheme="minorHAnsi"/>
                <w:noProof/>
                <w:lang w:eastAsia="en-GB"/>
              </w:rPr>
              <w:tab/>
            </w:r>
            <w:r w:rsidRPr="00A411F6">
              <w:rPr>
                <w:rStyle w:val="Hyperlink"/>
                <w:noProof/>
              </w:rPr>
              <w:t>Results</w:t>
            </w:r>
            <w:r>
              <w:rPr>
                <w:noProof/>
                <w:webHidden/>
              </w:rPr>
              <w:tab/>
            </w:r>
            <w:r>
              <w:rPr>
                <w:noProof/>
                <w:webHidden/>
              </w:rPr>
              <w:fldChar w:fldCharType="begin"/>
            </w:r>
            <w:r>
              <w:rPr>
                <w:noProof/>
                <w:webHidden/>
              </w:rPr>
              <w:instrText xml:space="preserve"> PAGEREF _Toc137807607 \h </w:instrText>
            </w:r>
            <w:r>
              <w:rPr>
                <w:noProof/>
                <w:webHidden/>
              </w:rPr>
            </w:r>
            <w:r>
              <w:rPr>
                <w:noProof/>
                <w:webHidden/>
              </w:rPr>
              <w:fldChar w:fldCharType="separate"/>
            </w:r>
            <w:r>
              <w:rPr>
                <w:noProof/>
                <w:webHidden/>
              </w:rPr>
              <w:t>51</w:t>
            </w:r>
            <w:r>
              <w:rPr>
                <w:noProof/>
                <w:webHidden/>
              </w:rPr>
              <w:fldChar w:fldCharType="end"/>
            </w:r>
          </w:hyperlink>
        </w:p>
        <w:p w14:paraId="29A62B73" w14:textId="64E5998A" w:rsidR="008C301E" w:rsidRDefault="008C301E">
          <w:pPr>
            <w:pStyle w:val="TOC2"/>
            <w:tabs>
              <w:tab w:val="right" w:leader="dot" w:pos="10185"/>
            </w:tabs>
            <w:rPr>
              <w:rFonts w:asciiTheme="minorHAnsi" w:eastAsiaTheme="minorEastAsia" w:hAnsiTheme="minorHAnsi"/>
              <w:noProof/>
              <w:lang w:eastAsia="en-GB"/>
            </w:rPr>
          </w:pPr>
          <w:hyperlink w:anchor="_Toc137807608" w:history="1">
            <w:r w:rsidRPr="00A411F6">
              <w:rPr>
                <w:rStyle w:val="Hyperlink"/>
                <w:noProof/>
              </w:rPr>
              <w:t>6.1 APQP/PPAP Conformity to AS9145</w:t>
            </w:r>
            <w:r>
              <w:rPr>
                <w:noProof/>
                <w:webHidden/>
              </w:rPr>
              <w:tab/>
            </w:r>
            <w:r>
              <w:rPr>
                <w:noProof/>
                <w:webHidden/>
              </w:rPr>
              <w:fldChar w:fldCharType="begin"/>
            </w:r>
            <w:r>
              <w:rPr>
                <w:noProof/>
                <w:webHidden/>
              </w:rPr>
              <w:instrText xml:space="preserve"> PAGEREF _Toc137807608 \h </w:instrText>
            </w:r>
            <w:r>
              <w:rPr>
                <w:noProof/>
                <w:webHidden/>
              </w:rPr>
            </w:r>
            <w:r>
              <w:rPr>
                <w:noProof/>
                <w:webHidden/>
              </w:rPr>
              <w:fldChar w:fldCharType="separate"/>
            </w:r>
            <w:r>
              <w:rPr>
                <w:noProof/>
                <w:webHidden/>
              </w:rPr>
              <w:t>51</w:t>
            </w:r>
            <w:r>
              <w:rPr>
                <w:noProof/>
                <w:webHidden/>
              </w:rPr>
              <w:fldChar w:fldCharType="end"/>
            </w:r>
          </w:hyperlink>
        </w:p>
        <w:p w14:paraId="66DD9F7C" w14:textId="0AE4D07A" w:rsidR="008C301E" w:rsidRDefault="008C301E">
          <w:pPr>
            <w:pStyle w:val="TOC2"/>
            <w:tabs>
              <w:tab w:val="right" w:leader="dot" w:pos="10185"/>
            </w:tabs>
            <w:rPr>
              <w:rFonts w:asciiTheme="minorHAnsi" w:eastAsiaTheme="minorEastAsia" w:hAnsiTheme="minorHAnsi"/>
              <w:noProof/>
              <w:lang w:eastAsia="en-GB"/>
            </w:rPr>
          </w:pPr>
          <w:hyperlink w:anchor="_Toc137807609" w:history="1">
            <w:r w:rsidRPr="00A411F6">
              <w:rPr>
                <w:rStyle w:val="Hyperlink"/>
                <w:noProof/>
              </w:rPr>
              <w:t>6.2 APQP Conformity to AS9145</w:t>
            </w:r>
            <w:r>
              <w:rPr>
                <w:noProof/>
                <w:webHidden/>
              </w:rPr>
              <w:tab/>
            </w:r>
            <w:r>
              <w:rPr>
                <w:noProof/>
                <w:webHidden/>
              </w:rPr>
              <w:fldChar w:fldCharType="begin"/>
            </w:r>
            <w:r>
              <w:rPr>
                <w:noProof/>
                <w:webHidden/>
              </w:rPr>
              <w:instrText xml:space="preserve"> PAGEREF _Toc137807609 \h </w:instrText>
            </w:r>
            <w:r>
              <w:rPr>
                <w:noProof/>
                <w:webHidden/>
              </w:rPr>
            </w:r>
            <w:r>
              <w:rPr>
                <w:noProof/>
                <w:webHidden/>
              </w:rPr>
              <w:fldChar w:fldCharType="separate"/>
            </w:r>
            <w:r>
              <w:rPr>
                <w:noProof/>
                <w:webHidden/>
              </w:rPr>
              <w:t>53</w:t>
            </w:r>
            <w:r>
              <w:rPr>
                <w:noProof/>
                <w:webHidden/>
              </w:rPr>
              <w:fldChar w:fldCharType="end"/>
            </w:r>
          </w:hyperlink>
        </w:p>
        <w:p w14:paraId="5F3C478A" w14:textId="2E610E18" w:rsidR="008C301E" w:rsidRDefault="008C301E">
          <w:pPr>
            <w:pStyle w:val="TOC2"/>
            <w:tabs>
              <w:tab w:val="right" w:leader="dot" w:pos="10185"/>
            </w:tabs>
            <w:rPr>
              <w:rFonts w:asciiTheme="minorHAnsi" w:eastAsiaTheme="minorEastAsia" w:hAnsiTheme="minorHAnsi"/>
              <w:noProof/>
              <w:lang w:eastAsia="en-GB"/>
            </w:rPr>
          </w:pPr>
          <w:hyperlink w:anchor="_Toc137807610" w:history="1">
            <w:r w:rsidRPr="00A411F6">
              <w:rPr>
                <w:rStyle w:val="Hyperlink"/>
                <w:noProof/>
              </w:rPr>
              <w:t>6.3 PPAP Conformity to AS9145</w:t>
            </w:r>
            <w:r>
              <w:rPr>
                <w:noProof/>
                <w:webHidden/>
              </w:rPr>
              <w:tab/>
            </w:r>
            <w:r>
              <w:rPr>
                <w:noProof/>
                <w:webHidden/>
              </w:rPr>
              <w:fldChar w:fldCharType="begin"/>
            </w:r>
            <w:r>
              <w:rPr>
                <w:noProof/>
                <w:webHidden/>
              </w:rPr>
              <w:instrText xml:space="preserve"> PAGEREF _Toc137807610 \h </w:instrText>
            </w:r>
            <w:r>
              <w:rPr>
                <w:noProof/>
                <w:webHidden/>
              </w:rPr>
            </w:r>
            <w:r>
              <w:rPr>
                <w:noProof/>
                <w:webHidden/>
              </w:rPr>
              <w:fldChar w:fldCharType="separate"/>
            </w:r>
            <w:r>
              <w:rPr>
                <w:noProof/>
                <w:webHidden/>
              </w:rPr>
              <w:t>54</w:t>
            </w:r>
            <w:r>
              <w:rPr>
                <w:noProof/>
                <w:webHidden/>
              </w:rPr>
              <w:fldChar w:fldCharType="end"/>
            </w:r>
          </w:hyperlink>
        </w:p>
        <w:p w14:paraId="26915DC3" w14:textId="00F99DBB" w:rsidR="008C301E" w:rsidRDefault="008C301E">
          <w:pPr>
            <w:pStyle w:val="TOC2"/>
            <w:tabs>
              <w:tab w:val="right" w:leader="dot" w:pos="10185"/>
            </w:tabs>
            <w:rPr>
              <w:rFonts w:asciiTheme="minorHAnsi" w:eastAsiaTheme="minorEastAsia" w:hAnsiTheme="minorHAnsi"/>
              <w:noProof/>
              <w:lang w:eastAsia="en-GB"/>
            </w:rPr>
          </w:pPr>
          <w:hyperlink w:anchor="_Toc137807611" w:history="1">
            <w:r w:rsidRPr="00A411F6">
              <w:rPr>
                <w:rStyle w:val="Hyperlink"/>
                <w:noProof/>
              </w:rPr>
              <w:t>6.4 Aims &amp; Objectives Results</w:t>
            </w:r>
            <w:r>
              <w:rPr>
                <w:noProof/>
                <w:webHidden/>
              </w:rPr>
              <w:tab/>
            </w:r>
            <w:r>
              <w:rPr>
                <w:noProof/>
                <w:webHidden/>
              </w:rPr>
              <w:fldChar w:fldCharType="begin"/>
            </w:r>
            <w:r>
              <w:rPr>
                <w:noProof/>
                <w:webHidden/>
              </w:rPr>
              <w:instrText xml:space="preserve"> PAGEREF _Toc137807611 \h </w:instrText>
            </w:r>
            <w:r>
              <w:rPr>
                <w:noProof/>
                <w:webHidden/>
              </w:rPr>
            </w:r>
            <w:r>
              <w:rPr>
                <w:noProof/>
                <w:webHidden/>
              </w:rPr>
              <w:fldChar w:fldCharType="separate"/>
            </w:r>
            <w:r>
              <w:rPr>
                <w:noProof/>
                <w:webHidden/>
              </w:rPr>
              <w:t>55</w:t>
            </w:r>
            <w:r>
              <w:rPr>
                <w:noProof/>
                <w:webHidden/>
              </w:rPr>
              <w:fldChar w:fldCharType="end"/>
            </w:r>
          </w:hyperlink>
        </w:p>
        <w:p w14:paraId="31C6D982" w14:textId="7AF9F8D6"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612" w:history="1">
            <w:r w:rsidRPr="00A411F6">
              <w:rPr>
                <w:rStyle w:val="Hyperlink"/>
                <w:noProof/>
              </w:rPr>
              <w:t>7.</w:t>
            </w:r>
            <w:r>
              <w:rPr>
                <w:rFonts w:asciiTheme="minorHAnsi" w:eastAsiaTheme="minorEastAsia" w:hAnsiTheme="minorHAnsi"/>
                <w:noProof/>
                <w:lang w:eastAsia="en-GB"/>
              </w:rPr>
              <w:tab/>
            </w:r>
            <w:r w:rsidRPr="00A411F6">
              <w:rPr>
                <w:rStyle w:val="Hyperlink"/>
                <w:noProof/>
              </w:rPr>
              <w:t>Discussion and conclusions</w:t>
            </w:r>
            <w:r>
              <w:rPr>
                <w:noProof/>
                <w:webHidden/>
              </w:rPr>
              <w:tab/>
            </w:r>
            <w:r>
              <w:rPr>
                <w:noProof/>
                <w:webHidden/>
              </w:rPr>
              <w:fldChar w:fldCharType="begin"/>
            </w:r>
            <w:r>
              <w:rPr>
                <w:noProof/>
                <w:webHidden/>
              </w:rPr>
              <w:instrText xml:space="preserve"> PAGEREF _Toc137807612 \h </w:instrText>
            </w:r>
            <w:r>
              <w:rPr>
                <w:noProof/>
                <w:webHidden/>
              </w:rPr>
            </w:r>
            <w:r>
              <w:rPr>
                <w:noProof/>
                <w:webHidden/>
              </w:rPr>
              <w:fldChar w:fldCharType="separate"/>
            </w:r>
            <w:r>
              <w:rPr>
                <w:noProof/>
                <w:webHidden/>
              </w:rPr>
              <w:t>57</w:t>
            </w:r>
            <w:r>
              <w:rPr>
                <w:noProof/>
                <w:webHidden/>
              </w:rPr>
              <w:fldChar w:fldCharType="end"/>
            </w:r>
          </w:hyperlink>
        </w:p>
        <w:p w14:paraId="349317A2" w14:textId="578DA4AB"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13" w:history="1">
            <w:r w:rsidRPr="00A411F6">
              <w:rPr>
                <w:rStyle w:val="Hyperlink"/>
                <w:noProof/>
              </w:rPr>
              <w:t>7.1</w:t>
            </w:r>
            <w:r>
              <w:rPr>
                <w:rFonts w:asciiTheme="minorHAnsi" w:eastAsiaTheme="minorEastAsia" w:hAnsiTheme="minorHAnsi"/>
                <w:noProof/>
                <w:lang w:eastAsia="en-GB"/>
              </w:rPr>
              <w:tab/>
            </w:r>
            <w:r w:rsidRPr="00A411F6">
              <w:rPr>
                <w:rStyle w:val="Hyperlink"/>
                <w:noProof/>
              </w:rPr>
              <w:t>AS9145 Standard</w:t>
            </w:r>
            <w:r>
              <w:rPr>
                <w:noProof/>
                <w:webHidden/>
              </w:rPr>
              <w:tab/>
            </w:r>
            <w:r>
              <w:rPr>
                <w:noProof/>
                <w:webHidden/>
              </w:rPr>
              <w:fldChar w:fldCharType="begin"/>
            </w:r>
            <w:r>
              <w:rPr>
                <w:noProof/>
                <w:webHidden/>
              </w:rPr>
              <w:instrText xml:space="preserve"> PAGEREF _Toc137807613 \h </w:instrText>
            </w:r>
            <w:r>
              <w:rPr>
                <w:noProof/>
                <w:webHidden/>
              </w:rPr>
            </w:r>
            <w:r>
              <w:rPr>
                <w:noProof/>
                <w:webHidden/>
              </w:rPr>
              <w:fldChar w:fldCharType="separate"/>
            </w:r>
            <w:r>
              <w:rPr>
                <w:noProof/>
                <w:webHidden/>
              </w:rPr>
              <w:t>57</w:t>
            </w:r>
            <w:r>
              <w:rPr>
                <w:noProof/>
                <w:webHidden/>
              </w:rPr>
              <w:fldChar w:fldCharType="end"/>
            </w:r>
          </w:hyperlink>
        </w:p>
        <w:p w14:paraId="09FE7FAA" w14:textId="7EED9245" w:rsidR="008C301E" w:rsidRDefault="008C301E">
          <w:pPr>
            <w:pStyle w:val="TOC3"/>
            <w:tabs>
              <w:tab w:val="right" w:leader="dot" w:pos="10185"/>
            </w:tabs>
            <w:rPr>
              <w:rFonts w:asciiTheme="minorHAnsi" w:eastAsiaTheme="minorEastAsia" w:hAnsiTheme="minorHAnsi"/>
              <w:noProof/>
              <w:lang w:eastAsia="en-GB"/>
            </w:rPr>
          </w:pPr>
          <w:hyperlink w:anchor="_Toc137807614" w:history="1">
            <w:r w:rsidRPr="00A411F6">
              <w:rPr>
                <w:rStyle w:val="Hyperlink"/>
                <w:noProof/>
              </w:rPr>
              <w:t>7.1.1 Small Production Quantities</w:t>
            </w:r>
            <w:r>
              <w:rPr>
                <w:noProof/>
                <w:webHidden/>
              </w:rPr>
              <w:tab/>
            </w:r>
            <w:r>
              <w:rPr>
                <w:noProof/>
                <w:webHidden/>
              </w:rPr>
              <w:fldChar w:fldCharType="begin"/>
            </w:r>
            <w:r>
              <w:rPr>
                <w:noProof/>
                <w:webHidden/>
              </w:rPr>
              <w:instrText xml:space="preserve"> PAGEREF _Toc137807614 \h </w:instrText>
            </w:r>
            <w:r>
              <w:rPr>
                <w:noProof/>
                <w:webHidden/>
              </w:rPr>
            </w:r>
            <w:r>
              <w:rPr>
                <w:noProof/>
                <w:webHidden/>
              </w:rPr>
              <w:fldChar w:fldCharType="separate"/>
            </w:r>
            <w:r>
              <w:rPr>
                <w:noProof/>
                <w:webHidden/>
              </w:rPr>
              <w:t>57</w:t>
            </w:r>
            <w:r>
              <w:rPr>
                <w:noProof/>
                <w:webHidden/>
              </w:rPr>
              <w:fldChar w:fldCharType="end"/>
            </w:r>
          </w:hyperlink>
        </w:p>
        <w:p w14:paraId="0374601F" w14:textId="693A6CF8" w:rsidR="008C301E" w:rsidRDefault="008C301E">
          <w:pPr>
            <w:pStyle w:val="TOC3"/>
            <w:tabs>
              <w:tab w:val="right" w:leader="dot" w:pos="10185"/>
            </w:tabs>
            <w:rPr>
              <w:rFonts w:asciiTheme="minorHAnsi" w:eastAsiaTheme="minorEastAsia" w:hAnsiTheme="minorHAnsi"/>
              <w:noProof/>
              <w:lang w:eastAsia="en-GB"/>
            </w:rPr>
          </w:pPr>
          <w:hyperlink w:anchor="_Toc137807615" w:history="1">
            <w:r w:rsidRPr="00A411F6">
              <w:rPr>
                <w:rStyle w:val="Hyperlink"/>
                <w:noProof/>
              </w:rPr>
              <w:t>7.1.2 Risk-Based Module Selection</w:t>
            </w:r>
            <w:r>
              <w:rPr>
                <w:noProof/>
                <w:webHidden/>
              </w:rPr>
              <w:tab/>
            </w:r>
            <w:r>
              <w:rPr>
                <w:noProof/>
                <w:webHidden/>
              </w:rPr>
              <w:fldChar w:fldCharType="begin"/>
            </w:r>
            <w:r>
              <w:rPr>
                <w:noProof/>
                <w:webHidden/>
              </w:rPr>
              <w:instrText xml:space="preserve"> PAGEREF _Toc137807615 \h </w:instrText>
            </w:r>
            <w:r>
              <w:rPr>
                <w:noProof/>
                <w:webHidden/>
              </w:rPr>
            </w:r>
            <w:r>
              <w:rPr>
                <w:noProof/>
                <w:webHidden/>
              </w:rPr>
              <w:fldChar w:fldCharType="separate"/>
            </w:r>
            <w:r>
              <w:rPr>
                <w:noProof/>
                <w:webHidden/>
              </w:rPr>
              <w:t>58</w:t>
            </w:r>
            <w:r>
              <w:rPr>
                <w:noProof/>
                <w:webHidden/>
              </w:rPr>
              <w:fldChar w:fldCharType="end"/>
            </w:r>
          </w:hyperlink>
        </w:p>
        <w:p w14:paraId="2298440E" w14:textId="38D4B3D8" w:rsidR="008C301E" w:rsidRDefault="008C301E">
          <w:pPr>
            <w:pStyle w:val="TOC3"/>
            <w:tabs>
              <w:tab w:val="right" w:leader="dot" w:pos="10185"/>
            </w:tabs>
            <w:rPr>
              <w:rFonts w:asciiTheme="minorHAnsi" w:eastAsiaTheme="minorEastAsia" w:hAnsiTheme="minorHAnsi"/>
              <w:noProof/>
              <w:lang w:eastAsia="en-GB"/>
            </w:rPr>
          </w:pPr>
          <w:hyperlink w:anchor="_Toc137807616" w:history="1">
            <w:r w:rsidRPr="00A411F6">
              <w:rPr>
                <w:rStyle w:val="Hyperlink"/>
                <w:noProof/>
              </w:rPr>
              <w:t>7.1.3 AS9145 Limitations &amp; Implications</w:t>
            </w:r>
            <w:r>
              <w:rPr>
                <w:noProof/>
                <w:webHidden/>
              </w:rPr>
              <w:tab/>
            </w:r>
            <w:r>
              <w:rPr>
                <w:noProof/>
                <w:webHidden/>
              </w:rPr>
              <w:fldChar w:fldCharType="begin"/>
            </w:r>
            <w:r>
              <w:rPr>
                <w:noProof/>
                <w:webHidden/>
              </w:rPr>
              <w:instrText xml:space="preserve"> PAGEREF _Toc137807616 \h </w:instrText>
            </w:r>
            <w:r>
              <w:rPr>
                <w:noProof/>
                <w:webHidden/>
              </w:rPr>
            </w:r>
            <w:r>
              <w:rPr>
                <w:noProof/>
                <w:webHidden/>
              </w:rPr>
              <w:fldChar w:fldCharType="separate"/>
            </w:r>
            <w:r>
              <w:rPr>
                <w:noProof/>
                <w:webHidden/>
              </w:rPr>
              <w:t>58</w:t>
            </w:r>
            <w:r>
              <w:rPr>
                <w:noProof/>
                <w:webHidden/>
              </w:rPr>
              <w:fldChar w:fldCharType="end"/>
            </w:r>
          </w:hyperlink>
        </w:p>
        <w:p w14:paraId="467788CE" w14:textId="774E3832"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17" w:history="1">
            <w:r w:rsidRPr="00A411F6">
              <w:rPr>
                <w:rStyle w:val="Hyperlink"/>
                <w:noProof/>
              </w:rPr>
              <w:t>7.2</w:t>
            </w:r>
            <w:r>
              <w:rPr>
                <w:rFonts w:asciiTheme="minorHAnsi" w:eastAsiaTheme="minorEastAsia" w:hAnsiTheme="minorHAnsi"/>
                <w:noProof/>
                <w:lang w:eastAsia="en-GB"/>
              </w:rPr>
              <w:tab/>
            </w:r>
            <w:r w:rsidRPr="00A411F6">
              <w:rPr>
                <w:rStyle w:val="Hyperlink"/>
                <w:noProof/>
              </w:rPr>
              <w:t>SGB</w:t>
            </w:r>
            <w:r>
              <w:rPr>
                <w:noProof/>
                <w:webHidden/>
              </w:rPr>
              <w:tab/>
            </w:r>
            <w:r>
              <w:rPr>
                <w:noProof/>
                <w:webHidden/>
              </w:rPr>
              <w:fldChar w:fldCharType="begin"/>
            </w:r>
            <w:r>
              <w:rPr>
                <w:noProof/>
                <w:webHidden/>
              </w:rPr>
              <w:instrText xml:space="preserve"> PAGEREF _Toc137807617 \h </w:instrText>
            </w:r>
            <w:r>
              <w:rPr>
                <w:noProof/>
                <w:webHidden/>
              </w:rPr>
            </w:r>
            <w:r>
              <w:rPr>
                <w:noProof/>
                <w:webHidden/>
              </w:rPr>
              <w:fldChar w:fldCharType="separate"/>
            </w:r>
            <w:r>
              <w:rPr>
                <w:noProof/>
                <w:webHidden/>
              </w:rPr>
              <w:t>59</w:t>
            </w:r>
            <w:r>
              <w:rPr>
                <w:noProof/>
                <w:webHidden/>
              </w:rPr>
              <w:fldChar w:fldCharType="end"/>
            </w:r>
          </w:hyperlink>
        </w:p>
        <w:p w14:paraId="72C817C1" w14:textId="711BB665"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18" w:history="1">
            <w:r w:rsidRPr="00A411F6">
              <w:rPr>
                <w:rStyle w:val="Hyperlink"/>
                <w:noProof/>
              </w:rPr>
              <w:t>7.2.1</w:t>
            </w:r>
            <w:r>
              <w:rPr>
                <w:rFonts w:asciiTheme="minorHAnsi" w:eastAsiaTheme="minorEastAsia" w:hAnsiTheme="minorHAnsi"/>
                <w:noProof/>
                <w:lang w:eastAsia="en-GB"/>
              </w:rPr>
              <w:tab/>
            </w:r>
            <w:r w:rsidRPr="00A411F6">
              <w:rPr>
                <w:rStyle w:val="Hyperlink"/>
                <w:noProof/>
              </w:rPr>
              <w:t>Production Process Run</w:t>
            </w:r>
            <w:r>
              <w:rPr>
                <w:noProof/>
                <w:webHidden/>
              </w:rPr>
              <w:tab/>
            </w:r>
            <w:r>
              <w:rPr>
                <w:noProof/>
                <w:webHidden/>
              </w:rPr>
              <w:fldChar w:fldCharType="begin"/>
            </w:r>
            <w:r>
              <w:rPr>
                <w:noProof/>
                <w:webHidden/>
              </w:rPr>
              <w:instrText xml:space="preserve"> PAGEREF _Toc137807618 \h </w:instrText>
            </w:r>
            <w:r>
              <w:rPr>
                <w:noProof/>
                <w:webHidden/>
              </w:rPr>
            </w:r>
            <w:r>
              <w:rPr>
                <w:noProof/>
                <w:webHidden/>
              </w:rPr>
              <w:fldChar w:fldCharType="separate"/>
            </w:r>
            <w:r>
              <w:rPr>
                <w:noProof/>
                <w:webHidden/>
              </w:rPr>
              <w:t>59</w:t>
            </w:r>
            <w:r>
              <w:rPr>
                <w:noProof/>
                <w:webHidden/>
              </w:rPr>
              <w:fldChar w:fldCharType="end"/>
            </w:r>
          </w:hyperlink>
        </w:p>
        <w:p w14:paraId="01444DEA" w14:textId="605987D7"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19" w:history="1">
            <w:r w:rsidRPr="00A411F6">
              <w:rPr>
                <w:rStyle w:val="Hyperlink"/>
                <w:noProof/>
              </w:rPr>
              <w:t>7.2.2</w:t>
            </w:r>
            <w:r>
              <w:rPr>
                <w:rFonts w:asciiTheme="minorHAnsi" w:eastAsiaTheme="minorEastAsia" w:hAnsiTheme="minorHAnsi"/>
                <w:noProof/>
                <w:lang w:eastAsia="en-GB"/>
              </w:rPr>
              <w:tab/>
            </w:r>
            <w:r w:rsidRPr="00A411F6">
              <w:rPr>
                <w:rStyle w:val="Hyperlink"/>
                <w:noProof/>
              </w:rPr>
              <w:t>Shipping Process</w:t>
            </w:r>
            <w:r>
              <w:rPr>
                <w:noProof/>
                <w:webHidden/>
              </w:rPr>
              <w:tab/>
            </w:r>
            <w:r>
              <w:rPr>
                <w:noProof/>
                <w:webHidden/>
              </w:rPr>
              <w:fldChar w:fldCharType="begin"/>
            </w:r>
            <w:r>
              <w:rPr>
                <w:noProof/>
                <w:webHidden/>
              </w:rPr>
              <w:instrText xml:space="preserve"> PAGEREF _Toc137807619 \h </w:instrText>
            </w:r>
            <w:r>
              <w:rPr>
                <w:noProof/>
                <w:webHidden/>
              </w:rPr>
            </w:r>
            <w:r>
              <w:rPr>
                <w:noProof/>
                <w:webHidden/>
              </w:rPr>
              <w:fldChar w:fldCharType="separate"/>
            </w:r>
            <w:r>
              <w:rPr>
                <w:noProof/>
                <w:webHidden/>
              </w:rPr>
              <w:t>60</w:t>
            </w:r>
            <w:r>
              <w:rPr>
                <w:noProof/>
                <w:webHidden/>
              </w:rPr>
              <w:fldChar w:fldCharType="end"/>
            </w:r>
          </w:hyperlink>
        </w:p>
        <w:p w14:paraId="346DB4CB" w14:textId="64AAD4DE"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20" w:history="1">
            <w:r w:rsidRPr="00A411F6">
              <w:rPr>
                <w:rStyle w:val="Hyperlink"/>
                <w:noProof/>
              </w:rPr>
              <w:t>7.2.3</w:t>
            </w:r>
            <w:r>
              <w:rPr>
                <w:rFonts w:asciiTheme="minorHAnsi" w:eastAsiaTheme="minorEastAsia" w:hAnsiTheme="minorHAnsi"/>
                <w:noProof/>
                <w:lang w:eastAsia="en-GB"/>
              </w:rPr>
              <w:tab/>
            </w:r>
            <w:r w:rsidRPr="00A411F6">
              <w:rPr>
                <w:rStyle w:val="Hyperlink"/>
                <w:noProof/>
              </w:rPr>
              <w:t>Lessons Learnt</w:t>
            </w:r>
            <w:r>
              <w:rPr>
                <w:noProof/>
                <w:webHidden/>
              </w:rPr>
              <w:tab/>
            </w:r>
            <w:r>
              <w:rPr>
                <w:noProof/>
                <w:webHidden/>
              </w:rPr>
              <w:fldChar w:fldCharType="begin"/>
            </w:r>
            <w:r>
              <w:rPr>
                <w:noProof/>
                <w:webHidden/>
              </w:rPr>
              <w:instrText xml:space="preserve"> PAGEREF _Toc137807620 \h </w:instrText>
            </w:r>
            <w:r>
              <w:rPr>
                <w:noProof/>
                <w:webHidden/>
              </w:rPr>
            </w:r>
            <w:r>
              <w:rPr>
                <w:noProof/>
                <w:webHidden/>
              </w:rPr>
              <w:fldChar w:fldCharType="separate"/>
            </w:r>
            <w:r>
              <w:rPr>
                <w:noProof/>
                <w:webHidden/>
              </w:rPr>
              <w:t>60</w:t>
            </w:r>
            <w:r>
              <w:rPr>
                <w:noProof/>
                <w:webHidden/>
              </w:rPr>
              <w:fldChar w:fldCharType="end"/>
            </w:r>
          </w:hyperlink>
        </w:p>
        <w:p w14:paraId="6FBD9EB8" w14:textId="0C4D302C"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21" w:history="1">
            <w:r w:rsidRPr="00A411F6">
              <w:rPr>
                <w:rStyle w:val="Hyperlink"/>
                <w:noProof/>
              </w:rPr>
              <w:t>7.2.4</w:t>
            </w:r>
            <w:r>
              <w:rPr>
                <w:rFonts w:asciiTheme="minorHAnsi" w:eastAsiaTheme="minorEastAsia" w:hAnsiTheme="minorHAnsi"/>
                <w:noProof/>
                <w:lang w:eastAsia="en-GB"/>
              </w:rPr>
              <w:tab/>
            </w:r>
            <w:r w:rsidRPr="00A411F6">
              <w:rPr>
                <w:rStyle w:val="Hyperlink"/>
                <w:noProof/>
              </w:rPr>
              <w:t>PPAP Submittal/Resubmittal</w:t>
            </w:r>
            <w:r>
              <w:rPr>
                <w:noProof/>
                <w:webHidden/>
              </w:rPr>
              <w:tab/>
            </w:r>
            <w:r>
              <w:rPr>
                <w:noProof/>
                <w:webHidden/>
              </w:rPr>
              <w:fldChar w:fldCharType="begin"/>
            </w:r>
            <w:r>
              <w:rPr>
                <w:noProof/>
                <w:webHidden/>
              </w:rPr>
              <w:instrText xml:space="preserve"> PAGEREF _Toc137807621 \h </w:instrText>
            </w:r>
            <w:r>
              <w:rPr>
                <w:noProof/>
                <w:webHidden/>
              </w:rPr>
            </w:r>
            <w:r>
              <w:rPr>
                <w:noProof/>
                <w:webHidden/>
              </w:rPr>
              <w:fldChar w:fldCharType="separate"/>
            </w:r>
            <w:r>
              <w:rPr>
                <w:noProof/>
                <w:webHidden/>
              </w:rPr>
              <w:t>60</w:t>
            </w:r>
            <w:r>
              <w:rPr>
                <w:noProof/>
                <w:webHidden/>
              </w:rPr>
              <w:fldChar w:fldCharType="end"/>
            </w:r>
          </w:hyperlink>
        </w:p>
        <w:p w14:paraId="587EEF6B" w14:textId="5FB52949" w:rsidR="008C301E" w:rsidRDefault="008C301E">
          <w:pPr>
            <w:pStyle w:val="TOC3"/>
            <w:tabs>
              <w:tab w:val="left" w:pos="1320"/>
              <w:tab w:val="right" w:leader="dot" w:pos="10185"/>
            </w:tabs>
            <w:rPr>
              <w:rFonts w:asciiTheme="minorHAnsi" w:eastAsiaTheme="minorEastAsia" w:hAnsiTheme="minorHAnsi"/>
              <w:noProof/>
              <w:lang w:eastAsia="en-GB"/>
            </w:rPr>
          </w:pPr>
          <w:hyperlink w:anchor="_Toc137807622" w:history="1">
            <w:r w:rsidRPr="00A411F6">
              <w:rPr>
                <w:rStyle w:val="Hyperlink"/>
                <w:noProof/>
              </w:rPr>
              <w:t>7.2.5</w:t>
            </w:r>
            <w:r>
              <w:rPr>
                <w:rFonts w:asciiTheme="minorHAnsi" w:eastAsiaTheme="minorEastAsia" w:hAnsiTheme="minorHAnsi"/>
                <w:noProof/>
                <w:lang w:eastAsia="en-GB"/>
              </w:rPr>
              <w:tab/>
            </w:r>
            <w:r w:rsidRPr="00A411F6">
              <w:rPr>
                <w:rStyle w:val="Hyperlink"/>
                <w:noProof/>
              </w:rPr>
              <w:t>SGB Limitations &amp; Implications</w:t>
            </w:r>
            <w:r>
              <w:rPr>
                <w:noProof/>
                <w:webHidden/>
              </w:rPr>
              <w:tab/>
            </w:r>
            <w:r>
              <w:rPr>
                <w:noProof/>
                <w:webHidden/>
              </w:rPr>
              <w:fldChar w:fldCharType="begin"/>
            </w:r>
            <w:r>
              <w:rPr>
                <w:noProof/>
                <w:webHidden/>
              </w:rPr>
              <w:instrText xml:space="preserve"> PAGEREF _Toc137807622 \h </w:instrText>
            </w:r>
            <w:r>
              <w:rPr>
                <w:noProof/>
                <w:webHidden/>
              </w:rPr>
            </w:r>
            <w:r>
              <w:rPr>
                <w:noProof/>
                <w:webHidden/>
              </w:rPr>
              <w:fldChar w:fldCharType="separate"/>
            </w:r>
            <w:r>
              <w:rPr>
                <w:noProof/>
                <w:webHidden/>
              </w:rPr>
              <w:t>61</w:t>
            </w:r>
            <w:r>
              <w:rPr>
                <w:noProof/>
                <w:webHidden/>
              </w:rPr>
              <w:fldChar w:fldCharType="end"/>
            </w:r>
          </w:hyperlink>
        </w:p>
        <w:p w14:paraId="18B3B3C4" w14:textId="53DF9601" w:rsidR="008C301E" w:rsidRDefault="008C301E">
          <w:pPr>
            <w:pStyle w:val="TOC2"/>
            <w:tabs>
              <w:tab w:val="left" w:pos="880"/>
              <w:tab w:val="right" w:leader="dot" w:pos="10185"/>
            </w:tabs>
            <w:rPr>
              <w:rFonts w:asciiTheme="minorHAnsi" w:eastAsiaTheme="minorEastAsia" w:hAnsiTheme="minorHAnsi"/>
              <w:noProof/>
              <w:lang w:eastAsia="en-GB"/>
            </w:rPr>
          </w:pPr>
          <w:hyperlink w:anchor="_Toc137807623" w:history="1">
            <w:r w:rsidRPr="00A411F6">
              <w:rPr>
                <w:rStyle w:val="Hyperlink"/>
                <w:noProof/>
              </w:rPr>
              <w:t>7.3</w:t>
            </w:r>
            <w:r>
              <w:rPr>
                <w:rFonts w:asciiTheme="minorHAnsi" w:eastAsiaTheme="minorEastAsia" w:hAnsiTheme="minorHAnsi"/>
                <w:noProof/>
                <w:lang w:eastAsia="en-GB"/>
              </w:rPr>
              <w:tab/>
            </w:r>
            <w:r w:rsidRPr="00A411F6">
              <w:rPr>
                <w:rStyle w:val="Hyperlink"/>
                <w:noProof/>
              </w:rPr>
              <w:t>General Project Management</w:t>
            </w:r>
            <w:r>
              <w:rPr>
                <w:noProof/>
                <w:webHidden/>
              </w:rPr>
              <w:tab/>
            </w:r>
            <w:r>
              <w:rPr>
                <w:noProof/>
                <w:webHidden/>
              </w:rPr>
              <w:fldChar w:fldCharType="begin"/>
            </w:r>
            <w:r>
              <w:rPr>
                <w:noProof/>
                <w:webHidden/>
              </w:rPr>
              <w:instrText xml:space="preserve"> PAGEREF _Toc137807623 \h </w:instrText>
            </w:r>
            <w:r>
              <w:rPr>
                <w:noProof/>
                <w:webHidden/>
              </w:rPr>
            </w:r>
            <w:r>
              <w:rPr>
                <w:noProof/>
                <w:webHidden/>
              </w:rPr>
              <w:fldChar w:fldCharType="separate"/>
            </w:r>
            <w:r>
              <w:rPr>
                <w:noProof/>
                <w:webHidden/>
              </w:rPr>
              <w:t>62</w:t>
            </w:r>
            <w:r>
              <w:rPr>
                <w:noProof/>
                <w:webHidden/>
              </w:rPr>
              <w:fldChar w:fldCharType="end"/>
            </w:r>
          </w:hyperlink>
        </w:p>
        <w:p w14:paraId="41041C27" w14:textId="364DCA00"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624" w:history="1">
            <w:r w:rsidRPr="00A411F6">
              <w:rPr>
                <w:rStyle w:val="Hyperlink"/>
                <w:noProof/>
              </w:rPr>
              <w:t>8.</w:t>
            </w:r>
            <w:r>
              <w:rPr>
                <w:rFonts w:asciiTheme="minorHAnsi" w:eastAsiaTheme="minorEastAsia" w:hAnsiTheme="minorHAnsi"/>
                <w:noProof/>
                <w:lang w:eastAsia="en-GB"/>
              </w:rPr>
              <w:tab/>
            </w:r>
            <w:r w:rsidRPr="00A411F6">
              <w:rPr>
                <w:rStyle w:val="Hyperlink"/>
                <w:noProof/>
              </w:rPr>
              <w:t>Recommended further work</w:t>
            </w:r>
            <w:r>
              <w:rPr>
                <w:noProof/>
                <w:webHidden/>
              </w:rPr>
              <w:tab/>
            </w:r>
            <w:r>
              <w:rPr>
                <w:noProof/>
                <w:webHidden/>
              </w:rPr>
              <w:fldChar w:fldCharType="begin"/>
            </w:r>
            <w:r>
              <w:rPr>
                <w:noProof/>
                <w:webHidden/>
              </w:rPr>
              <w:instrText xml:space="preserve"> PAGEREF _Toc137807624 \h </w:instrText>
            </w:r>
            <w:r>
              <w:rPr>
                <w:noProof/>
                <w:webHidden/>
              </w:rPr>
            </w:r>
            <w:r>
              <w:rPr>
                <w:noProof/>
                <w:webHidden/>
              </w:rPr>
              <w:fldChar w:fldCharType="separate"/>
            </w:r>
            <w:r>
              <w:rPr>
                <w:noProof/>
                <w:webHidden/>
              </w:rPr>
              <w:t>64</w:t>
            </w:r>
            <w:r>
              <w:rPr>
                <w:noProof/>
                <w:webHidden/>
              </w:rPr>
              <w:fldChar w:fldCharType="end"/>
            </w:r>
          </w:hyperlink>
        </w:p>
        <w:p w14:paraId="55B8D59D" w14:textId="6FC22F58" w:rsidR="008C301E" w:rsidRDefault="008C301E">
          <w:pPr>
            <w:pStyle w:val="TOC1"/>
            <w:tabs>
              <w:tab w:val="left" w:pos="440"/>
              <w:tab w:val="right" w:leader="dot" w:pos="10185"/>
            </w:tabs>
            <w:rPr>
              <w:rFonts w:asciiTheme="minorHAnsi" w:eastAsiaTheme="minorEastAsia" w:hAnsiTheme="minorHAnsi"/>
              <w:noProof/>
              <w:lang w:eastAsia="en-GB"/>
            </w:rPr>
          </w:pPr>
          <w:hyperlink w:anchor="_Toc137807625" w:history="1">
            <w:r w:rsidRPr="00A411F6">
              <w:rPr>
                <w:rStyle w:val="Hyperlink"/>
                <w:noProof/>
              </w:rPr>
              <w:t>9.</w:t>
            </w:r>
            <w:r>
              <w:rPr>
                <w:rFonts w:asciiTheme="minorHAnsi" w:eastAsiaTheme="minorEastAsia" w:hAnsiTheme="minorHAnsi"/>
                <w:noProof/>
                <w:lang w:eastAsia="en-GB"/>
              </w:rPr>
              <w:tab/>
            </w:r>
            <w:r w:rsidRPr="00A411F6">
              <w:rPr>
                <w:rStyle w:val="Hyperlink"/>
                <w:noProof/>
              </w:rPr>
              <w:t>References</w:t>
            </w:r>
            <w:r>
              <w:rPr>
                <w:noProof/>
                <w:webHidden/>
              </w:rPr>
              <w:tab/>
            </w:r>
            <w:r>
              <w:rPr>
                <w:noProof/>
                <w:webHidden/>
              </w:rPr>
              <w:fldChar w:fldCharType="begin"/>
            </w:r>
            <w:r>
              <w:rPr>
                <w:noProof/>
                <w:webHidden/>
              </w:rPr>
              <w:instrText xml:space="preserve"> PAGEREF _Toc137807625 \h </w:instrText>
            </w:r>
            <w:r>
              <w:rPr>
                <w:noProof/>
                <w:webHidden/>
              </w:rPr>
            </w:r>
            <w:r>
              <w:rPr>
                <w:noProof/>
                <w:webHidden/>
              </w:rPr>
              <w:fldChar w:fldCharType="separate"/>
            </w:r>
            <w:r>
              <w:rPr>
                <w:noProof/>
                <w:webHidden/>
              </w:rPr>
              <w:t>66</w:t>
            </w:r>
            <w:r>
              <w:rPr>
                <w:noProof/>
                <w:webHidden/>
              </w:rPr>
              <w:fldChar w:fldCharType="end"/>
            </w:r>
          </w:hyperlink>
        </w:p>
        <w:p w14:paraId="2EE7D2E2" w14:textId="5061B0DE" w:rsidR="008C301E" w:rsidRDefault="008C301E">
          <w:pPr>
            <w:pStyle w:val="TOC1"/>
            <w:tabs>
              <w:tab w:val="left" w:pos="660"/>
              <w:tab w:val="right" w:leader="dot" w:pos="10185"/>
            </w:tabs>
            <w:rPr>
              <w:rFonts w:asciiTheme="minorHAnsi" w:eastAsiaTheme="minorEastAsia" w:hAnsiTheme="minorHAnsi"/>
              <w:noProof/>
              <w:lang w:eastAsia="en-GB"/>
            </w:rPr>
          </w:pPr>
          <w:hyperlink w:anchor="_Toc137807626" w:history="1">
            <w:r w:rsidRPr="00A411F6">
              <w:rPr>
                <w:rStyle w:val="Hyperlink"/>
                <w:noProof/>
              </w:rPr>
              <w:t>10.</w:t>
            </w:r>
            <w:r>
              <w:rPr>
                <w:rFonts w:asciiTheme="minorHAnsi" w:eastAsiaTheme="minorEastAsia" w:hAnsiTheme="minorHAnsi"/>
                <w:noProof/>
                <w:lang w:eastAsia="en-GB"/>
              </w:rPr>
              <w:tab/>
            </w:r>
            <w:r w:rsidRPr="00A411F6">
              <w:rPr>
                <w:rStyle w:val="Hyperlink"/>
                <w:noProof/>
              </w:rPr>
              <w:t>Appendices</w:t>
            </w:r>
            <w:r>
              <w:rPr>
                <w:noProof/>
                <w:webHidden/>
              </w:rPr>
              <w:tab/>
            </w:r>
            <w:r>
              <w:rPr>
                <w:noProof/>
                <w:webHidden/>
              </w:rPr>
              <w:fldChar w:fldCharType="begin"/>
            </w:r>
            <w:r>
              <w:rPr>
                <w:noProof/>
                <w:webHidden/>
              </w:rPr>
              <w:instrText xml:space="preserve"> PAGEREF _Toc137807626 \h </w:instrText>
            </w:r>
            <w:r>
              <w:rPr>
                <w:noProof/>
                <w:webHidden/>
              </w:rPr>
            </w:r>
            <w:r>
              <w:rPr>
                <w:noProof/>
                <w:webHidden/>
              </w:rPr>
              <w:fldChar w:fldCharType="separate"/>
            </w:r>
            <w:r>
              <w:rPr>
                <w:noProof/>
                <w:webHidden/>
              </w:rPr>
              <w:t>68</w:t>
            </w:r>
            <w:r>
              <w:rPr>
                <w:noProof/>
                <w:webHidden/>
              </w:rPr>
              <w:fldChar w:fldCharType="end"/>
            </w:r>
          </w:hyperlink>
        </w:p>
        <w:p w14:paraId="4198C7C4" w14:textId="106D3719" w:rsidR="00872440" w:rsidRDefault="00872440">
          <w:r>
            <w:rPr>
              <w:b/>
              <w:bCs/>
              <w:noProof/>
            </w:rPr>
            <w:fldChar w:fldCharType="end"/>
          </w:r>
        </w:p>
      </w:sdtContent>
    </w:sdt>
    <w:p w14:paraId="1D348398" w14:textId="77777777" w:rsidR="009220EE" w:rsidRDefault="009220EE">
      <w:r>
        <w:br w:type="page"/>
      </w:r>
    </w:p>
    <w:p w14:paraId="02A92C73" w14:textId="77777777" w:rsidR="009220EE" w:rsidRDefault="009220EE" w:rsidP="009220EE">
      <w:pPr>
        <w:pStyle w:val="Heading1"/>
      </w:pPr>
      <w:bookmarkStart w:id="1" w:name="_Toc137807586"/>
      <w:r>
        <w:lastRenderedPageBreak/>
        <w:t>List of Figures</w:t>
      </w:r>
      <w:bookmarkEnd w:id="1"/>
    </w:p>
    <w:p w14:paraId="2F1ADD2B" w14:textId="77777777" w:rsidR="0084346A" w:rsidRPr="0084346A" w:rsidRDefault="0084346A" w:rsidP="0084346A"/>
    <w:p w14:paraId="4AE7A35D" w14:textId="59B37639" w:rsidR="008C301E" w:rsidRDefault="009220EE">
      <w:pPr>
        <w:pStyle w:val="TableofFigures"/>
        <w:tabs>
          <w:tab w:val="right" w:leader="dot" w:pos="10185"/>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37807627" w:history="1">
        <w:r w:rsidR="008C301E" w:rsidRPr="00924878">
          <w:rPr>
            <w:rStyle w:val="Hyperlink"/>
            <w:noProof/>
          </w:rPr>
          <w:t>Figure 1: Original Project Plan Top-Level Gantt chart</w:t>
        </w:r>
        <w:r w:rsidR="008C301E">
          <w:rPr>
            <w:noProof/>
            <w:webHidden/>
          </w:rPr>
          <w:tab/>
        </w:r>
        <w:r w:rsidR="008C301E">
          <w:rPr>
            <w:noProof/>
            <w:webHidden/>
          </w:rPr>
          <w:fldChar w:fldCharType="begin"/>
        </w:r>
        <w:r w:rsidR="008C301E">
          <w:rPr>
            <w:noProof/>
            <w:webHidden/>
          </w:rPr>
          <w:instrText xml:space="preserve"> PAGEREF _Toc137807627 \h </w:instrText>
        </w:r>
        <w:r w:rsidR="008C301E">
          <w:rPr>
            <w:noProof/>
            <w:webHidden/>
          </w:rPr>
        </w:r>
        <w:r w:rsidR="008C301E">
          <w:rPr>
            <w:noProof/>
            <w:webHidden/>
          </w:rPr>
          <w:fldChar w:fldCharType="separate"/>
        </w:r>
        <w:r w:rsidR="008C301E">
          <w:rPr>
            <w:noProof/>
            <w:webHidden/>
          </w:rPr>
          <w:t>11</w:t>
        </w:r>
        <w:r w:rsidR="008C301E">
          <w:rPr>
            <w:noProof/>
            <w:webHidden/>
          </w:rPr>
          <w:fldChar w:fldCharType="end"/>
        </w:r>
      </w:hyperlink>
    </w:p>
    <w:p w14:paraId="337307E5" w14:textId="4BD97CDB" w:rsidR="008C301E" w:rsidRDefault="008C301E">
      <w:pPr>
        <w:pStyle w:val="TableofFigures"/>
        <w:tabs>
          <w:tab w:val="right" w:leader="dot" w:pos="10185"/>
        </w:tabs>
        <w:rPr>
          <w:rFonts w:asciiTheme="minorHAnsi" w:eastAsiaTheme="minorEastAsia" w:hAnsiTheme="minorHAnsi"/>
          <w:noProof/>
          <w:lang w:eastAsia="en-GB"/>
        </w:rPr>
      </w:pPr>
      <w:hyperlink w:anchor="_Toc137807628" w:history="1">
        <w:r w:rsidRPr="00924878">
          <w:rPr>
            <w:rStyle w:val="Hyperlink"/>
            <w:noProof/>
          </w:rPr>
          <w:t>Figure 2: Original Project Plan Timeline with Milestones</w:t>
        </w:r>
        <w:r>
          <w:rPr>
            <w:noProof/>
            <w:webHidden/>
          </w:rPr>
          <w:tab/>
        </w:r>
        <w:r>
          <w:rPr>
            <w:noProof/>
            <w:webHidden/>
          </w:rPr>
          <w:fldChar w:fldCharType="begin"/>
        </w:r>
        <w:r>
          <w:rPr>
            <w:noProof/>
            <w:webHidden/>
          </w:rPr>
          <w:instrText xml:space="preserve"> PAGEREF _Toc137807628 \h </w:instrText>
        </w:r>
        <w:r>
          <w:rPr>
            <w:noProof/>
            <w:webHidden/>
          </w:rPr>
        </w:r>
        <w:r>
          <w:rPr>
            <w:noProof/>
            <w:webHidden/>
          </w:rPr>
          <w:fldChar w:fldCharType="separate"/>
        </w:r>
        <w:r>
          <w:rPr>
            <w:noProof/>
            <w:webHidden/>
          </w:rPr>
          <w:t>12</w:t>
        </w:r>
        <w:r>
          <w:rPr>
            <w:noProof/>
            <w:webHidden/>
          </w:rPr>
          <w:fldChar w:fldCharType="end"/>
        </w:r>
      </w:hyperlink>
    </w:p>
    <w:p w14:paraId="5F029F40" w14:textId="318EB1A9" w:rsidR="008C301E" w:rsidRDefault="008C301E">
      <w:pPr>
        <w:pStyle w:val="TableofFigures"/>
        <w:tabs>
          <w:tab w:val="right" w:leader="dot" w:pos="10185"/>
        </w:tabs>
        <w:rPr>
          <w:rFonts w:asciiTheme="minorHAnsi" w:eastAsiaTheme="minorEastAsia" w:hAnsiTheme="minorHAnsi"/>
          <w:noProof/>
          <w:lang w:eastAsia="en-GB"/>
        </w:rPr>
      </w:pPr>
      <w:hyperlink w:anchor="_Toc137807629" w:history="1">
        <w:r w:rsidRPr="00924878">
          <w:rPr>
            <w:rStyle w:val="Hyperlink"/>
            <w:noProof/>
          </w:rPr>
          <w:t>Figure 3: Final Project Plan Top-Level Gantt chart</w:t>
        </w:r>
        <w:r>
          <w:rPr>
            <w:noProof/>
            <w:webHidden/>
          </w:rPr>
          <w:tab/>
        </w:r>
        <w:r>
          <w:rPr>
            <w:noProof/>
            <w:webHidden/>
          </w:rPr>
          <w:fldChar w:fldCharType="begin"/>
        </w:r>
        <w:r>
          <w:rPr>
            <w:noProof/>
            <w:webHidden/>
          </w:rPr>
          <w:instrText xml:space="preserve"> PAGEREF _Toc137807629 \h </w:instrText>
        </w:r>
        <w:r>
          <w:rPr>
            <w:noProof/>
            <w:webHidden/>
          </w:rPr>
        </w:r>
        <w:r>
          <w:rPr>
            <w:noProof/>
            <w:webHidden/>
          </w:rPr>
          <w:fldChar w:fldCharType="separate"/>
        </w:r>
        <w:r>
          <w:rPr>
            <w:noProof/>
            <w:webHidden/>
          </w:rPr>
          <w:t>12</w:t>
        </w:r>
        <w:r>
          <w:rPr>
            <w:noProof/>
            <w:webHidden/>
          </w:rPr>
          <w:fldChar w:fldCharType="end"/>
        </w:r>
      </w:hyperlink>
    </w:p>
    <w:p w14:paraId="02A449E6" w14:textId="6DBC3ABD" w:rsidR="008C301E" w:rsidRDefault="008C301E">
      <w:pPr>
        <w:pStyle w:val="TableofFigures"/>
        <w:tabs>
          <w:tab w:val="right" w:leader="dot" w:pos="10185"/>
        </w:tabs>
        <w:rPr>
          <w:rFonts w:asciiTheme="minorHAnsi" w:eastAsiaTheme="minorEastAsia" w:hAnsiTheme="minorHAnsi"/>
          <w:noProof/>
          <w:lang w:eastAsia="en-GB"/>
        </w:rPr>
      </w:pPr>
      <w:hyperlink w:anchor="_Toc137807630" w:history="1">
        <w:r w:rsidRPr="00924878">
          <w:rPr>
            <w:rStyle w:val="Hyperlink"/>
            <w:noProof/>
          </w:rPr>
          <w:t>Figure 4: Final Project Plan Timeline with Milestones</w:t>
        </w:r>
        <w:r>
          <w:rPr>
            <w:noProof/>
            <w:webHidden/>
          </w:rPr>
          <w:tab/>
        </w:r>
        <w:r>
          <w:rPr>
            <w:noProof/>
            <w:webHidden/>
          </w:rPr>
          <w:fldChar w:fldCharType="begin"/>
        </w:r>
        <w:r>
          <w:rPr>
            <w:noProof/>
            <w:webHidden/>
          </w:rPr>
          <w:instrText xml:space="preserve"> PAGEREF _Toc137807630 \h </w:instrText>
        </w:r>
        <w:r>
          <w:rPr>
            <w:noProof/>
            <w:webHidden/>
          </w:rPr>
        </w:r>
        <w:r>
          <w:rPr>
            <w:noProof/>
            <w:webHidden/>
          </w:rPr>
          <w:fldChar w:fldCharType="separate"/>
        </w:r>
        <w:r>
          <w:rPr>
            <w:noProof/>
            <w:webHidden/>
          </w:rPr>
          <w:t>13</w:t>
        </w:r>
        <w:r>
          <w:rPr>
            <w:noProof/>
            <w:webHidden/>
          </w:rPr>
          <w:fldChar w:fldCharType="end"/>
        </w:r>
      </w:hyperlink>
    </w:p>
    <w:p w14:paraId="73B3A264" w14:textId="40522B2D" w:rsidR="008C301E" w:rsidRDefault="008C301E">
      <w:pPr>
        <w:pStyle w:val="TableofFigures"/>
        <w:tabs>
          <w:tab w:val="right" w:leader="dot" w:pos="10185"/>
        </w:tabs>
        <w:rPr>
          <w:rFonts w:asciiTheme="minorHAnsi" w:eastAsiaTheme="minorEastAsia" w:hAnsiTheme="minorHAnsi"/>
          <w:noProof/>
          <w:lang w:eastAsia="en-GB"/>
        </w:rPr>
      </w:pPr>
      <w:hyperlink w:anchor="_Toc137807631" w:history="1">
        <w:r w:rsidRPr="00924878">
          <w:rPr>
            <w:rStyle w:val="Hyperlink"/>
            <w:b/>
            <w:noProof/>
          </w:rPr>
          <w:t>Figure 5: Example of an SPC chart</w:t>
        </w:r>
        <w:r w:rsidRPr="00924878">
          <w:rPr>
            <w:rStyle w:val="Hyperlink"/>
            <w:noProof/>
          </w:rPr>
          <w:t>, The process output is measured at each time point and the measurements are added to the chart as points joined by a line. The horizontal solid line at the centre represents the nominal value and the dashed horizontal lines represents the upper/lower acceptable limits for the process output. Figure adapted from (OPEX Resources, 2017)</w:t>
        </w:r>
        <w:r>
          <w:rPr>
            <w:noProof/>
            <w:webHidden/>
          </w:rPr>
          <w:tab/>
        </w:r>
        <w:r>
          <w:rPr>
            <w:noProof/>
            <w:webHidden/>
          </w:rPr>
          <w:fldChar w:fldCharType="begin"/>
        </w:r>
        <w:r>
          <w:rPr>
            <w:noProof/>
            <w:webHidden/>
          </w:rPr>
          <w:instrText xml:space="preserve"> PAGEREF _Toc137807631 \h </w:instrText>
        </w:r>
        <w:r>
          <w:rPr>
            <w:noProof/>
            <w:webHidden/>
          </w:rPr>
        </w:r>
        <w:r>
          <w:rPr>
            <w:noProof/>
            <w:webHidden/>
          </w:rPr>
          <w:fldChar w:fldCharType="separate"/>
        </w:r>
        <w:r>
          <w:rPr>
            <w:noProof/>
            <w:webHidden/>
          </w:rPr>
          <w:t>15</w:t>
        </w:r>
        <w:r>
          <w:rPr>
            <w:noProof/>
            <w:webHidden/>
          </w:rPr>
          <w:fldChar w:fldCharType="end"/>
        </w:r>
      </w:hyperlink>
    </w:p>
    <w:p w14:paraId="4D69CC1E" w14:textId="066C2349" w:rsidR="008C301E" w:rsidRDefault="008C301E">
      <w:pPr>
        <w:pStyle w:val="TableofFigures"/>
        <w:tabs>
          <w:tab w:val="right" w:leader="dot" w:pos="10185"/>
        </w:tabs>
        <w:rPr>
          <w:rFonts w:asciiTheme="minorHAnsi" w:eastAsiaTheme="minorEastAsia" w:hAnsiTheme="minorHAnsi"/>
          <w:noProof/>
          <w:lang w:eastAsia="en-GB"/>
        </w:rPr>
      </w:pPr>
      <w:hyperlink w:anchor="_Toc137807632" w:history="1">
        <w:r w:rsidRPr="00924878">
          <w:rPr>
            <w:rStyle w:val="Hyperlink"/>
            <w:b/>
            <w:noProof/>
          </w:rPr>
          <w:t>Figure 6: Example of a DFMEA</w:t>
        </w:r>
        <w:r w:rsidRPr="00924878">
          <w:rPr>
            <w:rStyle w:val="Hyperlink"/>
            <w:noProof/>
          </w:rPr>
          <w:t>, using the SGB template</w:t>
        </w:r>
        <w:r>
          <w:rPr>
            <w:noProof/>
            <w:webHidden/>
          </w:rPr>
          <w:tab/>
        </w:r>
        <w:r>
          <w:rPr>
            <w:noProof/>
            <w:webHidden/>
          </w:rPr>
          <w:fldChar w:fldCharType="begin"/>
        </w:r>
        <w:r>
          <w:rPr>
            <w:noProof/>
            <w:webHidden/>
          </w:rPr>
          <w:instrText xml:space="preserve"> PAGEREF _Toc137807632 \h </w:instrText>
        </w:r>
        <w:r>
          <w:rPr>
            <w:noProof/>
            <w:webHidden/>
          </w:rPr>
        </w:r>
        <w:r>
          <w:rPr>
            <w:noProof/>
            <w:webHidden/>
          </w:rPr>
          <w:fldChar w:fldCharType="separate"/>
        </w:r>
        <w:r>
          <w:rPr>
            <w:noProof/>
            <w:webHidden/>
          </w:rPr>
          <w:t>16</w:t>
        </w:r>
        <w:r>
          <w:rPr>
            <w:noProof/>
            <w:webHidden/>
          </w:rPr>
          <w:fldChar w:fldCharType="end"/>
        </w:r>
      </w:hyperlink>
    </w:p>
    <w:p w14:paraId="6EC87A21" w14:textId="21D57C63" w:rsidR="008C301E" w:rsidRDefault="008C301E">
      <w:pPr>
        <w:pStyle w:val="TableofFigures"/>
        <w:tabs>
          <w:tab w:val="right" w:leader="dot" w:pos="10185"/>
        </w:tabs>
        <w:rPr>
          <w:rFonts w:asciiTheme="minorHAnsi" w:eastAsiaTheme="minorEastAsia" w:hAnsiTheme="minorHAnsi"/>
          <w:noProof/>
          <w:lang w:eastAsia="en-GB"/>
        </w:rPr>
      </w:pPr>
      <w:hyperlink w:anchor="_Toc137807633" w:history="1">
        <w:r w:rsidRPr="00924878">
          <w:rPr>
            <w:rStyle w:val="Hyperlink"/>
            <w:b/>
            <w:noProof/>
          </w:rPr>
          <w:t>Figure 7: PDCA cycle</w:t>
        </w:r>
        <w:r w:rsidRPr="00924878">
          <w:rPr>
            <w:rStyle w:val="Hyperlink"/>
            <w:noProof/>
          </w:rPr>
          <w:t xml:space="preserve"> “Deming’s cycle” refined by Ishikawa. Figure adapted from (Institute For Manufacturing - Cambridge University, 2023)</w:t>
        </w:r>
        <w:r>
          <w:rPr>
            <w:noProof/>
            <w:webHidden/>
          </w:rPr>
          <w:tab/>
        </w:r>
        <w:r>
          <w:rPr>
            <w:noProof/>
            <w:webHidden/>
          </w:rPr>
          <w:fldChar w:fldCharType="begin"/>
        </w:r>
        <w:r>
          <w:rPr>
            <w:noProof/>
            <w:webHidden/>
          </w:rPr>
          <w:instrText xml:space="preserve"> PAGEREF _Toc137807633 \h </w:instrText>
        </w:r>
        <w:r>
          <w:rPr>
            <w:noProof/>
            <w:webHidden/>
          </w:rPr>
        </w:r>
        <w:r>
          <w:rPr>
            <w:noProof/>
            <w:webHidden/>
          </w:rPr>
          <w:fldChar w:fldCharType="separate"/>
        </w:r>
        <w:r>
          <w:rPr>
            <w:noProof/>
            <w:webHidden/>
          </w:rPr>
          <w:t>17</w:t>
        </w:r>
        <w:r>
          <w:rPr>
            <w:noProof/>
            <w:webHidden/>
          </w:rPr>
          <w:fldChar w:fldCharType="end"/>
        </w:r>
      </w:hyperlink>
    </w:p>
    <w:p w14:paraId="1C023F06" w14:textId="133B8E1F" w:rsidR="008C301E" w:rsidRDefault="008C301E">
      <w:pPr>
        <w:pStyle w:val="TableofFigures"/>
        <w:tabs>
          <w:tab w:val="right" w:leader="dot" w:pos="10185"/>
        </w:tabs>
        <w:rPr>
          <w:rFonts w:asciiTheme="minorHAnsi" w:eastAsiaTheme="minorEastAsia" w:hAnsiTheme="minorHAnsi"/>
          <w:noProof/>
          <w:lang w:eastAsia="en-GB"/>
        </w:rPr>
      </w:pPr>
      <w:hyperlink w:anchor="_Toc137807634" w:history="1">
        <w:r w:rsidRPr="00924878">
          <w:rPr>
            <w:rStyle w:val="Hyperlink"/>
            <w:b/>
            <w:noProof/>
          </w:rPr>
          <w:t>Figure 8: APQP 3 pillars</w:t>
        </w:r>
        <w:r w:rsidRPr="00924878">
          <w:rPr>
            <w:rStyle w:val="Hyperlink"/>
            <w:noProof/>
          </w:rPr>
          <w:t xml:space="preserve"> approach to improve customer satisfaction. Figure from (Țîțu and Pop, 2021)</w:t>
        </w:r>
        <w:r>
          <w:rPr>
            <w:noProof/>
            <w:webHidden/>
          </w:rPr>
          <w:tab/>
        </w:r>
        <w:r>
          <w:rPr>
            <w:noProof/>
            <w:webHidden/>
          </w:rPr>
          <w:fldChar w:fldCharType="begin"/>
        </w:r>
        <w:r>
          <w:rPr>
            <w:noProof/>
            <w:webHidden/>
          </w:rPr>
          <w:instrText xml:space="preserve"> PAGEREF _Toc137807634 \h </w:instrText>
        </w:r>
        <w:r>
          <w:rPr>
            <w:noProof/>
            <w:webHidden/>
          </w:rPr>
        </w:r>
        <w:r>
          <w:rPr>
            <w:noProof/>
            <w:webHidden/>
          </w:rPr>
          <w:fldChar w:fldCharType="separate"/>
        </w:r>
        <w:r>
          <w:rPr>
            <w:noProof/>
            <w:webHidden/>
          </w:rPr>
          <w:t>18</w:t>
        </w:r>
        <w:r>
          <w:rPr>
            <w:noProof/>
            <w:webHidden/>
          </w:rPr>
          <w:fldChar w:fldCharType="end"/>
        </w:r>
      </w:hyperlink>
    </w:p>
    <w:p w14:paraId="1D38868C" w14:textId="7355FD66" w:rsidR="008C301E" w:rsidRDefault="008C301E">
      <w:pPr>
        <w:pStyle w:val="TableofFigures"/>
        <w:tabs>
          <w:tab w:val="right" w:leader="dot" w:pos="10185"/>
        </w:tabs>
        <w:rPr>
          <w:rFonts w:asciiTheme="minorHAnsi" w:eastAsiaTheme="minorEastAsia" w:hAnsiTheme="minorHAnsi"/>
          <w:noProof/>
          <w:lang w:eastAsia="en-GB"/>
        </w:rPr>
      </w:pPr>
      <w:hyperlink w:anchor="_Toc137807635" w:history="1">
        <w:r w:rsidRPr="00924878">
          <w:rPr>
            <w:rStyle w:val="Hyperlink"/>
            <w:b/>
            <w:noProof/>
          </w:rPr>
          <w:t>Figure 9: APQP structure</w:t>
        </w:r>
        <w:r w:rsidRPr="00924878">
          <w:rPr>
            <w:rStyle w:val="Hyperlink"/>
            <w:noProof/>
          </w:rPr>
          <w:t xml:space="preserve"> defining the composition of an APQP methodology. Figure from (Țîțu and Pop, 2021)</w:t>
        </w:r>
        <w:r>
          <w:rPr>
            <w:noProof/>
            <w:webHidden/>
          </w:rPr>
          <w:tab/>
        </w:r>
        <w:r>
          <w:rPr>
            <w:noProof/>
            <w:webHidden/>
          </w:rPr>
          <w:fldChar w:fldCharType="begin"/>
        </w:r>
        <w:r>
          <w:rPr>
            <w:noProof/>
            <w:webHidden/>
          </w:rPr>
          <w:instrText xml:space="preserve"> PAGEREF _Toc137807635 \h </w:instrText>
        </w:r>
        <w:r>
          <w:rPr>
            <w:noProof/>
            <w:webHidden/>
          </w:rPr>
        </w:r>
        <w:r>
          <w:rPr>
            <w:noProof/>
            <w:webHidden/>
          </w:rPr>
          <w:fldChar w:fldCharType="separate"/>
        </w:r>
        <w:r>
          <w:rPr>
            <w:noProof/>
            <w:webHidden/>
          </w:rPr>
          <w:t>19</w:t>
        </w:r>
        <w:r>
          <w:rPr>
            <w:noProof/>
            <w:webHidden/>
          </w:rPr>
          <w:fldChar w:fldCharType="end"/>
        </w:r>
      </w:hyperlink>
    </w:p>
    <w:p w14:paraId="1C8E79A2" w14:textId="2D00DB1D" w:rsidR="008C301E" w:rsidRDefault="008C301E">
      <w:pPr>
        <w:pStyle w:val="TableofFigures"/>
        <w:tabs>
          <w:tab w:val="right" w:leader="dot" w:pos="10185"/>
        </w:tabs>
        <w:rPr>
          <w:rFonts w:asciiTheme="minorHAnsi" w:eastAsiaTheme="minorEastAsia" w:hAnsiTheme="minorHAnsi"/>
          <w:noProof/>
          <w:lang w:eastAsia="en-GB"/>
        </w:rPr>
      </w:pPr>
      <w:hyperlink w:anchor="_Toc137807636" w:history="1">
        <w:r w:rsidRPr="00924878">
          <w:rPr>
            <w:rStyle w:val="Hyperlink"/>
            <w:b/>
            <w:noProof/>
          </w:rPr>
          <w:t>Figure 10: APQP Phases</w:t>
        </w:r>
        <w:r w:rsidRPr="00924878">
          <w:rPr>
            <w:rStyle w:val="Hyperlink"/>
            <w:noProof/>
          </w:rPr>
          <w:t xml:space="preserve"> and timing of phases within an APQP project. Diagram from (Chiliban, Baral and Kifor, 2014)</w:t>
        </w:r>
        <w:r>
          <w:rPr>
            <w:noProof/>
            <w:webHidden/>
          </w:rPr>
          <w:tab/>
        </w:r>
        <w:r>
          <w:rPr>
            <w:noProof/>
            <w:webHidden/>
          </w:rPr>
          <w:fldChar w:fldCharType="begin"/>
        </w:r>
        <w:r>
          <w:rPr>
            <w:noProof/>
            <w:webHidden/>
          </w:rPr>
          <w:instrText xml:space="preserve"> PAGEREF _Toc137807636 \h </w:instrText>
        </w:r>
        <w:r>
          <w:rPr>
            <w:noProof/>
            <w:webHidden/>
          </w:rPr>
        </w:r>
        <w:r>
          <w:rPr>
            <w:noProof/>
            <w:webHidden/>
          </w:rPr>
          <w:fldChar w:fldCharType="separate"/>
        </w:r>
        <w:r>
          <w:rPr>
            <w:noProof/>
            <w:webHidden/>
          </w:rPr>
          <w:t>24</w:t>
        </w:r>
        <w:r>
          <w:rPr>
            <w:noProof/>
            <w:webHidden/>
          </w:rPr>
          <w:fldChar w:fldCharType="end"/>
        </w:r>
      </w:hyperlink>
    </w:p>
    <w:p w14:paraId="20DD0E5A" w14:textId="390A9780" w:rsidR="008C301E" w:rsidRDefault="008C301E">
      <w:pPr>
        <w:pStyle w:val="TableofFigures"/>
        <w:tabs>
          <w:tab w:val="right" w:leader="dot" w:pos="10185"/>
        </w:tabs>
        <w:rPr>
          <w:rFonts w:asciiTheme="minorHAnsi" w:eastAsiaTheme="minorEastAsia" w:hAnsiTheme="minorHAnsi"/>
          <w:noProof/>
          <w:lang w:eastAsia="en-GB"/>
        </w:rPr>
      </w:pPr>
      <w:hyperlink w:anchor="_Toc137807637" w:history="1">
        <w:r w:rsidRPr="00924878">
          <w:rPr>
            <w:rStyle w:val="Hyperlink"/>
            <w:b/>
            <w:noProof/>
          </w:rPr>
          <w:t>Figure 11: APQP project savings</w:t>
        </w:r>
        <w:r w:rsidRPr="00924878">
          <w:rPr>
            <w:rStyle w:val="Hyperlink"/>
            <w:noProof/>
          </w:rPr>
          <w:t xml:space="preserve"> based on theoretical financial values. Comparison between current state (area under red line) and APQP approach (area under green line), as a function Total Cost of Quality over Time. Figure from (Titu and Cupsan, 2019). Due to the nature of a new product development, the graph compares theoretical data as it would be impractical for a company to absorb the cost of running in parallel two new product development projects, one aligned to APQP methodologies and one not, to gain a true reflection of any savings realised. It would also not be possible to compare two different products’ new development results as the products would be very different from one another, with different risks associated to each project.</w:t>
        </w:r>
        <w:r>
          <w:rPr>
            <w:noProof/>
            <w:webHidden/>
          </w:rPr>
          <w:tab/>
        </w:r>
        <w:r>
          <w:rPr>
            <w:noProof/>
            <w:webHidden/>
          </w:rPr>
          <w:fldChar w:fldCharType="begin"/>
        </w:r>
        <w:r>
          <w:rPr>
            <w:noProof/>
            <w:webHidden/>
          </w:rPr>
          <w:instrText xml:space="preserve"> PAGEREF _Toc137807637 \h </w:instrText>
        </w:r>
        <w:r>
          <w:rPr>
            <w:noProof/>
            <w:webHidden/>
          </w:rPr>
        </w:r>
        <w:r>
          <w:rPr>
            <w:noProof/>
            <w:webHidden/>
          </w:rPr>
          <w:fldChar w:fldCharType="separate"/>
        </w:r>
        <w:r>
          <w:rPr>
            <w:noProof/>
            <w:webHidden/>
          </w:rPr>
          <w:t>25</w:t>
        </w:r>
        <w:r>
          <w:rPr>
            <w:noProof/>
            <w:webHidden/>
          </w:rPr>
          <w:fldChar w:fldCharType="end"/>
        </w:r>
      </w:hyperlink>
    </w:p>
    <w:p w14:paraId="5B7C45A5" w14:textId="41DF4442" w:rsidR="008C301E" w:rsidRDefault="008C301E">
      <w:pPr>
        <w:pStyle w:val="TableofFigures"/>
        <w:tabs>
          <w:tab w:val="right" w:leader="dot" w:pos="10185"/>
        </w:tabs>
        <w:rPr>
          <w:rFonts w:asciiTheme="minorHAnsi" w:eastAsiaTheme="minorEastAsia" w:hAnsiTheme="minorHAnsi"/>
          <w:noProof/>
          <w:lang w:eastAsia="en-GB"/>
        </w:rPr>
      </w:pPr>
      <w:hyperlink w:anchor="_Toc137807638" w:history="1">
        <w:r w:rsidRPr="00924878">
          <w:rPr>
            <w:rStyle w:val="Hyperlink"/>
            <w:b/>
            <w:noProof/>
          </w:rPr>
          <w:t>Figure 12: Aviation Standards (AS) diagram</w:t>
        </w:r>
        <w:r w:rsidRPr="00924878">
          <w:rPr>
            <w:rStyle w:val="Hyperlink"/>
            <w:noProof/>
          </w:rPr>
          <w:t xml:space="preserve"> demonstrating the central AS9100 accreditation and the other underlying AS standards. Figure from (Pop et al., 2018)</w:t>
        </w:r>
        <w:r>
          <w:rPr>
            <w:noProof/>
            <w:webHidden/>
          </w:rPr>
          <w:tab/>
        </w:r>
        <w:r>
          <w:rPr>
            <w:noProof/>
            <w:webHidden/>
          </w:rPr>
          <w:fldChar w:fldCharType="begin"/>
        </w:r>
        <w:r>
          <w:rPr>
            <w:noProof/>
            <w:webHidden/>
          </w:rPr>
          <w:instrText xml:space="preserve"> PAGEREF _Toc137807638 \h </w:instrText>
        </w:r>
        <w:r>
          <w:rPr>
            <w:noProof/>
            <w:webHidden/>
          </w:rPr>
        </w:r>
        <w:r>
          <w:rPr>
            <w:noProof/>
            <w:webHidden/>
          </w:rPr>
          <w:fldChar w:fldCharType="separate"/>
        </w:r>
        <w:r>
          <w:rPr>
            <w:noProof/>
            <w:webHidden/>
          </w:rPr>
          <w:t>28</w:t>
        </w:r>
        <w:r>
          <w:rPr>
            <w:noProof/>
            <w:webHidden/>
          </w:rPr>
          <w:fldChar w:fldCharType="end"/>
        </w:r>
      </w:hyperlink>
    </w:p>
    <w:p w14:paraId="4988B890" w14:textId="14D1F895" w:rsidR="008C301E" w:rsidRDefault="008C301E">
      <w:pPr>
        <w:pStyle w:val="TableofFigures"/>
        <w:tabs>
          <w:tab w:val="right" w:leader="dot" w:pos="10185"/>
        </w:tabs>
        <w:rPr>
          <w:rFonts w:asciiTheme="minorHAnsi" w:eastAsiaTheme="minorEastAsia" w:hAnsiTheme="minorHAnsi"/>
          <w:noProof/>
          <w:lang w:eastAsia="en-GB"/>
        </w:rPr>
      </w:pPr>
      <w:hyperlink w:anchor="_Toc137807639" w:history="1">
        <w:r w:rsidRPr="00924878">
          <w:rPr>
            <w:rStyle w:val="Hyperlink"/>
            <w:b/>
            <w:noProof/>
          </w:rPr>
          <w:t>Figure 13: Total Quality Management (TQM)</w:t>
        </w:r>
        <w:r w:rsidRPr="00924878">
          <w:rPr>
            <w:rStyle w:val="Hyperlink"/>
            <w:noProof/>
          </w:rPr>
          <w:t xml:space="preserve"> principles</w:t>
        </w:r>
        <w:r>
          <w:rPr>
            <w:noProof/>
            <w:webHidden/>
          </w:rPr>
          <w:tab/>
        </w:r>
        <w:r>
          <w:rPr>
            <w:noProof/>
            <w:webHidden/>
          </w:rPr>
          <w:fldChar w:fldCharType="begin"/>
        </w:r>
        <w:r>
          <w:rPr>
            <w:noProof/>
            <w:webHidden/>
          </w:rPr>
          <w:instrText xml:space="preserve"> PAGEREF _Toc137807639 \h </w:instrText>
        </w:r>
        <w:r>
          <w:rPr>
            <w:noProof/>
            <w:webHidden/>
          </w:rPr>
        </w:r>
        <w:r>
          <w:rPr>
            <w:noProof/>
            <w:webHidden/>
          </w:rPr>
          <w:fldChar w:fldCharType="separate"/>
        </w:r>
        <w:r>
          <w:rPr>
            <w:noProof/>
            <w:webHidden/>
          </w:rPr>
          <w:t>29</w:t>
        </w:r>
        <w:r>
          <w:rPr>
            <w:noProof/>
            <w:webHidden/>
          </w:rPr>
          <w:fldChar w:fldCharType="end"/>
        </w:r>
      </w:hyperlink>
    </w:p>
    <w:p w14:paraId="1D1D3C30" w14:textId="094D96A6" w:rsidR="008C301E" w:rsidRDefault="008C301E">
      <w:pPr>
        <w:pStyle w:val="TableofFigures"/>
        <w:tabs>
          <w:tab w:val="right" w:leader="dot" w:pos="10185"/>
        </w:tabs>
        <w:rPr>
          <w:rFonts w:asciiTheme="minorHAnsi" w:eastAsiaTheme="minorEastAsia" w:hAnsiTheme="minorHAnsi"/>
          <w:noProof/>
          <w:lang w:eastAsia="en-GB"/>
        </w:rPr>
      </w:pPr>
      <w:hyperlink w:anchor="_Toc137807640" w:history="1">
        <w:r w:rsidRPr="00924878">
          <w:rPr>
            <w:rStyle w:val="Hyperlink"/>
            <w:b/>
            <w:noProof/>
          </w:rPr>
          <w:t>Figure 14: SGB APQP alignment against standard SGB industrialisation processes</w:t>
        </w:r>
        <w:r w:rsidRPr="00924878">
          <w:rPr>
            <w:rStyle w:val="Hyperlink"/>
            <w:noProof/>
          </w:rPr>
          <w:t>, including supplier management process (GRP-0087) &amp; Master Program Scheduling (PROMPT)</w:t>
        </w:r>
        <w:r>
          <w:rPr>
            <w:noProof/>
            <w:webHidden/>
          </w:rPr>
          <w:tab/>
        </w:r>
        <w:r>
          <w:rPr>
            <w:noProof/>
            <w:webHidden/>
          </w:rPr>
          <w:fldChar w:fldCharType="begin"/>
        </w:r>
        <w:r>
          <w:rPr>
            <w:noProof/>
            <w:webHidden/>
          </w:rPr>
          <w:instrText xml:space="preserve"> PAGEREF _Toc137807640 \h </w:instrText>
        </w:r>
        <w:r>
          <w:rPr>
            <w:noProof/>
            <w:webHidden/>
          </w:rPr>
        </w:r>
        <w:r>
          <w:rPr>
            <w:noProof/>
            <w:webHidden/>
          </w:rPr>
          <w:fldChar w:fldCharType="separate"/>
        </w:r>
        <w:r>
          <w:rPr>
            <w:noProof/>
            <w:webHidden/>
          </w:rPr>
          <w:t>31</w:t>
        </w:r>
        <w:r>
          <w:rPr>
            <w:noProof/>
            <w:webHidden/>
          </w:rPr>
          <w:fldChar w:fldCharType="end"/>
        </w:r>
      </w:hyperlink>
    </w:p>
    <w:p w14:paraId="059AC90B" w14:textId="3140B7F2" w:rsidR="008C301E" w:rsidRDefault="008C301E">
      <w:pPr>
        <w:pStyle w:val="TableofFigures"/>
        <w:tabs>
          <w:tab w:val="right" w:leader="dot" w:pos="10185"/>
        </w:tabs>
        <w:rPr>
          <w:rFonts w:asciiTheme="minorHAnsi" w:eastAsiaTheme="minorEastAsia" w:hAnsiTheme="minorHAnsi"/>
          <w:noProof/>
          <w:lang w:eastAsia="en-GB"/>
        </w:rPr>
      </w:pPr>
      <w:hyperlink w:anchor="_Toc137807641" w:history="1">
        <w:r w:rsidRPr="00924878">
          <w:rPr>
            <w:rStyle w:val="Hyperlink"/>
            <w:b/>
            <w:noProof/>
          </w:rPr>
          <w:t>Figure 15: SGB Master Engineering Review (MER) checklist</w:t>
        </w:r>
        <w:r w:rsidRPr="00924878">
          <w:rPr>
            <w:rStyle w:val="Hyperlink"/>
            <w:noProof/>
          </w:rPr>
          <w:t xml:space="preserve"> for design validation at MER gate reviews</w:t>
        </w:r>
        <w:r>
          <w:rPr>
            <w:noProof/>
            <w:webHidden/>
          </w:rPr>
          <w:tab/>
        </w:r>
        <w:r>
          <w:rPr>
            <w:noProof/>
            <w:webHidden/>
          </w:rPr>
          <w:fldChar w:fldCharType="begin"/>
        </w:r>
        <w:r>
          <w:rPr>
            <w:noProof/>
            <w:webHidden/>
          </w:rPr>
          <w:instrText xml:space="preserve"> PAGEREF _Toc137807641 \h </w:instrText>
        </w:r>
        <w:r>
          <w:rPr>
            <w:noProof/>
            <w:webHidden/>
          </w:rPr>
        </w:r>
        <w:r>
          <w:rPr>
            <w:noProof/>
            <w:webHidden/>
          </w:rPr>
          <w:fldChar w:fldCharType="separate"/>
        </w:r>
        <w:r>
          <w:rPr>
            <w:noProof/>
            <w:webHidden/>
          </w:rPr>
          <w:t>32</w:t>
        </w:r>
        <w:r>
          <w:rPr>
            <w:noProof/>
            <w:webHidden/>
          </w:rPr>
          <w:fldChar w:fldCharType="end"/>
        </w:r>
      </w:hyperlink>
    </w:p>
    <w:p w14:paraId="1E1F690A" w14:textId="025C0500" w:rsidR="008C301E" w:rsidRDefault="008C301E">
      <w:pPr>
        <w:pStyle w:val="TableofFigures"/>
        <w:tabs>
          <w:tab w:val="right" w:leader="dot" w:pos="10185"/>
        </w:tabs>
        <w:rPr>
          <w:rFonts w:asciiTheme="minorHAnsi" w:eastAsiaTheme="minorEastAsia" w:hAnsiTheme="minorHAnsi"/>
          <w:noProof/>
          <w:lang w:eastAsia="en-GB"/>
        </w:rPr>
      </w:pPr>
      <w:hyperlink w:anchor="_Toc137807642" w:history="1">
        <w:r w:rsidRPr="00924878">
          <w:rPr>
            <w:rStyle w:val="Hyperlink"/>
            <w:b/>
            <w:noProof/>
          </w:rPr>
          <w:t>Figure 16: SGB standard '6-Pack' template</w:t>
        </w:r>
        <w:r w:rsidRPr="00924878">
          <w:rPr>
            <w:rStyle w:val="Hyperlink"/>
            <w:noProof/>
          </w:rPr>
          <w:t xml:space="preserve"> populated for the APQP/PPAP rollout at SGB</w:t>
        </w:r>
        <w:r>
          <w:rPr>
            <w:noProof/>
            <w:webHidden/>
          </w:rPr>
          <w:tab/>
        </w:r>
        <w:r>
          <w:rPr>
            <w:noProof/>
            <w:webHidden/>
          </w:rPr>
          <w:fldChar w:fldCharType="begin"/>
        </w:r>
        <w:r>
          <w:rPr>
            <w:noProof/>
            <w:webHidden/>
          </w:rPr>
          <w:instrText xml:space="preserve"> PAGEREF _Toc137807642 \h </w:instrText>
        </w:r>
        <w:r>
          <w:rPr>
            <w:noProof/>
            <w:webHidden/>
          </w:rPr>
        </w:r>
        <w:r>
          <w:rPr>
            <w:noProof/>
            <w:webHidden/>
          </w:rPr>
          <w:fldChar w:fldCharType="separate"/>
        </w:r>
        <w:r>
          <w:rPr>
            <w:noProof/>
            <w:webHidden/>
          </w:rPr>
          <w:t>35</w:t>
        </w:r>
        <w:r>
          <w:rPr>
            <w:noProof/>
            <w:webHidden/>
          </w:rPr>
          <w:fldChar w:fldCharType="end"/>
        </w:r>
      </w:hyperlink>
    </w:p>
    <w:p w14:paraId="360D6765" w14:textId="4357303C" w:rsidR="008C301E" w:rsidRDefault="008C301E">
      <w:pPr>
        <w:pStyle w:val="TableofFigures"/>
        <w:tabs>
          <w:tab w:val="right" w:leader="dot" w:pos="10185"/>
        </w:tabs>
        <w:rPr>
          <w:rFonts w:asciiTheme="minorHAnsi" w:eastAsiaTheme="minorEastAsia" w:hAnsiTheme="minorHAnsi"/>
          <w:noProof/>
          <w:lang w:eastAsia="en-GB"/>
        </w:rPr>
      </w:pPr>
      <w:hyperlink w:anchor="_Toc137807643" w:history="1">
        <w:r w:rsidRPr="00924878">
          <w:rPr>
            <w:rStyle w:val="Hyperlink"/>
            <w:b/>
            <w:noProof/>
          </w:rPr>
          <w:t>Figure 17: Initial project SWOT analysis</w:t>
        </w:r>
        <w:r w:rsidRPr="00924878">
          <w:rPr>
            <w:rStyle w:val="Hyperlink"/>
            <w:noProof/>
          </w:rPr>
          <w:t xml:space="preserve"> to prepare for project launch</w:t>
        </w:r>
        <w:r>
          <w:rPr>
            <w:noProof/>
            <w:webHidden/>
          </w:rPr>
          <w:tab/>
        </w:r>
        <w:r>
          <w:rPr>
            <w:noProof/>
            <w:webHidden/>
          </w:rPr>
          <w:fldChar w:fldCharType="begin"/>
        </w:r>
        <w:r>
          <w:rPr>
            <w:noProof/>
            <w:webHidden/>
          </w:rPr>
          <w:instrText xml:space="preserve"> PAGEREF _Toc137807643 \h </w:instrText>
        </w:r>
        <w:r>
          <w:rPr>
            <w:noProof/>
            <w:webHidden/>
          </w:rPr>
        </w:r>
        <w:r>
          <w:rPr>
            <w:noProof/>
            <w:webHidden/>
          </w:rPr>
          <w:fldChar w:fldCharType="separate"/>
        </w:r>
        <w:r>
          <w:rPr>
            <w:noProof/>
            <w:webHidden/>
          </w:rPr>
          <w:t>35</w:t>
        </w:r>
        <w:r>
          <w:rPr>
            <w:noProof/>
            <w:webHidden/>
          </w:rPr>
          <w:fldChar w:fldCharType="end"/>
        </w:r>
      </w:hyperlink>
    </w:p>
    <w:p w14:paraId="3B446176" w14:textId="539B0C2C" w:rsidR="008C301E" w:rsidRDefault="008C301E">
      <w:pPr>
        <w:pStyle w:val="TableofFigures"/>
        <w:tabs>
          <w:tab w:val="right" w:leader="dot" w:pos="10185"/>
        </w:tabs>
        <w:rPr>
          <w:rFonts w:asciiTheme="minorHAnsi" w:eastAsiaTheme="minorEastAsia" w:hAnsiTheme="minorHAnsi"/>
          <w:noProof/>
          <w:lang w:eastAsia="en-GB"/>
        </w:rPr>
      </w:pPr>
      <w:hyperlink w:anchor="_Toc137807644" w:history="1">
        <w:r w:rsidRPr="00924878">
          <w:rPr>
            <w:rStyle w:val="Hyperlink"/>
            <w:b/>
            <w:noProof/>
          </w:rPr>
          <w:t>Figure 18: Mind-Map of potential Stakeholders of the SGB APQP/PPAP rollout</w:t>
        </w:r>
        <w:r w:rsidRPr="00924878">
          <w:rPr>
            <w:rStyle w:val="Hyperlink"/>
            <w:noProof/>
          </w:rPr>
          <w:t>, external stakeholders on the left including the Civil Aviation Authority (CAA), Federal Aviation Authority (FAA) and European Aviation Safety Agency (EASA), internal stakeholders on the right</w:t>
        </w:r>
        <w:r>
          <w:rPr>
            <w:noProof/>
            <w:webHidden/>
          </w:rPr>
          <w:tab/>
        </w:r>
        <w:r>
          <w:rPr>
            <w:noProof/>
            <w:webHidden/>
          </w:rPr>
          <w:fldChar w:fldCharType="begin"/>
        </w:r>
        <w:r>
          <w:rPr>
            <w:noProof/>
            <w:webHidden/>
          </w:rPr>
          <w:instrText xml:space="preserve"> PAGEREF _Toc137807644 \h </w:instrText>
        </w:r>
        <w:r>
          <w:rPr>
            <w:noProof/>
            <w:webHidden/>
          </w:rPr>
        </w:r>
        <w:r>
          <w:rPr>
            <w:noProof/>
            <w:webHidden/>
          </w:rPr>
          <w:fldChar w:fldCharType="separate"/>
        </w:r>
        <w:r>
          <w:rPr>
            <w:noProof/>
            <w:webHidden/>
          </w:rPr>
          <w:t>36</w:t>
        </w:r>
        <w:r>
          <w:rPr>
            <w:noProof/>
            <w:webHidden/>
          </w:rPr>
          <w:fldChar w:fldCharType="end"/>
        </w:r>
      </w:hyperlink>
    </w:p>
    <w:p w14:paraId="495BC88E" w14:textId="481B11BA" w:rsidR="008C301E" w:rsidRDefault="008C301E">
      <w:pPr>
        <w:pStyle w:val="TableofFigures"/>
        <w:tabs>
          <w:tab w:val="right" w:leader="dot" w:pos="10185"/>
        </w:tabs>
        <w:rPr>
          <w:rFonts w:asciiTheme="minorHAnsi" w:eastAsiaTheme="minorEastAsia" w:hAnsiTheme="minorHAnsi"/>
          <w:noProof/>
          <w:lang w:eastAsia="en-GB"/>
        </w:rPr>
      </w:pPr>
      <w:hyperlink w:anchor="_Toc137807645" w:history="1">
        <w:r w:rsidRPr="00924878">
          <w:rPr>
            <w:rStyle w:val="Hyperlink"/>
            <w:b/>
            <w:noProof/>
          </w:rPr>
          <w:t>Figure 19: Stakeholder Analysis</w:t>
        </w:r>
        <w:r w:rsidRPr="00924878">
          <w:rPr>
            <w:rStyle w:val="Hyperlink"/>
            <w:noProof/>
          </w:rPr>
          <w:t xml:space="preserve"> based on Mendelow's Power/Interest matrix</w:t>
        </w:r>
        <w:r>
          <w:rPr>
            <w:noProof/>
            <w:webHidden/>
          </w:rPr>
          <w:tab/>
        </w:r>
        <w:r>
          <w:rPr>
            <w:noProof/>
            <w:webHidden/>
          </w:rPr>
          <w:fldChar w:fldCharType="begin"/>
        </w:r>
        <w:r>
          <w:rPr>
            <w:noProof/>
            <w:webHidden/>
          </w:rPr>
          <w:instrText xml:space="preserve"> PAGEREF _Toc137807645 \h </w:instrText>
        </w:r>
        <w:r>
          <w:rPr>
            <w:noProof/>
            <w:webHidden/>
          </w:rPr>
        </w:r>
        <w:r>
          <w:rPr>
            <w:noProof/>
            <w:webHidden/>
          </w:rPr>
          <w:fldChar w:fldCharType="separate"/>
        </w:r>
        <w:r>
          <w:rPr>
            <w:noProof/>
            <w:webHidden/>
          </w:rPr>
          <w:t>37</w:t>
        </w:r>
        <w:r>
          <w:rPr>
            <w:noProof/>
            <w:webHidden/>
          </w:rPr>
          <w:fldChar w:fldCharType="end"/>
        </w:r>
      </w:hyperlink>
    </w:p>
    <w:p w14:paraId="6129BD82" w14:textId="28FBBE5B" w:rsidR="008C301E" w:rsidRDefault="008C301E">
      <w:pPr>
        <w:pStyle w:val="TableofFigures"/>
        <w:tabs>
          <w:tab w:val="right" w:leader="dot" w:pos="10185"/>
        </w:tabs>
        <w:rPr>
          <w:rFonts w:asciiTheme="minorHAnsi" w:eastAsiaTheme="minorEastAsia" w:hAnsiTheme="minorHAnsi"/>
          <w:noProof/>
          <w:lang w:eastAsia="en-GB"/>
        </w:rPr>
      </w:pPr>
      <w:hyperlink w:anchor="_Toc137807646" w:history="1">
        <w:r w:rsidRPr="00924878">
          <w:rPr>
            <w:rStyle w:val="Hyperlink"/>
            <w:b/>
            <w:noProof/>
          </w:rPr>
          <w:t>Figure 20: PPAP deliverables by APQP Phase</w:t>
        </w:r>
        <w:r w:rsidRPr="00924878">
          <w:rPr>
            <w:rStyle w:val="Hyperlink"/>
            <w:noProof/>
          </w:rPr>
          <w:t xml:space="preserve"> assessing current SGB processes for each, as well as their requirement in the Master Program Schedule</w:t>
        </w:r>
        <w:r>
          <w:rPr>
            <w:noProof/>
            <w:webHidden/>
          </w:rPr>
          <w:tab/>
        </w:r>
        <w:r>
          <w:rPr>
            <w:noProof/>
            <w:webHidden/>
          </w:rPr>
          <w:fldChar w:fldCharType="begin"/>
        </w:r>
        <w:r>
          <w:rPr>
            <w:noProof/>
            <w:webHidden/>
          </w:rPr>
          <w:instrText xml:space="preserve"> PAGEREF _Toc137807646 \h </w:instrText>
        </w:r>
        <w:r>
          <w:rPr>
            <w:noProof/>
            <w:webHidden/>
          </w:rPr>
        </w:r>
        <w:r>
          <w:rPr>
            <w:noProof/>
            <w:webHidden/>
          </w:rPr>
          <w:fldChar w:fldCharType="separate"/>
        </w:r>
        <w:r>
          <w:rPr>
            <w:noProof/>
            <w:webHidden/>
          </w:rPr>
          <w:t>41</w:t>
        </w:r>
        <w:r>
          <w:rPr>
            <w:noProof/>
            <w:webHidden/>
          </w:rPr>
          <w:fldChar w:fldCharType="end"/>
        </w:r>
      </w:hyperlink>
    </w:p>
    <w:p w14:paraId="195820D6" w14:textId="60639495" w:rsidR="008C301E" w:rsidRDefault="008C301E">
      <w:pPr>
        <w:pStyle w:val="TableofFigures"/>
        <w:tabs>
          <w:tab w:val="right" w:leader="dot" w:pos="10185"/>
        </w:tabs>
        <w:rPr>
          <w:rFonts w:asciiTheme="minorHAnsi" w:eastAsiaTheme="minorEastAsia" w:hAnsiTheme="minorHAnsi"/>
          <w:noProof/>
          <w:lang w:eastAsia="en-GB"/>
        </w:rPr>
      </w:pPr>
      <w:hyperlink w:anchor="_Toc137807647" w:history="1">
        <w:r w:rsidRPr="00924878">
          <w:rPr>
            <w:rStyle w:val="Hyperlink"/>
            <w:b/>
            <w:noProof/>
          </w:rPr>
          <w:t>Figure 21: APQP SIPOC</w:t>
        </w:r>
        <w:r w:rsidRPr="00924878">
          <w:rPr>
            <w:rStyle w:val="Hyperlink"/>
            <w:noProof/>
          </w:rPr>
          <w:t xml:space="preserve"> demonstrating the processes required, along with their associated inputs &amp; outputs</w:t>
        </w:r>
        <w:r>
          <w:rPr>
            <w:noProof/>
            <w:webHidden/>
          </w:rPr>
          <w:tab/>
        </w:r>
        <w:r>
          <w:rPr>
            <w:noProof/>
            <w:webHidden/>
          </w:rPr>
          <w:fldChar w:fldCharType="begin"/>
        </w:r>
        <w:r>
          <w:rPr>
            <w:noProof/>
            <w:webHidden/>
          </w:rPr>
          <w:instrText xml:space="preserve"> PAGEREF _Toc137807647 \h </w:instrText>
        </w:r>
        <w:r>
          <w:rPr>
            <w:noProof/>
            <w:webHidden/>
          </w:rPr>
        </w:r>
        <w:r>
          <w:rPr>
            <w:noProof/>
            <w:webHidden/>
          </w:rPr>
          <w:fldChar w:fldCharType="separate"/>
        </w:r>
        <w:r>
          <w:rPr>
            <w:noProof/>
            <w:webHidden/>
          </w:rPr>
          <w:t>42</w:t>
        </w:r>
        <w:r>
          <w:rPr>
            <w:noProof/>
            <w:webHidden/>
          </w:rPr>
          <w:fldChar w:fldCharType="end"/>
        </w:r>
      </w:hyperlink>
    </w:p>
    <w:p w14:paraId="64F067D7" w14:textId="2AF9A7A3" w:rsidR="008C301E" w:rsidRDefault="008C301E">
      <w:pPr>
        <w:pStyle w:val="TableofFigures"/>
        <w:tabs>
          <w:tab w:val="right" w:leader="dot" w:pos="10185"/>
        </w:tabs>
        <w:rPr>
          <w:rFonts w:asciiTheme="minorHAnsi" w:eastAsiaTheme="minorEastAsia" w:hAnsiTheme="minorHAnsi"/>
          <w:noProof/>
          <w:lang w:eastAsia="en-GB"/>
        </w:rPr>
      </w:pPr>
      <w:hyperlink w:anchor="_Toc137807648" w:history="1">
        <w:r w:rsidRPr="00924878">
          <w:rPr>
            <w:rStyle w:val="Hyperlink"/>
            <w:b/>
            <w:noProof/>
          </w:rPr>
          <w:t>Figure 22: Industrial Risk Analysis</w:t>
        </w:r>
        <w:r w:rsidRPr="00924878">
          <w:rPr>
            <w:rStyle w:val="Hyperlink"/>
            <w:noProof/>
          </w:rPr>
          <w:t xml:space="preserve"> demonstrating potential module selection for APQP</w:t>
        </w:r>
        <w:r>
          <w:rPr>
            <w:noProof/>
            <w:webHidden/>
          </w:rPr>
          <w:tab/>
        </w:r>
        <w:r>
          <w:rPr>
            <w:noProof/>
            <w:webHidden/>
          </w:rPr>
          <w:fldChar w:fldCharType="begin"/>
        </w:r>
        <w:r>
          <w:rPr>
            <w:noProof/>
            <w:webHidden/>
          </w:rPr>
          <w:instrText xml:space="preserve"> PAGEREF _Toc137807648 \h </w:instrText>
        </w:r>
        <w:r>
          <w:rPr>
            <w:noProof/>
            <w:webHidden/>
          </w:rPr>
        </w:r>
        <w:r>
          <w:rPr>
            <w:noProof/>
            <w:webHidden/>
          </w:rPr>
          <w:fldChar w:fldCharType="separate"/>
        </w:r>
        <w:r>
          <w:rPr>
            <w:noProof/>
            <w:webHidden/>
          </w:rPr>
          <w:t>45</w:t>
        </w:r>
        <w:r>
          <w:rPr>
            <w:noProof/>
            <w:webHidden/>
          </w:rPr>
          <w:fldChar w:fldCharType="end"/>
        </w:r>
      </w:hyperlink>
    </w:p>
    <w:p w14:paraId="75CC827C" w14:textId="34CE7998" w:rsidR="008C301E" w:rsidRDefault="008C301E">
      <w:pPr>
        <w:pStyle w:val="TableofFigures"/>
        <w:tabs>
          <w:tab w:val="right" w:leader="dot" w:pos="10185"/>
        </w:tabs>
        <w:rPr>
          <w:rFonts w:asciiTheme="minorHAnsi" w:eastAsiaTheme="minorEastAsia" w:hAnsiTheme="minorHAnsi"/>
          <w:noProof/>
          <w:lang w:eastAsia="en-GB"/>
        </w:rPr>
      </w:pPr>
      <w:hyperlink w:anchor="_Toc137807649" w:history="1">
        <w:r w:rsidRPr="00924878">
          <w:rPr>
            <w:rStyle w:val="Hyperlink"/>
            <w:b/>
            <w:noProof/>
          </w:rPr>
          <w:t>Figure 23: AS9145 APQP Part Approval Form (SCMH, 2021)</w:t>
        </w:r>
        <w:r>
          <w:rPr>
            <w:noProof/>
            <w:webHidden/>
          </w:rPr>
          <w:tab/>
        </w:r>
        <w:r>
          <w:rPr>
            <w:noProof/>
            <w:webHidden/>
          </w:rPr>
          <w:fldChar w:fldCharType="begin"/>
        </w:r>
        <w:r>
          <w:rPr>
            <w:noProof/>
            <w:webHidden/>
          </w:rPr>
          <w:instrText xml:space="preserve"> PAGEREF _Toc137807649 \h </w:instrText>
        </w:r>
        <w:r>
          <w:rPr>
            <w:noProof/>
            <w:webHidden/>
          </w:rPr>
        </w:r>
        <w:r>
          <w:rPr>
            <w:noProof/>
            <w:webHidden/>
          </w:rPr>
          <w:fldChar w:fldCharType="separate"/>
        </w:r>
        <w:r>
          <w:rPr>
            <w:noProof/>
            <w:webHidden/>
          </w:rPr>
          <w:t>46</w:t>
        </w:r>
        <w:r>
          <w:rPr>
            <w:noProof/>
            <w:webHidden/>
          </w:rPr>
          <w:fldChar w:fldCharType="end"/>
        </w:r>
      </w:hyperlink>
    </w:p>
    <w:p w14:paraId="41B6D804" w14:textId="1DE4B087" w:rsidR="008C301E" w:rsidRDefault="008C301E">
      <w:pPr>
        <w:pStyle w:val="TableofFigures"/>
        <w:tabs>
          <w:tab w:val="right" w:leader="dot" w:pos="10185"/>
        </w:tabs>
        <w:rPr>
          <w:rFonts w:asciiTheme="minorHAnsi" w:eastAsiaTheme="minorEastAsia" w:hAnsiTheme="minorHAnsi"/>
          <w:noProof/>
          <w:lang w:eastAsia="en-GB"/>
        </w:rPr>
      </w:pPr>
      <w:hyperlink w:anchor="_Toc137807650" w:history="1">
        <w:r w:rsidRPr="00924878">
          <w:rPr>
            <w:rStyle w:val="Hyperlink"/>
            <w:b/>
            <w:noProof/>
          </w:rPr>
          <w:t xml:space="preserve">Figure 24: SGB PPAP Phase Checklist front sheet </w:t>
        </w:r>
        <w:r w:rsidRPr="00924878">
          <w:rPr>
            <w:rStyle w:val="Hyperlink"/>
            <w:noProof/>
          </w:rPr>
          <w:t>with self-populating status updates</w:t>
        </w:r>
        <w:r>
          <w:rPr>
            <w:noProof/>
            <w:webHidden/>
          </w:rPr>
          <w:tab/>
        </w:r>
        <w:r>
          <w:rPr>
            <w:noProof/>
            <w:webHidden/>
          </w:rPr>
          <w:fldChar w:fldCharType="begin"/>
        </w:r>
        <w:r>
          <w:rPr>
            <w:noProof/>
            <w:webHidden/>
          </w:rPr>
          <w:instrText xml:space="preserve"> PAGEREF _Toc137807650 \h </w:instrText>
        </w:r>
        <w:r>
          <w:rPr>
            <w:noProof/>
            <w:webHidden/>
          </w:rPr>
        </w:r>
        <w:r>
          <w:rPr>
            <w:noProof/>
            <w:webHidden/>
          </w:rPr>
          <w:fldChar w:fldCharType="separate"/>
        </w:r>
        <w:r>
          <w:rPr>
            <w:noProof/>
            <w:webHidden/>
          </w:rPr>
          <w:t>47</w:t>
        </w:r>
        <w:r>
          <w:rPr>
            <w:noProof/>
            <w:webHidden/>
          </w:rPr>
          <w:fldChar w:fldCharType="end"/>
        </w:r>
      </w:hyperlink>
    </w:p>
    <w:p w14:paraId="1E89ECCB" w14:textId="5D8CB6D7" w:rsidR="008C301E" w:rsidRDefault="008C301E">
      <w:pPr>
        <w:pStyle w:val="TableofFigures"/>
        <w:tabs>
          <w:tab w:val="right" w:leader="dot" w:pos="10185"/>
        </w:tabs>
        <w:rPr>
          <w:rFonts w:asciiTheme="minorHAnsi" w:eastAsiaTheme="minorEastAsia" w:hAnsiTheme="minorHAnsi"/>
          <w:noProof/>
          <w:lang w:eastAsia="en-GB"/>
        </w:rPr>
      </w:pPr>
      <w:hyperlink w:anchor="_Toc137807651" w:history="1">
        <w:r w:rsidRPr="00924878">
          <w:rPr>
            <w:rStyle w:val="Hyperlink"/>
            <w:b/>
            <w:noProof/>
          </w:rPr>
          <w:t>Figure 25: Example of a PPAP Checklist sheet</w:t>
        </w:r>
        <w:r w:rsidRPr="00924878">
          <w:rPr>
            <w:rStyle w:val="Hyperlink"/>
            <w:noProof/>
          </w:rPr>
          <w:t xml:space="preserve"> with explanation of functionality for the user</w:t>
        </w:r>
        <w:r>
          <w:rPr>
            <w:noProof/>
            <w:webHidden/>
          </w:rPr>
          <w:tab/>
        </w:r>
        <w:r>
          <w:rPr>
            <w:noProof/>
            <w:webHidden/>
          </w:rPr>
          <w:fldChar w:fldCharType="begin"/>
        </w:r>
        <w:r>
          <w:rPr>
            <w:noProof/>
            <w:webHidden/>
          </w:rPr>
          <w:instrText xml:space="preserve"> PAGEREF _Toc137807651 \h </w:instrText>
        </w:r>
        <w:r>
          <w:rPr>
            <w:noProof/>
            <w:webHidden/>
          </w:rPr>
        </w:r>
        <w:r>
          <w:rPr>
            <w:noProof/>
            <w:webHidden/>
          </w:rPr>
          <w:fldChar w:fldCharType="separate"/>
        </w:r>
        <w:r>
          <w:rPr>
            <w:noProof/>
            <w:webHidden/>
          </w:rPr>
          <w:t>48</w:t>
        </w:r>
        <w:r>
          <w:rPr>
            <w:noProof/>
            <w:webHidden/>
          </w:rPr>
          <w:fldChar w:fldCharType="end"/>
        </w:r>
      </w:hyperlink>
    </w:p>
    <w:p w14:paraId="2C4DEB55" w14:textId="60C302C4" w:rsidR="008C301E" w:rsidRDefault="008C301E">
      <w:pPr>
        <w:pStyle w:val="TableofFigures"/>
        <w:tabs>
          <w:tab w:val="right" w:leader="dot" w:pos="10185"/>
        </w:tabs>
        <w:rPr>
          <w:rFonts w:asciiTheme="minorHAnsi" w:eastAsiaTheme="minorEastAsia" w:hAnsiTheme="minorHAnsi"/>
          <w:noProof/>
          <w:lang w:eastAsia="en-GB"/>
        </w:rPr>
      </w:pPr>
      <w:hyperlink w:anchor="_Toc137807652" w:history="1">
        <w:r w:rsidRPr="00924878">
          <w:rPr>
            <w:rStyle w:val="Hyperlink"/>
            <w:b/>
            <w:noProof/>
          </w:rPr>
          <w:t>Figure 26: Built-In PPAP deliverable KPI deck</w:t>
        </w:r>
        <w:r w:rsidRPr="00924878">
          <w:rPr>
            <w:rStyle w:val="Hyperlink"/>
            <w:noProof/>
          </w:rPr>
          <w:t xml:space="preserve"> with automatic population</w:t>
        </w:r>
        <w:r>
          <w:rPr>
            <w:noProof/>
            <w:webHidden/>
          </w:rPr>
          <w:tab/>
        </w:r>
        <w:r>
          <w:rPr>
            <w:noProof/>
            <w:webHidden/>
          </w:rPr>
          <w:fldChar w:fldCharType="begin"/>
        </w:r>
        <w:r>
          <w:rPr>
            <w:noProof/>
            <w:webHidden/>
          </w:rPr>
          <w:instrText xml:space="preserve"> PAGEREF _Toc137807652 \h </w:instrText>
        </w:r>
        <w:r>
          <w:rPr>
            <w:noProof/>
            <w:webHidden/>
          </w:rPr>
        </w:r>
        <w:r>
          <w:rPr>
            <w:noProof/>
            <w:webHidden/>
          </w:rPr>
          <w:fldChar w:fldCharType="separate"/>
        </w:r>
        <w:r>
          <w:rPr>
            <w:noProof/>
            <w:webHidden/>
          </w:rPr>
          <w:t>49</w:t>
        </w:r>
        <w:r>
          <w:rPr>
            <w:noProof/>
            <w:webHidden/>
          </w:rPr>
          <w:fldChar w:fldCharType="end"/>
        </w:r>
      </w:hyperlink>
    </w:p>
    <w:p w14:paraId="4449EF93" w14:textId="65BCC2F6" w:rsidR="008C301E" w:rsidRDefault="008C301E">
      <w:pPr>
        <w:pStyle w:val="TableofFigures"/>
        <w:tabs>
          <w:tab w:val="right" w:leader="dot" w:pos="10185"/>
        </w:tabs>
        <w:rPr>
          <w:rFonts w:asciiTheme="minorHAnsi" w:eastAsiaTheme="minorEastAsia" w:hAnsiTheme="minorHAnsi"/>
          <w:noProof/>
          <w:lang w:eastAsia="en-GB"/>
        </w:rPr>
      </w:pPr>
      <w:hyperlink w:anchor="_Toc137807653" w:history="1">
        <w:r w:rsidRPr="00924878">
          <w:rPr>
            <w:rStyle w:val="Hyperlink"/>
            <w:b/>
            <w:noProof/>
          </w:rPr>
          <w:t>Figure 27: APQP/PPAP Conformity to AS9145</w:t>
        </w:r>
        <w:r w:rsidRPr="00924878">
          <w:rPr>
            <w:rStyle w:val="Hyperlink"/>
            <w:noProof/>
          </w:rPr>
          <w:t xml:space="preserve"> results by 'In Progress' (IP), 'Non-Conforming' (N), ‘Not Applicable' (N/A), &amp; 'Yes' (Y)</w:t>
        </w:r>
        <w:r>
          <w:rPr>
            <w:noProof/>
            <w:webHidden/>
          </w:rPr>
          <w:tab/>
        </w:r>
        <w:r>
          <w:rPr>
            <w:noProof/>
            <w:webHidden/>
          </w:rPr>
          <w:fldChar w:fldCharType="begin"/>
        </w:r>
        <w:r>
          <w:rPr>
            <w:noProof/>
            <w:webHidden/>
          </w:rPr>
          <w:instrText xml:space="preserve"> PAGEREF _Toc137807653 \h </w:instrText>
        </w:r>
        <w:r>
          <w:rPr>
            <w:noProof/>
            <w:webHidden/>
          </w:rPr>
        </w:r>
        <w:r>
          <w:rPr>
            <w:noProof/>
            <w:webHidden/>
          </w:rPr>
          <w:fldChar w:fldCharType="separate"/>
        </w:r>
        <w:r>
          <w:rPr>
            <w:noProof/>
            <w:webHidden/>
          </w:rPr>
          <w:t>52</w:t>
        </w:r>
        <w:r>
          <w:rPr>
            <w:noProof/>
            <w:webHidden/>
          </w:rPr>
          <w:fldChar w:fldCharType="end"/>
        </w:r>
      </w:hyperlink>
    </w:p>
    <w:p w14:paraId="6378B01E" w14:textId="76EE55CC" w:rsidR="008C301E" w:rsidRDefault="008C301E">
      <w:pPr>
        <w:pStyle w:val="TableofFigures"/>
        <w:tabs>
          <w:tab w:val="right" w:leader="dot" w:pos="10185"/>
        </w:tabs>
        <w:rPr>
          <w:rFonts w:asciiTheme="minorHAnsi" w:eastAsiaTheme="minorEastAsia" w:hAnsiTheme="minorHAnsi"/>
          <w:noProof/>
          <w:lang w:eastAsia="en-GB"/>
        </w:rPr>
      </w:pPr>
      <w:hyperlink w:anchor="_Toc137807654" w:history="1">
        <w:r w:rsidRPr="00924878">
          <w:rPr>
            <w:rStyle w:val="Hyperlink"/>
            <w:b/>
            <w:noProof/>
          </w:rPr>
          <w:t>Figure 28: APQP Conformity to AS9145</w:t>
        </w:r>
        <w:r w:rsidRPr="00924878">
          <w:rPr>
            <w:rStyle w:val="Hyperlink"/>
            <w:noProof/>
          </w:rPr>
          <w:t xml:space="preserve"> results by 'In Progress' (IP), 'Non-Conforming' (N), ‘Not Applicable' (N/A), &amp; 'Yes' (Y)</w:t>
        </w:r>
        <w:r>
          <w:rPr>
            <w:noProof/>
            <w:webHidden/>
          </w:rPr>
          <w:tab/>
        </w:r>
        <w:r>
          <w:rPr>
            <w:noProof/>
            <w:webHidden/>
          </w:rPr>
          <w:fldChar w:fldCharType="begin"/>
        </w:r>
        <w:r>
          <w:rPr>
            <w:noProof/>
            <w:webHidden/>
          </w:rPr>
          <w:instrText xml:space="preserve"> PAGEREF _Toc137807654 \h </w:instrText>
        </w:r>
        <w:r>
          <w:rPr>
            <w:noProof/>
            <w:webHidden/>
          </w:rPr>
        </w:r>
        <w:r>
          <w:rPr>
            <w:noProof/>
            <w:webHidden/>
          </w:rPr>
          <w:fldChar w:fldCharType="separate"/>
        </w:r>
        <w:r>
          <w:rPr>
            <w:noProof/>
            <w:webHidden/>
          </w:rPr>
          <w:t>53</w:t>
        </w:r>
        <w:r>
          <w:rPr>
            <w:noProof/>
            <w:webHidden/>
          </w:rPr>
          <w:fldChar w:fldCharType="end"/>
        </w:r>
      </w:hyperlink>
    </w:p>
    <w:p w14:paraId="2809674F" w14:textId="5C94170B" w:rsidR="008C301E" w:rsidRDefault="008C301E">
      <w:pPr>
        <w:pStyle w:val="TableofFigures"/>
        <w:tabs>
          <w:tab w:val="right" w:leader="dot" w:pos="10185"/>
        </w:tabs>
        <w:rPr>
          <w:rFonts w:asciiTheme="minorHAnsi" w:eastAsiaTheme="minorEastAsia" w:hAnsiTheme="minorHAnsi"/>
          <w:noProof/>
          <w:lang w:eastAsia="en-GB"/>
        </w:rPr>
      </w:pPr>
      <w:hyperlink w:anchor="_Toc137807655" w:history="1">
        <w:r w:rsidRPr="00924878">
          <w:rPr>
            <w:rStyle w:val="Hyperlink"/>
            <w:b/>
            <w:noProof/>
          </w:rPr>
          <w:t>Figure 29: PPAP Conformity to AS9145</w:t>
        </w:r>
        <w:r w:rsidRPr="00924878">
          <w:rPr>
            <w:rStyle w:val="Hyperlink"/>
            <w:noProof/>
          </w:rPr>
          <w:t xml:space="preserve"> results by 'Non-Conforming' (N) &amp; 'Yes' (Y)</w:t>
        </w:r>
        <w:r>
          <w:rPr>
            <w:noProof/>
            <w:webHidden/>
          </w:rPr>
          <w:tab/>
        </w:r>
        <w:r>
          <w:rPr>
            <w:noProof/>
            <w:webHidden/>
          </w:rPr>
          <w:fldChar w:fldCharType="begin"/>
        </w:r>
        <w:r>
          <w:rPr>
            <w:noProof/>
            <w:webHidden/>
          </w:rPr>
          <w:instrText xml:space="preserve"> PAGEREF _Toc137807655 \h </w:instrText>
        </w:r>
        <w:r>
          <w:rPr>
            <w:noProof/>
            <w:webHidden/>
          </w:rPr>
        </w:r>
        <w:r>
          <w:rPr>
            <w:noProof/>
            <w:webHidden/>
          </w:rPr>
          <w:fldChar w:fldCharType="separate"/>
        </w:r>
        <w:r>
          <w:rPr>
            <w:noProof/>
            <w:webHidden/>
          </w:rPr>
          <w:t>54</w:t>
        </w:r>
        <w:r>
          <w:rPr>
            <w:noProof/>
            <w:webHidden/>
          </w:rPr>
          <w:fldChar w:fldCharType="end"/>
        </w:r>
      </w:hyperlink>
    </w:p>
    <w:p w14:paraId="5DB6B4C9" w14:textId="08E16B8D" w:rsidR="00872440" w:rsidRDefault="009220EE" w:rsidP="009220EE">
      <w:pPr>
        <w:pStyle w:val="Heading1"/>
      </w:pPr>
      <w:r>
        <w:fldChar w:fldCharType="end"/>
      </w:r>
      <w:r w:rsidR="00872440">
        <w:br w:type="page"/>
      </w:r>
    </w:p>
    <w:p w14:paraId="3DC2BBBD" w14:textId="561E570B" w:rsidR="00442E31" w:rsidRDefault="00442E31" w:rsidP="00CD37AA">
      <w:pPr>
        <w:pStyle w:val="Heading1"/>
      </w:pPr>
      <w:bookmarkStart w:id="2" w:name="_Toc137807587"/>
      <w:r>
        <w:lastRenderedPageBreak/>
        <w:t>Acronym section</w:t>
      </w:r>
      <w:bookmarkEnd w:id="2"/>
    </w:p>
    <w:p w14:paraId="64FE1570" w14:textId="77777777" w:rsidR="007733ED" w:rsidRPr="00CA04DC" w:rsidRDefault="007733ED" w:rsidP="00CA04DC"/>
    <w:p w14:paraId="54A70A46" w14:textId="17357999" w:rsidR="00442E31" w:rsidRDefault="00442E31" w:rsidP="00442E31">
      <w:r>
        <w:t>APQP = Advanced Product Quality Planning</w:t>
      </w:r>
    </w:p>
    <w:p w14:paraId="5DBF4EC9" w14:textId="0021FBD3" w:rsidR="0071520D" w:rsidRDefault="0071520D" w:rsidP="00442E31">
      <w:r>
        <w:t>BMS = Business Management System</w:t>
      </w:r>
    </w:p>
    <w:p w14:paraId="099F7887" w14:textId="3D89E9D3" w:rsidR="006532E4" w:rsidRDefault="006532E4" w:rsidP="00442E31">
      <w:r>
        <w:t>CoNQ = Cost of Non-Quality</w:t>
      </w:r>
    </w:p>
    <w:p w14:paraId="099369FB" w14:textId="0AB50366" w:rsidR="008505D1" w:rsidRDefault="008505D1" w:rsidP="00442E31">
      <w:r w:rsidRPr="008505D1">
        <w:t xml:space="preserve">CPD </w:t>
      </w:r>
      <w:r>
        <w:t xml:space="preserve">= </w:t>
      </w:r>
      <w:r w:rsidRPr="008505D1">
        <w:t>Continuous Personal Development</w:t>
      </w:r>
    </w:p>
    <w:p w14:paraId="2EDC58E4" w14:textId="2B86B57D" w:rsidR="000F7B37" w:rsidRDefault="000F7B37" w:rsidP="00442E31">
      <w:r>
        <w:t>D</w:t>
      </w:r>
      <w:r w:rsidRPr="00C67084">
        <w:t>FMEA</w:t>
      </w:r>
      <w:r>
        <w:t xml:space="preserve"> = Design </w:t>
      </w:r>
      <w:r w:rsidRPr="00C67084">
        <w:t>Failure Mode and Effect Analysis</w:t>
      </w:r>
    </w:p>
    <w:p w14:paraId="69ED52A6" w14:textId="3D08067B" w:rsidR="0005360F" w:rsidRDefault="0005360F" w:rsidP="00442E31">
      <w:r>
        <w:t>DPU = Defects Per Unit</w:t>
      </w:r>
    </w:p>
    <w:p w14:paraId="1C12830F" w14:textId="411E4A98" w:rsidR="005D6272" w:rsidRDefault="005D6272" w:rsidP="00442E31">
      <w:r>
        <w:t>FAI = First Article Inspection</w:t>
      </w:r>
    </w:p>
    <w:p w14:paraId="04088ADE" w14:textId="278F7862" w:rsidR="00C67084" w:rsidRDefault="00C67084" w:rsidP="00442E31">
      <w:r w:rsidRPr="00C67084">
        <w:t>FMEA</w:t>
      </w:r>
      <w:r w:rsidR="003C4AB2">
        <w:t xml:space="preserve"> = </w:t>
      </w:r>
      <w:r w:rsidR="003C4AB2" w:rsidRPr="00C67084">
        <w:t>Failure Mode and Effect Analysis</w:t>
      </w:r>
    </w:p>
    <w:p w14:paraId="3D20647E" w14:textId="77F08C97" w:rsidR="00F61CF7" w:rsidRDefault="00F61CF7" w:rsidP="00442E31">
      <w:r w:rsidRPr="00F61CF7">
        <w:t xml:space="preserve">IAQG </w:t>
      </w:r>
      <w:r>
        <w:t xml:space="preserve">= </w:t>
      </w:r>
      <w:r w:rsidRPr="00F61CF7">
        <w:t>International Aerospace Quality Group</w:t>
      </w:r>
    </w:p>
    <w:p w14:paraId="7CC5FA74" w14:textId="0C4F34F4" w:rsidR="00EA4D03" w:rsidRDefault="00EA4D03" w:rsidP="00442E31">
      <w:r>
        <w:t>KC = Key Characteristics</w:t>
      </w:r>
    </w:p>
    <w:p w14:paraId="239712F9" w14:textId="7AD8B4CE" w:rsidR="00D277B7" w:rsidRDefault="00D277B7" w:rsidP="00442E31">
      <w:r>
        <w:t>KPI = Key Performance Indicator</w:t>
      </w:r>
    </w:p>
    <w:p w14:paraId="03287FF1" w14:textId="5EACF7C1" w:rsidR="003D48AC" w:rsidRDefault="003D48AC" w:rsidP="00442E31">
      <w:r>
        <w:t>MER = Master Engineering Review</w:t>
      </w:r>
    </w:p>
    <w:p w14:paraId="15868F4B" w14:textId="2CC4A64B" w:rsidR="00442E31" w:rsidRDefault="00442E31" w:rsidP="00442E31">
      <w:r>
        <w:t>PPAP = Production Part Approval Pack</w:t>
      </w:r>
    </w:p>
    <w:p w14:paraId="6DDFAD36" w14:textId="4019B180" w:rsidR="00771E2C" w:rsidRDefault="00771E2C" w:rsidP="00442E31">
      <w:r w:rsidRPr="00771E2C">
        <w:t>RAC</w:t>
      </w:r>
      <w:r>
        <w:t xml:space="preserve">= </w:t>
      </w:r>
      <w:r w:rsidRPr="00771E2C">
        <w:t>Responsible, Accountable, Consulted and Informed</w:t>
      </w:r>
    </w:p>
    <w:p w14:paraId="3B77830C" w14:textId="697465AE" w:rsidR="002B3174" w:rsidRDefault="002B3174" w:rsidP="00442E31">
      <w:r w:rsidRPr="002B3174">
        <w:t xml:space="preserve">SCMH </w:t>
      </w:r>
      <w:r>
        <w:t xml:space="preserve">= </w:t>
      </w:r>
      <w:r w:rsidRPr="002B3174">
        <w:t>Supply Chain Management Handbook</w:t>
      </w:r>
    </w:p>
    <w:p w14:paraId="39D9B597" w14:textId="462C5E54" w:rsidR="00442E31" w:rsidRDefault="00442E31" w:rsidP="00442E31">
      <w:r>
        <w:t>SGB = Safran Seats Great Britain</w:t>
      </w:r>
    </w:p>
    <w:p w14:paraId="79CFF61C" w14:textId="4E587350" w:rsidR="00954C70" w:rsidRDefault="00954C70" w:rsidP="00442E31">
      <w:r w:rsidRPr="00954C70">
        <w:t xml:space="preserve">SIPOC </w:t>
      </w:r>
      <w:r>
        <w:t xml:space="preserve">= </w:t>
      </w:r>
      <w:r w:rsidRPr="00954C70">
        <w:t>Supplier, Input, Process, Output and Customer</w:t>
      </w:r>
    </w:p>
    <w:p w14:paraId="72946D32" w14:textId="4B2ED5ED" w:rsidR="0080780D" w:rsidRDefault="0080780D" w:rsidP="00442E31">
      <w:r>
        <w:t>SPC = Statistical Process Control</w:t>
      </w:r>
    </w:p>
    <w:p w14:paraId="026C8C87" w14:textId="431AD701" w:rsidR="00EB4A20" w:rsidRDefault="00EB4A20" w:rsidP="00442E31">
      <w:r w:rsidRPr="00EB4A20">
        <w:t>SWOT</w:t>
      </w:r>
      <w:r>
        <w:t xml:space="preserve"> = </w:t>
      </w:r>
      <w:r w:rsidRPr="00EB4A20">
        <w:t>Strength, Weaknesses, Opportunities and Threats</w:t>
      </w:r>
    </w:p>
    <w:p w14:paraId="4C4D9B22" w14:textId="2BACA6B9" w:rsidR="00997373" w:rsidRDefault="00997373" w:rsidP="00442E31">
      <w:r>
        <w:t>TQM = Total Quality Management</w:t>
      </w:r>
    </w:p>
    <w:p w14:paraId="5CFAAF9E" w14:textId="77777777" w:rsidR="00B931EC" w:rsidRDefault="00B931EC" w:rsidP="00442E31"/>
    <w:p w14:paraId="21226EC6" w14:textId="77777777" w:rsidR="00B931EC" w:rsidRDefault="00B931EC" w:rsidP="00442E31"/>
    <w:p w14:paraId="48952CC0" w14:textId="77777777" w:rsidR="00B931EC" w:rsidRDefault="00B931EC" w:rsidP="00442E31"/>
    <w:p w14:paraId="6195C75D" w14:textId="77777777" w:rsidR="00B931EC" w:rsidRPr="00442E31" w:rsidRDefault="00B931EC" w:rsidP="00CD37AA"/>
    <w:p w14:paraId="45425956" w14:textId="35A28F74" w:rsidR="008029BA" w:rsidRDefault="00872440" w:rsidP="007A5DF3">
      <w:pPr>
        <w:pStyle w:val="Heading1"/>
        <w:numPr>
          <w:ilvl w:val="0"/>
          <w:numId w:val="6"/>
        </w:numPr>
      </w:pPr>
      <w:bookmarkStart w:id="3" w:name="_Toc137807588"/>
      <w:r>
        <w:lastRenderedPageBreak/>
        <w:t>Abstract</w:t>
      </w:r>
      <w:bookmarkEnd w:id="3"/>
    </w:p>
    <w:p w14:paraId="1D6A1BAD" w14:textId="77777777" w:rsidR="00872440" w:rsidRDefault="00872440" w:rsidP="00872440"/>
    <w:p w14:paraId="1202BBAB" w14:textId="0F432ED3" w:rsidR="009D0BA0" w:rsidRDefault="009D0BA0" w:rsidP="00842D7D">
      <w:pPr>
        <w:jc w:val="both"/>
      </w:pPr>
      <w:r w:rsidRPr="00842D7D">
        <w:t xml:space="preserve">Advanced Product Quality Planning (APQP) </w:t>
      </w:r>
      <w:r>
        <w:t xml:space="preserve">is an automotive industry quality standard to support new product development projects. The aim of APQP is to identify and mitigate risk within the design, materials and manufacturing processes that could affect both the timescale and profitability of a project. </w:t>
      </w:r>
      <w:r w:rsidR="007E21D9">
        <w:t>The activities are evidenced as a collection of the</w:t>
      </w:r>
      <w:r w:rsidR="0014220E">
        <w:t>ir</w:t>
      </w:r>
      <w:r w:rsidR="007E21D9">
        <w:t xml:space="preserve"> outputs, known as deliverables, into a Production Part Approval Pack (PPAP). </w:t>
      </w:r>
    </w:p>
    <w:p w14:paraId="48E259D2" w14:textId="6FC7E962" w:rsidR="007E21D9" w:rsidRDefault="007E21D9" w:rsidP="00842D7D">
      <w:pPr>
        <w:jc w:val="both"/>
      </w:pPr>
    </w:p>
    <w:p w14:paraId="63515720" w14:textId="1F67FB9E" w:rsidR="007E21D9" w:rsidRDefault="007E21D9" w:rsidP="00842D7D">
      <w:pPr>
        <w:jc w:val="both"/>
      </w:pPr>
      <w:r>
        <w:t>APQP is a relatively new concept within the aviation industry, applied only when a supplier is contractually obliged to implement the aviation APQP standard (AS9145). This dissertation is a case study of an aviation company, Safran Seats GB (SGB), who manufacture</w:t>
      </w:r>
      <w:r w:rsidR="00A343AD">
        <w:t>s</w:t>
      </w:r>
      <w:r>
        <w:t xml:space="preserve"> low-volume first and business-class seats for aircraft</w:t>
      </w:r>
      <w:r w:rsidR="00A343AD">
        <w:t>s</w:t>
      </w:r>
      <w:r>
        <w:t xml:space="preserve">. The aim is to understand the requirements for </w:t>
      </w:r>
      <w:r w:rsidR="00695B16">
        <w:t>APQP,</w:t>
      </w:r>
      <w:r>
        <w:t xml:space="preserve"> define a methodology for an APQP project and assess SGB</w:t>
      </w:r>
      <w:r w:rsidR="00ED4787">
        <w:t>’</w:t>
      </w:r>
      <w:r>
        <w:t xml:space="preserve">s current capability to undertake an AS9145 </w:t>
      </w:r>
      <w:r w:rsidR="00695B16">
        <w:t>project.</w:t>
      </w:r>
    </w:p>
    <w:p w14:paraId="31D29A0E" w14:textId="58F00755" w:rsidR="00695B16" w:rsidRDefault="00695B16" w:rsidP="00842D7D">
      <w:pPr>
        <w:jc w:val="both"/>
      </w:pPr>
    </w:p>
    <w:p w14:paraId="0B56404B" w14:textId="6245C0A5" w:rsidR="00695B16" w:rsidRPr="00842D7D" w:rsidRDefault="00695B16" w:rsidP="00842D7D">
      <w:pPr>
        <w:jc w:val="both"/>
      </w:pPr>
      <w:r>
        <w:t>The project</w:t>
      </w:r>
      <w:r w:rsidR="003F5545">
        <w:t xml:space="preserve"> converted the AS9145 standard into an audit checklist and</w:t>
      </w:r>
      <w:r>
        <w:t xml:space="preserve"> identified that SGB</w:t>
      </w:r>
      <w:r w:rsidR="00442E31">
        <w:t>’</w:t>
      </w:r>
      <w:r>
        <w:t>s</w:t>
      </w:r>
      <w:r w:rsidR="003F5545">
        <w:t xml:space="preserve"> </w:t>
      </w:r>
      <w:r>
        <w:t>APQP capability is 2</w:t>
      </w:r>
      <w:r w:rsidR="00D819A0">
        <w:t>6</w:t>
      </w:r>
      <w:r>
        <w:t>%</w:t>
      </w:r>
      <w:r w:rsidR="003F5545">
        <w:t xml:space="preserve"> after the changes made by this dissertation.</w:t>
      </w:r>
      <w:r w:rsidR="003F5545" w:rsidDel="003F5545">
        <w:t xml:space="preserve"> </w:t>
      </w:r>
      <w:r w:rsidR="003F5545">
        <w:t>H</w:t>
      </w:r>
      <w:r>
        <w:t>owever, their ability to meet the standard could reach 75% by aligning the SGB processes and deliverables in accordance with the International Aerospace Quality Group (IAQG) APQP Manual and the Supply Chain Management Handbook (SCMH) audit questions. A new tool was created to track a project</w:t>
      </w:r>
      <w:r w:rsidR="00E40270">
        <w:t>’</w:t>
      </w:r>
      <w:r>
        <w:t>s progress through the PPAP deliverables, with built</w:t>
      </w:r>
      <w:r w:rsidR="00E40270">
        <w:t>-</w:t>
      </w:r>
      <w:r>
        <w:t xml:space="preserve">in Key </w:t>
      </w:r>
      <w:r w:rsidR="00E40270">
        <w:t xml:space="preserve">Performance </w:t>
      </w:r>
      <w:r>
        <w:t>Indicators (KPI</w:t>
      </w:r>
      <w:r w:rsidR="00E40270">
        <w:t>s</w:t>
      </w:r>
      <w:r>
        <w:t>), which reduce the workload for APQP progress monitoring and reporting.</w:t>
      </w:r>
      <w:r w:rsidR="003F5545">
        <w:t xml:space="preserve"> The changes to SGB processes as part of this dissertation improved their PPAP compliance score from 0% to 54%.</w:t>
      </w:r>
    </w:p>
    <w:p w14:paraId="11685338" w14:textId="776AEBF0" w:rsidR="009D0BA0" w:rsidRDefault="009D0BA0" w:rsidP="00842D7D">
      <w:pPr>
        <w:jc w:val="both"/>
        <w:rPr>
          <w:color w:val="FF0000"/>
        </w:rPr>
      </w:pPr>
    </w:p>
    <w:p w14:paraId="5BEA4FCB" w14:textId="24135121" w:rsidR="00695B16" w:rsidRPr="00842D7D" w:rsidRDefault="00695B16" w:rsidP="00842D7D">
      <w:pPr>
        <w:jc w:val="both"/>
      </w:pPr>
      <w:r>
        <w:t>The dissertation finds that without changes to AS9145 to accommodate low-volume contracts, SGB will be unable to carry out production process runs as the quantity of parts in validation of the process would exceed the overall number of parts required to fulfil the order. SGB would also have to change their shipping processes to elevate the approved PPAP to become the authorisation to ship completed product.</w:t>
      </w:r>
      <w:r w:rsidR="003F5545">
        <w:t xml:space="preserve"> The dissertation recommends that changes are made to AS9145 to allow low-volume manufacturers to only apply APQP to high-risk modules or components to reduce the costs of APQP implementation to</w:t>
      </w:r>
      <w:r w:rsidR="00B573B3">
        <w:t xml:space="preserve"> only areas of the product where a risk of non-conformances or shipping delays are potentially likely.</w:t>
      </w:r>
    </w:p>
    <w:p w14:paraId="518C28C6" w14:textId="19241E7B" w:rsidR="00872440" w:rsidRDefault="00872440" w:rsidP="004C50CE">
      <w:r>
        <w:br w:type="page"/>
      </w:r>
    </w:p>
    <w:p w14:paraId="09050CE0" w14:textId="3E1AD9D7" w:rsidR="00872440" w:rsidRDefault="00872440" w:rsidP="007A5DF3">
      <w:pPr>
        <w:pStyle w:val="Heading1"/>
        <w:numPr>
          <w:ilvl w:val="0"/>
          <w:numId w:val="6"/>
        </w:numPr>
      </w:pPr>
      <w:bookmarkStart w:id="4" w:name="_Toc137807589"/>
      <w:r>
        <w:lastRenderedPageBreak/>
        <w:t>Aims and objectives</w:t>
      </w:r>
      <w:bookmarkEnd w:id="4"/>
    </w:p>
    <w:p w14:paraId="21CB91CB" w14:textId="77777777" w:rsidR="00553A23" w:rsidRPr="00553A23" w:rsidRDefault="00553A23" w:rsidP="00553A23"/>
    <w:p w14:paraId="19A4D6DD" w14:textId="72E1F46E" w:rsidR="007A051E" w:rsidRPr="00FD3823" w:rsidRDefault="007A051E" w:rsidP="00E371D9">
      <w:pPr>
        <w:jc w:val="both"/>
      </w:pPr>
      <w:r w:rsidRPr="00FD3823">
        <w:t>Advanced Product Quality Planning (APQP) is a</w:t>
      </w:r>
      <w:r w:rsidR="00FD3823" w:rsidRPr="00FD3823">
        <w:t xml:space="preserve"> system approach</w:t>
      </w:r>
      <w:r w:rsidRPr="00FD3823">
        <w:t xml:space="preserve"> quality methodology for the development, design and ongoing manufacture of new product</w:t>
      </w:r>
      <w:r w:rsidR="00AB1DDD">
        <w:t>s</w:t>
      </w:r>
      <w:r w:rsidRPr="00FD3823">
        <w:t>. The primary goals of APQP are:</w:t>
      </w:r>
    </w:p>
    <w:p w14:paraId="63D3A603" w14:textId="77777777" w:rsidR="007A051E" w:rsidRPr="00FD3823" w:rsidRDefault="007A051E" w:rsidP="00E371D9">
      <w:pPr>
        <w:jc w:val="both"/>
      </w:pPr>
    </w:p>
    <w:p w14:paraId="4994B71A" w14:textId="77777777" w:rsidR="007A051E" w:rsidRPr="00FD3823" w:rsidRDefault="007A051E" w:rsidP="007A5DF3">
      <w:pPr>
        <w:pStyle w:val="ListParagraph"/>
        <w:numPr>
          <w:ilvl w:val="0"/>
          <w:numId w:val="3"/>
        </w:numPr>
        <w:jc w:val="both"/>
      </w:pPr>
      <w:r w:rsidRPr="00FD3823">
        <w:t>Reduce project lead time by overlapping the project phases and allow concurrent design and design validation phases</w:t>
      </w:r>
    </w:p>
    <w:p w14:paraId="69413D81" w14:textId="77777777" w:rsidR="007A051E" w:rsidRPr="00FD3823" w:rsidRDefault="007A051E" w:rsidP="007A5DF3">
      <w:pPr>
        <w:pStyle w:val="ListParagraph"/>
        <w:numPr>
          <w:ilvl w:val="0"/>
          <w:numId w:val="3"/>
        </w:numPr>
        <w:jc w:val="both"/>
      </w:pPr>
      <w:r w:rsidRPr="00FD3823">
        <w:t xml:space="preserve">Reduce overall cost to the business by investing in a robust development program towards ‘right first time’ methodologies, rather than </w:t>
      </w:r>
      <w:r w:rsidR="00D0011E" w:rsidRPr="00FD3823">
        <w:t xml:space="preserve">a reliance on </w:t>
      </w:r>
      <w:r w:rsidRPr="00FD3823">
        <w:t>post-production rework</w:t>
      </w:r>
    </w:p>
    <w:p w14:paraId="06E16EA2" w14:textId="77777777" w:rsidR="007A051E" w:rsidRPr="00FD3823" w:rsidRDefault="007A051E" w:rsidP="007A5DF3">
      <w:pPr>
        <w:pStyle w:val="ListParagraph"/>
        <w:numPr>
          <w:ilvl w:val="0"/>
          <w:numId w:val="3"/>
        </w:numPr>
        <w:jc w:val="both"/>
      </w:pPr>
      <w:r w:rsidRPr="00FD3823">
        <w:t xml:space="preserve">Improve communication between departments to facilitate project knowledge sharing and capitalise </w:t>
      </w:r>
      <w:r w:rsidR="00D0011E" w:rsidRPr="00FD3823">
        <w:t>on the experience of a cross-functional project team</w:t>
      </w:r>
    </w:p>
    <w:p w14:paraId="115DFE7E" w14:textId="77777777" w:rsidR="00551230" w:rsidRPr="00FD3823" w:rsidRDefault="00551230" w:rsidP="007A5DF3">
      <w:pPr>
        <w:pStyle w:val="ListParagraph"/>
        <w:numPr>
          <w:ilvl w:val="0"/>
          <w:numId w:val="3"/>
        </w:numPr>
        <w:jc w:val="both"/>
      </w:pPr>
      <w:r w:rsidRPr="00FD3823">
        <w:t xml:space="preserve">Improve customer relationships by demonstrating </w:t>
      </w:r>
      <w:r w:rsidR="000B2C61" w:rsidRPr="00FD3823">
        <w:t>control of the project and incorporating the customer in project milestones</w:t>
      </w:r>
    </w:p>
    <w:p w14:paraId="5DF8DFBE" w14:textId="77777777" w:rsidR="000B2C61" w:rsidRPr="00FD3823" w:rsidRDefault="000B2C61" w:rsidP="007A5DF3">
      <w:pPr>
        <w:pStyle w:val="ListParagraph"/>
        <w:numPr>
          <w:ilvl w:val="0"/>
          <w:numId w:val="3"/>
        </w:numPr>
        <w:jc w:val="both"/>
      </w:pPr>
      <w:r w:rsidRPr="00FD3823">
        <w:t>Reduce high impact defect occurrence through risk identification and mitigation activities</w:t>
      </w:r>
    </w:p>
    <w:p w14:paraId="2FAC702A" w14:textId="77777777" w:rsidR="000B2C61" w:rsidRPr="00FD3823" w:rsidRDefault="000B2C61" w:rsidP="007A5DF3">
      <w:pPr>
        <w:pStyle w:val="ListParagraph"/>
        <w:numPr>
          <w:ilvl w:val="0"/>
          <w:numId w:val="3"/>
        </w:numPr>
        <w:jc w:val="both"/>
      </w:pPr>
      <w:r w:rsidRPr="00FD3823">
        <w:t>Establish controls for ongoing production to ensure that deviation in physical parameters is identified as a drift away from allowable limits before a non-conformity occurs</w:t>
      </w:r>
    </w:p>
    <w:p w14:paraId="0557C391" w14:textId="77777777" w:rsidR="000B2C61" w:rsidRPr="00FD3823" w:rsidRDefault="000B2C61" w:rsidP="00E371D9">
      <w:pPr>
        <w:jc w:val="both"/>
      </w:pPr>
    </w:p>
    <w:p w14:paraId="12F65005" w14:textId="73AAACB4" w:rsidR="000B2C61" w:rsidRDefault="00415260" w:rsidP="00E371D9">
      <w:pPr>
        <w:jc w:val="both"/>
      </w:pPr>
      <w:r>
        <w:t xml:space="preserve">To </w:t>
      </w:r>
      <w:r w:rsidR="00737A56" w:rsidRPr="00FD3823">
        <w:t xml:space="preserve">evidence that APQP has been implemented on a </w:t>
      </w:r>
      <w:r w:rsidR="00FD3823" w:rsidRPr="00FD3823">
        <w:t>project</w:t>
      </w:r>
      <w:r>
        <w:t>,</w:t>
      </w:r>
      <w:r w:rsidR="00737A56" w:rsidRPr="00FD3823">
        <w:t xml:space="preserve"> the deliverables of each process are collated and presented to the customer in the form of a </w:t>
      </w:r>
      <w:r w:rsidR="00881299" w:rsidRPr="00FD3823">
        <w:t xml:space="preserve">Production Part Approval Process (PPAP). </w:t>
      </w:r>
      <w:r w:rsidR="00FD3823" w:rsidRPr="00FD3823">
        <w:t>This collation of deliverables provides the framework for managing the APQP project as well as communicating the quality requirements between suppliers and customers. The PPAP Approval Form</w:t>
      </w:r>
      <w:r w:rsidR="006576CF">
        <w:t xml:space="preserve"> approves the completed PPAP</w:t>
      </w:r>
      <w:r w:rsidR="00FD3823">
        <w:t>,</w:t>
      </w:r>
      <w:r w:rsidR="00FD3823" w:rsidRPr="00FD3823">
        <w:t xml:space="preserve"> </w:t>
      </w:r>
      <w:r w:rsidR="006576CF">
        <w:t>requiring</w:t>
      </w:r>
      <w:r w:rsidR="006576CF" w:rsidRPr="00FD3823">
        <w:t xml:space="preserve"> </w:t>
      </w:r>
      <w:r w:rsidR="00FD3823" w:rsidRPr="00FD3823">
        <w:t>both the supplier and the customer</w:t>
      </w:r>
      <w:r w:rsidR="006576CF">
        <w:t>’s</w:t>
      </w:r>
      <w:r w:rsidR="00FD3823" w:rsidRPr="00FD3823">
        <w:t xml:space="preserve"> authoris</w:t>
      </w:r>
      <w:r w:rsidR="006576CF">
        <w:t>ation to release</w:t>
      </w:r>
      <w:r w:rsidR="00FD3823" w:rsidRPr="00FD3823">
        <w:t xml:space="preserve"> the product into service.</w:t>
      </w:r>
    </w:p>
    <w:p w14:paraId="0E688817" w14:textId="77777777" w:rsidR="000B1860" w:rsidRPr="00FD3823" w:rsidRDefault="000B1860" w:rsidP="00E371D9">
      <w:pPr>
        <w:jc w:val="both"/>
      </w:pPr>
    </w:p>
    <w:p w14:paraId="5B399DA4" w14:textId="77777777" w:rsidR="00636A4B" w:rsidRDefault="00777B45" w:rsidP="00E371D9">
      <w:pPr>
        <w:jc w:val="both"/>
      </w:pPr>
      <w:r w:rsidRPr="00FD3823">
        <w:t>AS9145 is the Aerospace Standard for APQP, however, it is only mandatory when an organisation is contractually obligated to deliver a product in line with the standard. As such, many aerospace companies are unfamiliar with the AS9145, and have not built their Business Management System</w:t>
      </w:r>
      <w:r w:rsidR="00AD3851">
        <w:t xml:space="preserve"> (BMS)</w:t>
      </w:r>
      <w:r w:rsidRPr="00FD3823">
        <w:t xml:space="preserve"> according to AS9145 requirements. This dissertation examines APQP methodology to understand how APQP can benefit a business and what processes, deliverables and </w:t>
      </w:r>
      <w:r w:rsidR="00C60DE9" w:rsidRPr="00FD3823">
        <w:t>approach can successfully deliver an AS9145 conforming project.</w:t>
      </w:r>
    </w:p>
    <w:p w14:paraId="4C617AC3" w14:textId="77777777" w:rsidR="00BD4BD5" w:rsidRDefault="00BD4BD5" w:rsidP="00E371D9">
      <w:pPr>
        <w:jc w:val="both"/>
      </w:pPr>
    </w:p>
    <w:p w14:paraId="52AF710B" w14:textId="77777777" w:rsidR="000B1860" w:rsidRDefault="000B1860" w:rsidP="00E371D9">
      <w:pPr>
        <w:jc w:val="both"/>
      </w:pPr>
    </w:p>
    <w:p w14:paraId="2F90838C" w14:textId="77777777" w:rsidR="000B1860" w:rsidRDefault="000B1860" w:rsidP="00E371D9">
      <w:pPr>
        <w:jc w:val="both"/>
      </w:pPr>
    </w:p>
    <w:p w14:paraId="56134F73" w14:textId="77777777" w:rsidR="005B6719" w:rsidRDefault="00BD4BD5" w:rsidP="00E371D9">
      <w:pPr>
        <w:jc w:val="both"/>
      </w:pPr>
      <w:r w:rsidRPr="00BD4BD5">
        <w:t>The aim</w:t>
      </w:r>
      <w:r w:rsidR="00BF0C45">
        <w:t>s</w:t>
      </w:r>
      <w:r w:rsidRPr="00BD4BD5">
        <w:t xml:space="preserve"> of this dissertation </w:t>
      </w:r>
      <w:r w:rsidR="00BF0C45">
        <w:t>are</w:t>
      </w:r>
      <w:r w:rsidRPr="00BD4BD5">
        <w:t xml:space="preserve"> to</w:t>
      </w:r>
      <w:r w:rsidR="005B6719">
        <w:t>:</w:t>
      </w:r>
    </w:p>
    <w:p w14:paraId="3DDBD475" w14:textId="77777777" w:rsidR="005B6719" w:rsidRDefault="005B6719" w:rsidP="007A5DF3">
      <w:pPr>
        <w:pStyle w:val="ListParagraph"/>
        <w:numPr>
          <w:ilvl w:val="0"/>
          <w:numId w:val="4"/>
        </w:numPr>
        <w:jc w:val="both"/>
      </w:pPr>
      <w:r>
        <w:t>U</w:t>
      </w:r>
      <w:r w:rsidR="00BD4BD5" w:rsidRPr="00BD4BD5">
        <w:t>nderstand</w:t>
      </w:r>
      <w:r w:rsidR="00BD4BD5">
        <w:t xml:space="preserve"> ‘Safran Seats Great Britain’s’</w:t>
      </w:r>
      <w:r w:rsidR="00BD4BD5" w:rsidRPr="00BD4BD5">
        <w:t xml:space="preserve"> </w:t>
      </w:r>
      <w:r w:rsidR="00BD4BD5">
        <w:t>(</w:t>
      </w:r>
      <w:r w:rsidR="00BD4BD5" w:rsidRPr="00BD4BD5">
        <w:t>SGB’s</w:t>
      </w:r>
      <w:r w:rsidR="00BD4BD5">
        <w:t>)</w:t>
      </w:r>
      <w:r w:rsidR="00BD4BD5" w:rsidRPr="00BD4BD5">
        <w:t xml:space="preserve"> ability to undertake an AS9145 compliant project, based upon their non-AS9145 accredited industrialisation processes. </w:t>
      </w:r>
    </w:p>
    <w:p w14:paraId="357252A3" w14:textId="77777777" w:rsidR="00BD4BD5" w:rsidRDefault="005B6719" w:rsidP="007A5DF3">
      <w:pPr>
        <w:pStyle w:val="ListParagraph"/>
        <w:numPr>
          <w:ilvl w:val="0"/>
          <w:numId w:val="4"/>
        </w:numPr>
        <w:jc w:val="both"/>
      </w:pPr>
      <w:r>
        <w:t>Introduce</w:t>
      </w:r>
      <w:r w:rsidR="00BD4BD5" w:rsidRPr="00BD4BD5">
        <w:t xml:space="preserve"> an AS9145 compliant framework across the business</w:t>
      </w:r>
      <w:r>
        <w:t>, updating</w:t>
      </w:r>
      <w:r w:rsidR="00BD4BD5" w:rsidRPr="00BD4BD5">
        <w:t xml:space="preserve"> any affected process, train</w:t>
      </w:r>
      <w:r>
        <w:t>ing</w:t>
      </w:r>
      <w:r w:rsidR="00BD4BD5" w:rsidRPr="00BD4BD5">
        <w:t xml:space="preserve"> the relevant departments and implement</w:t>
      </w:r>
      <w:r>
        <w:t>ing</w:t>
      </w:r>
      <w:r w:rsidR="00BD4BD5" w:rsidRPr="00BD4BD5">
        <w:t xml:space="preserve"> the new processes to produce AS9145 deliverables for the first AS9145 compliant project.</w:t>
      </w:r>
    </w:p>
    <w:p w14:paraId="7DD911A6" w14:textId="77777777" w:rsidR="00BF0C45" w:rsidRPr="00BF0C45" w:rsidRDefault="00BF0C45" w:rsidP="00E371D9">
      <w:pPr>
        <w:pStyle w:val="ListParagraph"/>
        <w:jc w:val="both"/>
      </w:pPr>
    </w:p>
    <w:p w14:paraId="0B8716BA" w14:textId="77777777" w:rsidR="00BF0C45" w:rsidRDefault="00BF0C45" w:rsidP="00E371D9">
      <w:pPr>
        <w:jc w:val="both"/>
      </w:pPr>
      <w:r w:rsidRPr="00BF0C45">
        <w:t>The following objectives of the project will support the delivery of the top-level aims:</w:t>
      </w:r>
    </w:p>
    <w:p w14:paraId="587F9624" w14:textId="77777777" w:rsidR="00BF0C45" w:rsidRDefault="00BF0C45" w:rsidP="007A5DF3">
      <w:pPr>
        <w:pStyle w:val="ListParagraph"/>
        <w:numPr>
          <w:ilvl w:val="0"/>
          <w:numId w:val="5"/>
        </w:numPr>
        <w:jc w:val="both"/>
      </w:pPr>
      <w:r>
        <w:t>Current state AS9145 readiness</w:t>
      </w:r>
    </w:p>
    <w:p w14:paraId="31AFC23D" w14:textId="77777777" w:rsidR="00BF0C45" w:rsidRDefault="00BF0C45" w:rsidP="007A5DF3">
      <w:pPr>
        <w:pStyle w:val="ListParagraph"/>
        <w:numPr>
          <w:ilvl w:val="1"/>
          <w:numId w:val="5"/>
        </w:numPr>
        <w:jc w:val="both"/>
      </w:pPr>
      <w:r>
        <w:t>Establish the customer required PPAP deliverables</w:t>
      </w:r>
    </w:p>
    <w:p w14:paraId="3EBB6BDC" w14:textId="6A952866" w:rsidR="00BF0C45" w:rsidRDefault="00BF0C45" w:rsidP="007A5DF3">
      <w:pPr>
        <w:pStyle w:val="ListParagraph"/>
        <w:numPr>
          <w:ilvl w:val="1"/>
          <w:numId w:val="5"/>
        </w:numPr>
        <w:jc w:val="both"/>
      </w:pPr>
      <w:r>
        <w:t>Assess the percentage of PPAP deliverables processes currently embedded in SGB</w:t>
      </w:r>
      <w:r w:rsidR="00E16811">
        <w:t>’s</w:t>
      </w:r>
      <w:r>
        <w:t xml:space="preserve"> processes</w:t>
      </w:r>
    </w:p>
    <w:p w14:paraId="3725BEA0" w14:textId="77777777" w:rsidR="00BF0C45" w:rsidRDefault="00BF0C45" w:rsidP="007A5DF3">
      <w:pPr>
        <w:pStyle w:val="ListParagraph"/>
        <w:numPr>
          <w:ilvl w:val="1"/>
          <w:numId w:val="5"/>
        </w:numPr>
        <w:jc w:val="both"/>
      </w:pPr>
      <w:r>
        <w:t>Determine the percentage of PPAP deliverables currently requested within the Master Program Schedule template</w:t>
      </w:r>
    </w:p>
    <w:p w14:paraId="3E0EC296" w14:textId="77777777" w:rsidR="00BF0C45" w:rsidRDefault="00BF0C45" w:rsidP="007A5DF3">
      <w:pPr>
        <w:pStyle w:val="ListParagraph"/>
        <w:numPr>
          <w:ilvl w:val="1"/>
          <w:numId w:val="5"/>
        </w:numPr>
        <w:jc w:val="both"/>
      </w:pPr>
      <w:r>
        <w:t>Compile an audit checklist for AS9145</w:t>
      </w:r>
    </w:p>
    <w:p w14:paraId="574BD2C0" w14:textId="77777777" w:rsidR="00BF0C45" w:rsidRDefault="00BF0C45" w:rsidP="007A5DF3">
      <w:pPr>
        <w:pStyle w:val="ListParagraph"/>
        <w:numPr>
          <w:ilvl w:val="1"/>
          <w:numId w:val="5"/>
        </w:numPr>
        <w:jc w:val="both"/>
      </w:pPr>
      <w:r>
        <w:t>Audit SGB Program Quality process (QUA05) against the AS9145 checklist</w:t>
      </w:r>
    </w:p>
    <w:p w14:paraId="12E0FCEC" w14:textId="77777777" w:rsidR="00BF0C45" w:rsidRDefault="00BF0C45" w:rsidP="007A5DF3">
      <w:pPr>
        <w:pStyle w:val="ListParagraph"/>
        <w:numPr>
          <w:ilvl w:val="1"/>
          <w:numId w:val="5"/>
        </w:numPr>
        <w:jc w:val="both"/>
      </w:pPr>
      <w:r>
        <w:t>Provide current state readiness based on SGB non-AS9145 accredited processes</w:t>
      </w:r>
    </w:p>
    <w:p w14:paraId="5C53B629" w14:textId="77777777" w:rsidR="00D83B8D" w:rsidRDefault="00D83B8D" w:rsidP="00E371D9">
      <w:pPr>
        <w:pStyle w:val="ListParagraph"/>
        <w:ind w:left="1440"/>
        <w:jc w:val="both"/>
      </w:pPr>
    </w:p>
    <w:p w14:paraId="1280273A" w14:textId="77777777" w:rsidR="00BF0C45" w:rsidRDefault="00DC773D" w:rsidP="007A5DF3">
      <w:pPr>
        <w:pStyle w:val="ListParagraph"/>
        <w:numPr>
          <w:ilvl w:val="0"/>
          <w:numId w:val="5"/>
        </w:numPr>
        <w:jc w:val="both"/>
      </w:pPr>
      <w:r>
        <w:t>AS9145 framework</w:t>
      </w:r>
    </w:p>
    <w:p w14:paraId="596D97DD" w14:textId="77777777" w:rsidR="00DC773D" w:rsidRDefault="00DC773D" w:rsidP="007A5DF3">
      <w:pPr>
        <w:pStyle w:val="ListParagraph"/>
        <w:numPr>
          <w:ilvl w:val="1"/>
          <w:numId w:val="5"/>
        </w:numPr>
        <w:jc w:val="both"/>
      </w:pPr>
      <w:r>
        <w:t>Carry out Literature Review of APQP methodologies</w:t>
      </w:r>
    </w:p>
    <w:p w14:paraId="5C67D12D" w14:textId="77777777" w:rsidR="00DC773D" w:rsidRDefault="00DC773D" w:rsidP="007A5DF3">
      <w:pPr>
        <w:pStyle w:val="ListParagraph"/>
        <w:numPr>
          <w:ilvl w:val="1"/>
          <w:numId w:val="5"/>
        </w:numPr>
        <w:jc w:val="both"/>
      </w:pPr>
      <w:r>
        <w:t>Develop a method to ensure the integrity of the deliverables against APQP</w:t>
      </w:r>
      <w:r w:rsidR="00D83B8D">
        <w:t xml:space="preserve"> industry standard requirements</w:t>
      </w:r>
    </w:p>
    <w:p w14:paraId="15D087AA" w14:textId="77777777" w:rsidR="00D83B8D" w:rsidRDefault="00D83B8D" w:rsidP="007A5DF3">
      <w:pPr>
        <w:pStyle w:val="ListParagraph"/>
        <w:numPr>
          <w:ilvl w:val="1"/>
          <w:numId w:val="5"/>
        </w:numPr>
        <w:jc w:val="both"/>
      </w:pPr>
      <w:r>
        <w:t>Design a method to track each deliverable’s compliance to industry standard requirements on an active project</w:t>
      </w:r>
    </w:p>
    <w:p w14:paraId="7BF12FD7" w14:textId="77777777" w:rsidR="00D83B8D" w:rsidRDefault="00D83B8D" w:rsidP="007A5DF3">
      <w:pPr>
        <w:pStyle w:val="ListParagraph"/>
        <w:numPr>
          <w:ilvl w:val="1"/>
          <w:numId w:val="5"/>
        </w:numPr>
        <w:jc w:val="both"/>
      </w:pPr>
      <w:r>
        <w:t>Determine the roles and responsibilities for PPAP deliverables</w:t>
      </w:r>
    </w:p>
    <w:p w14:paraId="6EC535F3" w14:textId="77777777" w:rsidR="00D83B8D" w:rsidRDefault="00D83B8D" w:rsidP="007A5DF3">
      <w:pPr>
        <w:pStyle w:val="ListParagraph"/>
        <w:numPr>
          <w:ilvl w:val="1"/>
          <w:numId w:val="5"/>
        </w:numPr>
        <w:jc w:val="both"/>
      </w:pPr>
      <w:r>
        <w:t>Establish a business supported timeline for APQP framework implementation</w:t>
      </w:r>
    </w:p>
    <w:p w14:paraId="1EB3AC62" w14:textId="77777777" w:rsidR="000B1860" w:rsidRDefault="000B1860" w:rsidP="00E371D9">
      <w:pPr>
        <w:jc w:val="both"/>
      </w:pPr>
    </w:p>
    <w:p w14:paraId="6DE8DDE0" w14:textId="1497F14C" w:rsidR="000B1860" w:rsidRDefault="00B950C6" w:rsidP="00E2264F">
      <w:pPr>
        <w:jc w:val="both"/>
      </w:pPr>
      <w:r>
        <w:t xml:space="preserve">In the </w:t>
      </w:r>
      <w:r w:rsidR="000B1860">
        <w:t>post Covid</w:t>
      </w:r>
      <w:r>
        <w:t>-19 era</w:t>
      </w:r>
      <w:r w:rsidR="000B1860">
        <w:t>,</w:t>
      </w:r>
      <w:r>
        <w:t xml:space="preserve"> airlines</w:t>
      </w:r>
      <w:r w:rsidR="000B1860">
        <w:t xml:space="preserve"> </w:t>
      </w:r>
      <w:r>
        <w:t>are becoming increasingly aware</w:t>
      </w:r>
      <w:r w:rsidR="000B1860">
        <w:t xml:space="preserve"> of the </w:t>
      </w:r>
      <w:r w:rsidR="00515EC2">
        <w:t xml:space="preserve">cost of developing new projects, </w:t>
      </w:r>
      <w:r w:rsidR="006E0B9B">
        <w:t>hav</w:t>
      </w:r>
      <w:r>
        <w:t>ing</w:t>
      </w:r>
      <w:r w:rsidR="006E0B9B">
        <w:t xml:space="preserve"> experienced</w:t>
      </w:r>
      <w:r w:rsidR="000B1860">
        <w:t xml:space="preserve"> several years of unprecedented financial losses</w:t>
      </w:r>
      <w:r w:rsidR="006E0B9B">
        <w:t xml:space="preserve">. To recover their finances, airlines need to be able to capitalise on the </w:t>
      </w:r>
      <w:r w:rsidR="00B46CEE">
        <w:t>high levels of pent-up demand for overseas travel</w:t>
      </w:r>
      <w:r w:rsidR="009957C1">
        <w:t xml:space="preserve">, and this requires </w:t>
      </w:r>
      <w:r w:rsidR="00B46CEE">
        <w:t>upgrad</w:t>
      </w:r>
      <w:r w:rsidR="009957C1">
        <w:t>ing</w:t>
      </w:r>
      <w:r w:rsidR="00B46CEE">
        <w:t xml:space="preserve"> and expand</w:t>
      </w:r>
      <w:r w:rsidR="009957C1">
        <w:t>ing</w:t>
      </w:r>
      <w:r w:rsidR="00B46CEE">
        <w:t xml:space="preserve"> their fleet</w:t>
      </w:r>
      <w:r w:rsidR="00515EC2">
        <w:t>s</w:t>
      </w:r>
      <w:r>
        <w:t>. However, many companies might</w:t>
      </w:r>
      <w:r w:rsidR="00B46CEE">
        <w:t xml:space="preserve"> struggle to meet their obligations to passengers if new aircraft</w:t>
      </w:r>
      <w:r w:rsidR="00E16811">
        <w:t>s</w:t>
      </w:r>
      <w:r w:rsidR="00B46CEE">
        <w:t xml:space="preserve"> are delayed coming into service. </w:t>
      </w:r>
      <w:r w:rsidR="007D0CC3">
        <w:t>To avoid delays</w:t>
      </w:r>
      <w:r w:rsidR="00B46CEE">
        <w:t xml:space="preserve">, airlines are opting to include APQP as a requirement for aviation parts, flowing down the requirements to sub-tier suppliers. </w:t>
      </w:r>
      <w:r w:rsidR="002878B5">
        <w:t>Therefore, it is important that airline suppliers (including SGB) become accredited in APQP. A</w:t>
      </w:r>
      <w:r w:rsidR="00E2264F">
        <w:t xml:space="preserve">n AS9145 </w:t>
      </w:r>
      <w:r w:rsidR="00E2264F">
        <w:lastRenderedPageBreak/>
        <w:t xml:space="preserve">APQP accreditation would help </w:t>
      </w:r>
      <w:r w:rsidR="002878B5">
        <w:t xml:space="preserve">suppliers </w:t>
      </w:r>
      <w:r w:rsidR="00E2264F">
        <w:t xml:space="preserve">to </w:t>
      </w:r>
      <w:r w:rsidR="002878B5">
        <w:t>stay ahead of their competitors by</w:t>
      </w:r>
      <w:r w:rsidR="00E2264F">
        <w:t xml:space="preserve"> strengthen</w:t>
      </w:r>
      <w:r w:rsidR="002878B5">
        <w:t>ing</w:t>
      </w:r>
      <w:r w:rsidR="00E2264F">
        <w:t xml:space="preserve"> </w:t>
      </w:r>
      <w:r w:rsidR="002878B5">
        <w:t>their</w:t>
      </w:r>
      <w:r w:rsidR="00B46CEE">
        <w:t xml:space="preserve"> relationships with existing customers, as well as expanding the catalogue products to new customers</w:t>
      </w:r>
      <w:r w:rsidR="002878B5">
        <w:t>.</w:t>
      </w:r>
    </w:p>
    <w:p w14:paraId="1994D602" w14:textId="0B4634DE" w:rsidR="007711A5" w:rsidRDefault="007711A5" w:rsidP="00E371D9">
      <w:pPr>
        <w:jc w:val="both"/>
      </w:pPr>
      <w:r>
        <w:t xml:space="preserve">From SGB’s perspective, </w:t>
      </w:r>
      <w:r w:rsidR="009957C1">
        <w:t xml:space="preserve">the adoption of </w:t>
      </w:r>
      <w:r>
        <w:t xml:space="preserve">APQP </w:t>
      </w:r>
      <w:r w:rsidR="009957C1">
        <w:t xml:space="preserve">will not only </w:t>
      </w:r>
      <w:r>
        <w:t xml:space="preserve">improve customer satisfaction, </w:t>
      </w:r>
      <w:r w:rsidR="009957C1">
        <w:t>but</w:t>
      </w:r>
      <w:r>
        <w:t xml:space="preserve"> also provide a stable framework </w:t>
      </w:r>
      <w:r w:rsidR="009957C1">
        <w:t>for</w:t>
      </w:r>
      <w:r>
        <w:t xml:space="preserve"> launch</w:t>
      </w:r>
      <w:r w:rsidR="009957C1">
        <w:t>ing</w:t>
      </w:r>
      <w:r>
        <w:t xml:space="preserve"> new products. </w:t>
      </w:r>
      <w:r w:rsidR="00515EC2" w:rsidRPr="00515EC2">
        <w:t xml:space="preserve">The implementation of APQP will require the strengthening of interdepartmental communications, allowing </w:t>
      </w:r>
      <w:r w:rsidR="00515EC2">
        <w:t>identification and mitigation of</w:t>
      </w:r>
      <w:r w:rsidR="00515EC2" w:rsidRPr="00515EC2">
        <w:t xml:space="preserve"> risks before they occur within a program of work.</w:t>
      </w:r>
      <w:r w:rsidR="00515EC2">
        <w:t xml:space="preserve"> </w:t>
      </w:r>
      <w:r>
        <w:t xml:space="preserve">Although </w:t>
      </w:r>
      <w:r w:rsidR="00193EDA">
        <w:t xml:space="preserve">it </w:t>
      </w:r>
      <w:r>
        <w:t>does require a larger up-front investment in product development, APQP addresses issues at the design stage</w:t>
      </w:r>
      <w:r w:rsidR="00132F54">
        <w:t>, potentially allowing SGB to save money</w:t>
      </w:r>
      <w:r w:rsidR="00BF394F">
        <w:t xml:space="preserve"> since correcting issues post-production is more costly</w:t>
      </w:r>
      <w:r>
        <w:t>. Should the product have elements of supplied parts, the APQP requirements, once established for internal production, can be duplicated</w:t>
      </w:r>
      <w:r w:rsidR="00BF394F">
        <w:t>/adapted</w:t>
      </w:r>
      <w:r>
        <w:t xml:space="preserve"> and flowed down into the supply chain. Although external supply chains are outside the remit of this dissertation, further projects to include the supply chain can provide SGB with the benefits of APQP from a customer perspective.</w:t>
      </w:r>
    </w:p>
    <w:p w14:paraId="7DE2D979" w14:textId="77777777" w:rsidR="00872440" w:rsidRDefault="00872440" w:rsidP="004C50CE">
      <w:pPr>
        <w:spacing w:line="259" w:lineRule="auto"/>
      </w:pPr>
      <w:r>
        <w:br w:type="page"/>
      </w:r>
    </w:p>
    <w:p w14:paraId="02BDF37E" w14:textId="75F6BABB" w:rsidR="00872440" w:rsidRDefault="00AD209D" w:rsidP="007A5DF3">
      <w:pPr>
        <w:pStyle w:val="Heading1"/>
        <w:numPr>
          <w:ilvl w:val="0"/>
          <w:numId w:val="6"/>
        </w:numPr>
      </w:pPr>
      <w:bookmarkStart w:id="5" w:name="_Toc137807590"/>
      <w:r>
        <w:lastRenderedPageBreak/>
        <w:t>Timing plan</w:t>
      </w:r>
      <w:bookmarkEnd w:id="5"/>
    </w:p>
    <w:p w14:paraId="4C32D80E" w14:textId="77777777" w:rsidR="00AD209D" w:rsidRDefault="00AD209D" w:rsidP="00AD209D"/>
    <w:p w14:paraId="39AB4B54" w14:textId="19E37EA2" w:rsidR="00DC16FB" w:rsidRDefault="00D15DC7" w:rsidP="00D228BC">
      <w:pPr>
        <w:jc w:val="both"/>
      </w:pPr>
      <w:r>
        <w:t xml:space="preserve">The activities carried out during the project were scheduled and managed using a professional programme management tool. </w:t>
      </w:r>
      <w:r w:rsidR="00DC16FB">
        <w:t>The original timing plan for the project split the activities down into the following sections:</w:t>
      </w:r>
    </w:p>
    <w:p w14:paraId="6DE87420" w14:textId="6553C671" w:rsidR="00DC16FB" w:rsidRDefault="00DC16FB" w:rsidP="00D228BC">
      <w:pPr>
        <w:jc w:val="both"/>
      </w:pPr>
    </w:p>
    <w:p w14:paraId="59F0B7A3" w14:textId="29BCBD4F" w:rsidR="00DC16FB" w:rsidRDefault="00DC16FB" w:rsidP="007A5DF3">
      <w:pPr>
        <w:pStyle w:val="ListParagraph"/>
        <w:numPr>
          <w:ilvl w:val="0"/>
          <w:numId w:val="26"/>
        </w:numPr>
        <w:jc w:val="both"/>
      </w:pPr>
      <w:r>
        <w:t>Pre-Planning Phase – preparation to undertake the project, including project selection and improving the underlying knowledge that the project activities would be informed by.</w:t>
      </w:r>
    </w:p>
    <w:p w14:paraId="703E82A3" w14:textId="7EA92F61" w:rsidR="00DC16FB" w:rsidRDefault="00652A80" w:rsidP="007A5DF3">
      <w:pPr>
        <w:pStyle w:val="ListParagraph"/>
        <w:numPr>
          <w:ilvl w:val="0"/>
          <w:numId w:val="26"/>
        </w:numPr>
        <w:jc w:val="both"/>
      </w:pPr>
      <w:r>
        <w:t>Literature Review – ongoing research into APQP methodologies to support the actions in the other phases.</w:t>
      </w:r>
    </w:p>
    <w:p w14:paraId="3B8B9FE3" w14:textId="00A8CB00" w:rsidR="00652A80" w:rsidRDefault="00652A80" w:rsidP="007A5DF3">
      <w:pPr>
        <w:pStyle w:val="ListParagraph"/>
        <w:numPr>
          <w:ilvl w:val="0"/>
          <w:numId w:val="26"/>
        </w:numPr>
        <w:jc w:val="both"/>
      </w:pPr>
      <w:r>
        <w:t>Project Launch – agreeing the aims and objectives of the project, assembling the team and communicating the launch with the wider business.</w:t>
      </w:r>
    </w:p>
    <w:p w14:paraId="66806224" w14:textId="1367DF63" w:rsidR="00652A80" w:rsidRDefault="00652A80" w:rsidP="007A5DF3">
      <w:pPr>
        <w:pStyle w:val="ListParagraph"/>
        <w:numPr>
          <w:ilvl w:val="0"/>
          <w:numId w:val="26"/>
        </w:numPr>
        <w:jc w:val="both"/>
      </w:pPr>
      <w:r>
        <w:t>Develop Strategy – determining the roles and responsibilities for the project and the activities for the project implementation.</w:t>
      </w:r>
    </w:p>
    <w:p w14:paraId="12F1A206" w14:textId="268329BD" w:rsidR="00652A80" w:rsidRDefault="00652A80" w:rsidP="007A5DF3">
      <w:pPr>
        <w:pStyle w:val="ListParagraph"/>
        <w:numPr>
          <w:ilvl w:val="0"/>
          <w:numId w:val="26"/>
        </w:numPr>
        <w:jc w:val="both"/>
      </w:pPr>
      <w:r>
        <w:t>Implement Strategy – converting the developed strategy into coherent actions to achieve the aims and objectives communicated in the project launch phase.</w:t>
      </w:r>
    </w:p>
    <w:p w14:paraId="10E4F0AF" w14:textId="3F9E103D" w:rsidR="00652A80" w:rsidRDefault="00652A80" w:rsidP="007A5DF3">
      <w:pPr>
        <w:pStyle w:val="ListParagraph"/>
        <w:numPr>
          <w:ilvl w:val="0"/>
          <w:numId w:val="26"/>
        </w:numPr>
        <w:jc w:val="both"/>
      </w:pPr>
      <w:r>
        <w:t xml:space="preserve">Project Closure – formally closing the project, archiving the supporting documentation, reviewing the project achievements </w:t>
      </w:r>
      <w:r w:rsidR="00D228BC">
        <w:t>against the objectives and documenting further work opportunities.</w:t>
      </w:r>
      <w:r>
        <w:t xml:space="preserve"> </w:t>
      </w:r>
    </w:p>
    <w:p w14:paraId="2DE1BE31" w14:textId="115FB984" w:rsidR="00D228BC" w:rsidRDefault="00D228BC" w:rsidP="00D228BC">
      <w:pPr>
        <w:jc w:val="both"/>
      </w:pPr>
    </w:p>
    <w:p w14:paraId="205CB66D" w14:textId="63AF6028" w:rsidR="00D228BC" w:rsidRDefault="00D228BC" w:rsidP="00D228BC">
      <w:pPr>
        <w:jc w:val="both"/>
      </w:pPr>
      <w:r>
        <w:fldChar w:fldCharType="begin"/>
      </w:r>
      <w:r>
        <w:instrText xml:space="preserve"> REF _Ref137759294 \h </w:instrText>
      </w:r>
      <w:r>
        <w:fldChar w:fldCharType="separate"/>
      </w:r>
      <w:r w:rsidR="008C301E">
        <w:t xml:space="preserve">Figure </w:t>
      </w:r>
      <w:r w:rsidR="008C301E">
        <w:rPr>
          <w:noProof/>
        </w:rPr>
        <w:t>1</w:t>
      </w:r>
      <w:r>
        <w:fldChar w:fldCharType="end"/>
      </w:r>
      <w:r>
        <w:t xml:space="preserve"> is a top-level Gantt chart for the project, demonstrating the structure of the project sections and their interdependencies. A full Gantt chart displaying all the actions within each section and their resource requirements are available in </w:t>
      </w:r>
      <w:r>
        <w:fldChar w:fldCharType="begin"/>
      </w:r>
      <w:r>
        <w:instrText xml:space="preserve"> REF _Ref137759410 \h </w:instrText>
      </w:r>
      <w:r>
        <w:fldChar w:fldCharType="separate"/>
      </w:r>
      <w:r w:rsidR="008C301E">
        <w:t xml:space="preserve">Appendix </w:t>
      </w:r>
      <w:r w:rsidR="008C301E">
        <w:rPr>
          <w:noProof/>
        </w:rPr>
        <w:t>1</w:t>
      </w:r>
      <w:r>
        <w:fldChar w:fldCharType="end"/>
      </w:r>
      <w:r>
        <w:t>.</w:t>
      </w:r>
    </w:p>
    <w:p w14:paraId="7E4EB07F" w14:textId="01A8E5D8" w:rsidR="00652A80" w:rsidRDefault="00652A80" w:rsidP="00652A80"/>
    <w:p w14:paraId="2731D26A" w14:textId="77777777" w:rsidR="00652A80" w:rsidRDefault="00652A80" w:rsidP="00652A80">
      <w:pPr>
        <w:keepNext/>
      </w:pPr>
      <w:r w:rsidRPr="00255C15">
        <w:drawing>
          <wp:inline distT="0" distB="0" distL="0" distR="0" wp14:anchorId="26690D21" wp14:editId="25AD6047">
            <wp:extent cx="6473825" cy="1064895"/>
            <wp:effectExtent l="0" t="0" r="3175"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73825" cy="1064895"/>
                    </a:xfrm>
                    <a:prstGeom prst="rect">
                      <a:avLst/>
                    </a:prstGeom>
                  </pic:spPr>
                </pic:pic>
              </a:graphicData>
            </a:graphic>
          </wp:inline>
        </w:drawing>
      </w:r>
    </w:p>
    <w:p w14:paraId="478650BB" w14:textId="4DCAA4CD" w:rsidR="00652A80" w:rsidRDefault="00652A80" w:rsidP="00652A80">
      <w:pPr>
        <w:pStyle w:val="Caption"/>
      </w:pPr>
      <w:bookmarkStart w:id="6" w:name="_Ref137759294"/>
      <w:bookmarkStart w:id="7" w:name="_Toc137807627"/>
      <w:r>
        <w:t xml:space="preserve">Figure </w:t>
      </w:r>
      <w:fldSimple w:instr=" SEQ Figure \* ARABIC ">
        <w:r w:rsidR="008C301E">
          <w:rPr>
            <w:noProof/>
          </w:rPr>
          <w:t>1</w:t>
        </w:r>
      </w:fldSimple>
      <w:bookmarkEnd w:id="6"/>
      <w:r>
        <w:t>: Original Project Plan Top-Level Gantt chart</w:t>
      </w:r>
      <w:bookmarkEnd w:id="7"/>
    </w:p>
    <w:p w14:paraId="0640EA7A" w14:textId="0E60CBAC" w:rsidR="00652A80" w:rsidRDefault="00652A80" w:rsidP="00652A80"/>
    <w:p w14:paraId="32723298" w14:textId="5614260C" w:rsidR="00D15DC7" w:rsidRDefault="00D15DC7" w:rsidP="00652A80">
      <w:r>
        <w:t xml:space="preserve">To support the project plan, the following Milestone objective were identified and their scheduling within the plan is demonstrated in the timeline, </w:t>
      </w:r>
      <w:r>
        <w:fldChar w:fldCharType="begin"/>
      </w:r>
      <w:r>
        <w:instrText xml:space="preserve"> REF _Ref137760417 \h </w:instrText>
      </w:r>
      <w:r>
        <w:fldChar w:fldCharType="separate"/>
      </w:r>
      <w:r w:rsidR="008C301E">
        <w:t xml:space="preserve">Figure </w:t>
      </w:r>
      <w:r w:rsidR="008C301E">
        <w:rPr>
          <w:noProof/>
        </w:rPr>
        <w:t>2</w:t>
      </w:r>
      <w:r>
        <w:fldChar w:fldCharType="end"/>
      </w:r>
      <w:r>
        <w:t>:</w:t>
      </w:r>
    </w:p>
    <w:p w14:paraId="25C451B5" w14:textId="01244BE1" w:rsidR="00D15DC7" w:rsidRDefault="00D15DC7" w:rsidP="007A5DF3">
      <w:pPr>
        <w:pStyle w:val="ListParagraph"/>
        <w:numPr>
          <w:ilvl w:val="0"/>
          <w:numId w:val="27"/>
        </w:numPr>
      </w:pPr>
      <w:r>
        <w:lastRenderedPageBreak/>
        <w:t>Final project chosen from shortlist</w:t>
      </w:r>
    </w:p>
    <w:p w14:paraId="5F9EC8DA" w14:textId="6EF3C736" w:rsidR="00D15DC7" w:rsidRDefault="00D15DC7" w:rsidP="007A5DF3">
      <w:pPr>
        <w:pStyle w:val="ListParagraph"/>
        <w:numPr>
          <w:ilvl w:val="0"/>
          <w:numId w:val="27"/>
        </w:numPr>
      </w:pPr>
      <w:r>
        <w:t>Formal project launch meeting</w:t>
      </w:r>
    </w:p>
    <w:p w14:paraId="192E4C1E" w14:textId="28B4B497" w:rsidR="00D15DC7" w:rsidRDefault="00D15DC7" w:rsidP="007A5DF3">
      <w:pPr>
        <w:pStyle w:val="ListParagraph"/>
        <w:numPr>
          <w:ilvl w:val="0"/>
          <w:numId w:val="27"/>
        </w:numPr>
      </w:pPr>
      <w:r>
        <w:t>PPAP deliverables defined and agreed with the customer</w:t>
      </w:r>
    </w:p>
    <w:p w14:paraId="3780DAB9" w14:textId="31F92BD6" w:rsidR="00D15DC7" w:rsidRDefault="00D15DC7" w:rsidP="007A5DF3">
      <w:pPr>
        <w:pStyle w:val="ListParagraph"/>
        <w:numPr>
          <w:ilvl w:val="0"/>
          <w:numId w:val="27"/>
        </w:numPr>
      </w:pPr>
      <w:r>
        <w:t>Completion of the preliminary Literature Review</w:t>
      </w:r>
    </w:p>
    <w:p w14:paraId="3F136C29" w14:textId="5E1EAEAF" w:rsidR="00D15DC7" w:rsidRDefault="00D15DC7" w:rsidP="007A5DF3">
      <w:pPr>
        <w:pStyle w:val="ListParagraph"/>
        <w:numPr>
          <w:ilvl w:val="0"/>
          <w:numId w:val="27"/>
        </w:numPr>
      </w:pPr>
      <w:r>
        <w:t>APQP framework for SGB defined</w:t>
      </w:r>
    </w:p>
    <w:p w14:paraId="5A205A7F" w14:textId="74D719CE" w:rsidR="00D15DC7" w:rsidRDefault="00D15DC7" w:rsidP="007A5DF3">
      <w:pPr>
        <w:pStyle w:val="ListParagraph"/>
        <w:numPr>
          <w:ilvl w:val="0"/>
          <w:numId w:val="27"/>
        </w:numPr>
      </w:pPr>
      <w:r>
        <w:t>PPAP process update timeline defined</w:t>
      </w:r>
    </w:p>
    <w:p w14:paraId="7B05E619" w14:textId="01E22EAB" w:rsidR="00D15DC7" w:rsidRDefault="00D15DC7" w:rsidP="007A5DF3">
      <w:pPr>
        <w:pStyle w:val="ListParagraph"/>
        <w:numPr>
          <w:ilvl w:val="0"/>
          <w:numId w:val="27"/>
        </w:numPr>
      </w:pPr>
      <w:r>
        <w:t>PPAP monitoring tool completed and released into SGB</w:t>
      </w:r>
    </w:p>
    <w:p w14:paraId="5D24F883" w14:textId="6D7C87A0" w:rsidR="00D15DC7" w:rsidRDefault="00D15DC7" w:rsidP="007A5DF3">
      <w:pPr>
        <w:pStyle w:val="ListParagraph"/>
        <w:numPr>
          <w:ilvl w:val="0"/>
          <w:numId w:val="27"/>
        </w:numPr>
      </w:pPr>
      <w:r>
        <w:t>SGB Quality processes updated to support APQP requirements</w:t>
      </w:r>
    </w:p>
    <w:p w14:paraId="5D6C003B" w14:textId="68CA4D43" w:rsidR="00D15DC7" w:rsidRDefault="00D15DC7" w:rsidP="007A5DF3">
      <w:pPr>
        <w:pStyle w:val="ListParagraph"/>
        <w:numPr>
          <w:ilvl w:val="0"/>
          <w:numId w:val="27"/>
        </w:numPr>
      </w:pPr>
      <w:r>
        <w:t>AS9145 audit conformity score collated</w:t>
      </w:r>
    </w:p>
    <w:p w14:paraId="34030498" w14:textId="0AC990A5" w:rsidR="00D15DC7" w:rsidRDefault="00D15DC7" w:rsidP="007A5DF3">
      <w:pPr>
        <w:pStyle w:val="ListParagraph"/>
        <w:numPr>
          <w:ilvl w:val="0"/>
          <w:numId w:val="27"/>
        </w:numPr>
      </w:pPr>
      <w:r>
        <w:t>Project formally closed and archived for future reference</w:t>
      </w:r>
    </w:p>
    <w:p w14:paraId="71BEADAE" w14:textId="77777777" w:rsidR="00D15DC7" w:rsidRPr="00652A80" w:rsidRDefault="00D15DC7" w:rsidP="00D15DC7">
      <w:pPr>
        <w:pStyle w:val="ListParagraph"/>
      </w:pPr>
    </w:p>
    <w:p w14:paraId="7296F8DD" w14:textId="58285E5A" w:rsidR="00652A80" w:rsidRDefault="00D15DC7" w:rsidP="00652A80">
      <w:pPr>
        <w:keepNext/>
      </w:pPr>
      <w:r w:rsidRPr="004F25C7">
        <w:drawing>
          <wp:inline distT="0" distB="0" distL="0" distR="0" wp14:anchorId="189C955B" wp14:editId="6FD8A992">
            <wp:extent cx="6473825" cy="789305"/>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73825" cy="789305"/>
                    </a:xfrm>
                    <a:prstGeom prst="rect">
                      <a:avLst/>
                    </a:prstGeom>
                  </pic:spPr>
                </pic:pic>
              </a:graphicData>
            </a:graphic>
          </wp:inline>
        </w:drawing>
      </w:r>
    </w:p>
    <w:p w14:paraId="25AF3757" w14:textId="05DE2F90" w:rsidR="00AD5663" w:rsidRDefault="00652A80" w:rsidP="00652A80">
      <w:pPr>
        <w:pStyle w:val="Caption"/>
      </w:pPr>
      <w:bookmarkStart w:id="8" w:name="_Ref137760417"/>
      <w:bookmarkStart w:id="9" w:name="_Toc137807628"/>
      <w:r>
        <w:t xml:space="preserve">Figure </w:t>
      </w:r>
      <w:fldSimple w:instr=" SEQ Figure \* ARABIC ">
        <w:r w:rsidR="008C301E">
          <w:rPr>
            <w:noProof/>
          </w:rPr>
          <w:t>2</w:t>
        </w:r>
      </w:fldSimple>
      <w:bookmarkEnd w:id="8"/>
      <w:r>
        <w:t>: Original Project Plan Timeline with Milestones</w:t>
      </w:r>
      <w:bookmarkEnd w:id="9"/>
    </w:p>
    <w:p w14:paraId="1EE8AA34" w14:textId="7E16D111" w:rsidR="00255C15" w:rsidRDefault="004C50CE" w:rsidP="004C50CE">
      <w:r>
        <w:t xml:space="preserve"> </w:t>
      </w:r>
    </w:p>
    <w:p w14:paraId="4C5F655F" w14:textId="75AC5F87" w:rsidR="007F5C82" w:rsidRDefault="007F5C82" w:rsidP="007F5C82">
      <w:pPr>
        <w:jc w:val="both"/>
      </w:pPr>
      <w:r>
        <w:t xml:space="preserve">During the ‘Implement Strategy’ section of the project, SGB suffered the simultaneous loss of several members of the senior Quality management team, including the sponsor of the APQP project. With no sponsor available within the department, the project was placed on hold until the relevant vacancies were filled. This resulted in a project pause lasting 4 months. A top-level Gantt chart for the changes to the project, </w:t>
      </w:r>
      <w:r>
        <w:fldChar w:fldCharType="begin"/>
      </w:r>
      <w:r>
        <w:instrText xml:space="preserve"> REF _Ref137761916 \h </w:instrText>
      </w:r>
      <w:r>
        <w:fldChar w:fldCharType="separate"/>
      </w:r>
      <w:r w:rsidR="008C301E">
        <w:t xml:space="preserve">Figure </w:t>
      </w:r>
      <w:r w:rsidR="008C301E">
        <w:rPr>
          <w:noProof/>
        </w:rPr>
        <w:t>3</w:t>
      </w:r>
      <w:r>
        <w:fldChar w:fldCharType="end"/>
      </w:r>
      <w:r>
        <w:t xml:space="preserve"> and the full project Gantt chart, </w:t>
      </w:r>
      <w:r>
        <w:fldChar w:fldCharType="begin"/>
      </w:r>
      <w:r>
        <w:instrText xml:space="preserve"> REF _Ref137761952 \h </w:instrText>
      </w:r>
      <w:r>
        <w:fldChar w:fldCharType="separate"/>
      </w:r>
      <w:r w:rsidR="008C301E">
        <w:t xml:space="preserve">Appendix </w:t>
      </w:r>
      <w:r w:rsidR="008C301E">
        <w:rPr>
          <w:noProof/>
        </w:rPr>
        <w:t>2</w:t>
      </w:r>
      <w:r>
        <w:fldChar w:fldCharType="end"/>
      </w:r>
      <w:r>
        <w:t xml:space="preserve"> demonstrate the effects on the project schedule.</w:t>
      </w:r>
    </w:p>
    <w:p w14:paraId="02242931" w14:textId="77777777" w:rsidR="005345AC" w:rsidRDefault="005345AC" w:rsidP="004C50CE"/>
    <w:p w14:paraId="15D77ADD" w14:textId="77777777" w:rsidR="00652A80" w:rsidRDefault="00652A80" w:rsidP="00652A80">
      <w:pPr>
        <w:keepNext/>
      </w:pPr>
      <w:r w:rsidRPr="00255C15">
        <w:drawing>
          <wp:inline distT="0" distB="0" distL="0" distR="0" wp14:anchorId="47798F1B" wp14:editId="7F56C9BC">
            <wp:extent cx="6473825" cy="1152525"/>
            <wp:effectExtent l="0" t="0" r="317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73825" cy="1152525"/>
                    </a:xfrm>
                    <a:prstGeom prst="rect">
                      <a:avLst/>
                    </a:prstGeom>
                  </pic:spPr>
                </pic:pic>
              </a:graphicData>
            </a:graphic>
          </wp:inline>
        </w:drawing>
      </w:r>
    </w:p>
    <w:p w14:paraId="1655A6FC" w14:textId="639DCA12" w:rsidR="00AD5663" w:rsidRDefault="00652A80" w:rsidP="00652A80">
      <w:pPr>
        <w:pStyle w:val="Caption"/>
      </w:pPr>
      <w:bookmarkStart w:id="10" w:name="_Ref137761916"/>
      <w:bookmarkStart w:id="11" w:name="_Toc137807629"/>
      <w:r>
        <w:t xml:space="preserve">Figure </w:t>
      </w:r>
      <w:fldSimple w:instr=" SEQ Figure \* ARABIC ">
        <w:r w:rsidR="008C301E">
          <w:rPr>
            <w:noProof/>
          </w:rPr>
          <w:t>3</w:t>
        </w:r>
      </w:fldSimple>
      <w:bookmarkEnd w:id="10"/>
      <w:r>
        <w:t>: Final</w:t>
      </w:r>
      <w:r w:rsidRPr="009A5BCA">
        <w:t xml:space="preserve"> Project Plan Top-Level Gantt chart</w:t>
      </w:r>
      <w:bookmarkEnd w:id="11"/>
    </w:p>
    <w:p w14:paraId="4DA1749E" w14:textId="23E8D622" w:rsidR="00255C15" w:rsidRDefault="00255C15" w:rsidP="004C50CE"/>
    <w:p w14:paraId="366B912C" w14:textId="367BC0DE" w:rsidR="007F5C82" w:rsidRDefault="007F5C82" w:rsidP="004C50CE">
      <w:r>
        <w:t xml:space="preserve">An attempt to relaunch the project with the new APQP sponsor was not successful and the project was formally suspended, resulting in the cessation of all further activities in the ‘Implement Strategy’ section. </w:t>
      </w:r>
      <w:r w:rsidR="0018427C">
        <w:t xml:space="preserve">The sponsor decided to investigate the obligation to conform to AS9145 as a contractual requirement, </w:t>
      </w:r>
      <w:r w:rsidR="0018427C">
        <w:lastRenderedPageBreak/>
        <w:t xml:space="preserve">exploring the option to limit SGBs obligation to smaller APQP commitments at the contract phase. </w:t>
      </w:r>
      <w:r>
        <w:t>As a result, the following activities were not completed:</w:t>
      </w:r>
    </w:p>
    <w:p w14:paraId="44A2D053" w14:textId="77777777" w:rsidR="0018427C" w:rsidRDefault="0018427C" w:rsidP="004C50CE"/>
    <w:p w14:paraId="66610A75" w14:textId="5EE3F29F" w:rsidR="007F5C82" w:rsidRDefault="007F5C82" w:rsidP="007A5DF3">
      <w:pPr>
        <w:pStyle w:val="ListParagraph"/>
        <w:numPr>
          <w:ilvl w:val="0"/>
          <w:numId w:val="28"/>
        </w:numPr>
      </w:pPr>
      <w:r>
        <w:t>Documenting PPAP submittal/approval process</w:t>
      </w:r>
    </w:p>
    <w:p w14:paraId="69DF9760" w14:textId="55BA0D82" w:rsidR="007F5C82" w:rsidRDefault="0018427C" w:rsidP="007A5DF3">
      <w:pPr>
        <w:pStyle w:val="ListParagraph"/>
        <w:numPr>
          <w:ilvl w:val="0"/>
          <w:numId w:val="28"/>
        </w:numPr>
      </w:pPr>
      <w:r>
        <w:t>Updating SGB shipping processes for APQP</w:t>
      </w:r>
    </w:p>
    <w:p w14:paraId="5DA512B6" w14:textId="7D0984C2" w:rsidR="0018427C" w:rsidRDefault="0018427C" w:rsidP="007A5DF3">
      <w:pPr>
        <w:pStyle w:val="ListParagraph"/>
        <w:numPr>
          <w:ilvl w:val="0"/>
          <w:numId w:val="28"/>
        </w:numPr>
      </w:pPr>
      <w:r>
        <w:t>Developing a ‘Lessons Learnt’ process for in-service issues.</w:t>
      </w:r>
    </w:p>
    <w:p w14:paraId="7136EF60" w14:textId="77A32D3B" w:rsidR="0018427C" w:rsidRDefault="0018427C" w:rsidP="0018427C"/>
    <w:p w14:paraId="4A0B3787" w14:textId="7B8EF2C0" w:rsidR="0018427C" w:rsidRDefault="0018427C" w:rsidP="0018427C">
      <w:pPr>
        <w:jc w:val="both"/>
      </w:pPr>
      <w:r>
        <w:t xml:space="preserve">The effect of the changes to the timeline are shown in </w:t>
      </w:r>
      <w:r>
        <w:fldChar w:fldCharType="begin"/>
      </w:r>
      <w:r>
        <w:instrText xml:space="preserve"> REF _Ref137762409 \h </w:instrText>
      </w:r>
      <w:r>
        <w:instrText xml:space="preserve"> \* MERGEFORMAT </w:instrText>
      </w:r>
      <w:r>
        <w:fldChar w:fldCharType="separate"/>
      </w:r>
      <w:r w:rsidR="008C301E">
        <w:t xml:space="preserve">Figure </w:t>
      </w:r>
      <w:r w:rsidR="008C301E">
        <w:rPr>
          <w:noProof/>
        </w:rPr>
        <w:t>4</w:t>
      </w:r>
      <w:r>
        <w:fldChar w:fldCharType="end"/>
      </w:r>
      <w:r>
        <w:t>. As a consequence of the project suspension, the ‘Project Closure’ section of the project increased in significance. To ensure that the project had the potential to be revived in the future, accurate records of the project actions and recommendations for further work needed to be collated and stored in an accessible location.</w:t>
      </w:r>
    </w:p>
    <w:p w14:paraId="6103FEBB" w14:textId="77777777" w:rsidR="0018427C" w:rsidRDefault="0018427C" w:rsidP="0018427C">
      <w:pPr>
        <w:jc w:val="both"/>
      </w:pPr>
    </w:p>
    <w:p w14:paraId="5CA680D0" w14:textId="1EF96965" w:rsidR="00652A80" w:rsidRDefault="00D15DC7" w:rsidP="00652A80">
      <w:pPr>
        <w:keepNext/>
      </w:pPr>
      <w:r w:rsidRPr="004F25C7">
        <w:drawing>
          <wp:inline distT="0" distB="0" distL="0" distR="0" wp14:anchorId="614D019C" wp14:editId="46240389">
            <wp:extent cx="6473825" cy="70993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73825" cy="709930"/>
                    </a:xfrm>
                    <a:prstGeom prst="rect">
                      <a:avLst/>
                    </a:prstGeom>
                  </pic:spPr>
                </pic:pic>
              </a:graphicData>
            </a:graphic>
          </wp:inline>
        </w:drawing>
      </w:r>
    </w:p>
    <w:p w14:paraId="05706E50" w14:textId="51ED4414" w:rsidR="003705E2" w:rsidRDefault="00652A80" w:rsidP="00652A80">
      <w:pPr>
        <w:pStyle w:val="Caption"/>
      </w:pPr>
      <w:bookmarkStart w:id="12" w:name="_Ref137762409"/>
      <w:bookmarkStart w:id="13" w:name="_Toc137807630"/>
      <w:r>
        <w:t xml:space="preserve">Figure </w:t>
      </w:r>
      <w:fldSimple w:instr=" SEQ Figure \* ARABIC ">
        <w:r w:rsidR="008C301E">
          <w:rPr>
            <w:noProof/>
          </w:rPr>
          <w:t>4</w:t>
        </w:r>
      </w:fldSimple>
      <w:bookmarkEnd w:id="12"/>
      <w:r>
        <w:t>: Final</w:t>
      </w:r>
      <w:r w:rsidRPr="00343552">
        <w:t xml:space="preserve"> Project Plan Timeline with Milestones</w:t>
      </w:r>
      <w:bookmarkEnd w:id="13"/>
    </w:p>
    <w:p w14:paraId="408B5E13" w14:textId="398BB2A5" w:rsidR="003705E2" w:rsidRDefault="003705E2" w:rsidP="003705E2"/>
    <w:p w14:paraId="3F5141C1" w14:textId="77777777" w:rsidR="003705E2" w:rsidRPr="003705E2" w:rsidRDefault="003705E2" w:rsidP="003705E2"/>
    <w:p w14:paraId="0615DD0B" w14:textId="3F586860" w:rsidR="003705E2" w:rsidRDefault="003705E2" w:rsidP="003705E2">
      <w:pPr>
        <w:keepNext/>
      </w:pPr>
    </w:p>
    <w:p w14:paraId="5BAD736A" w14:textId="1FC8C1B6" w:rsidR="00AD209D" w:rsidRDefault="00AD209D" w:rsidP="004C50CE">
      <w:r>
        <w:br w:type="page"/>
      </w:r>
    </w:p>
    <w:p w14:paraId="27B14A72" w14:textId="77777777" w:rsidR="00255C15" w:rsidRDefault="00255C15" w:rsidP="004C50CE"/>
    <w:p w14:paraId="283184B3" w14:textId="183044A1" w:rsidR="00AD209D" w:rsidRDefault="00AD209D" w:rsidP="007A5DF3">
      <w:pPr>
        <w:pStyle w:val="Heading1"/>
        <w:numPr>
          <w:ilvl w:val="0"/>
          <w:numId w:val="6"/>
        </w:numPr>
      </w:pPr>
      <w:bookmarkStart w:id="14" w:name="_Toc137807591"/>
      <w:r>
        <w:t>Research/literature survey</w:t>
      </w:r>
      <w:bookmarkEnd w:id="14"/>
    </w:p>
    <w:p w14:paraId="0EBC7CAE" w14:textId="77777777" w:rsidR="00AD209D" w:rsidRDefault="00AD209D" w:rsidP="00AD209D">
      <w:pPr>
        <w:rPr>
          <w:sz w:val="20"/>
        </w:rPr>
      </w:pPr>
    </w:p>
    <w:p w14:paraId="7007D4C8" w14:textId="77777777" w:rsidR="00672C91" w:rsidRDefault="00672C91" w:rsidP="007A5DF3">
      <w:pPr>
        <w:pStyle w:val="Heading2"/>
        <w:numPr>
          <w:ilvl w:val="1"/>
          <w:numId w:val="6"/>
        </w:numPr>
        <w:ind w:left="993" w:hanging="426"/>
      </w:pPr>
      <w:bookmarkStart w:id="15" w:name="_Toc137807592"/>
      <w:r w:rsidRPr="00672C91">
        <w:t xml:space="preserve">Introduction into </w:t>
      </w:r>
      <w:r>
        <w:t>APQP</w:t>
      </w:r>
      <w:bookmarkEnd w:id="15"/>
    </w:p>
    <w:p w14:paraId="777AF7FC" w14:textId="77777777" w:rsidR="00672C91" w:rsidRDefault="00672C91" w:rsidP="00672C91"/>
    <w:p w14:paraId="665C5E88" w14:textId="1F66EFE8" w:rsidR="00B4378A" w:rsidRPr="00193EDA" w:rsidRDefault="006A4E98" w:rsidP="00B4378A">
      <w:pPr>
        <w:jc w:val="both"/>
      </w:pPr>
      <w:r>
        <w:t xml:space="preserve">In modern times, general industries and producers are required to navigate through many challenges to satisfy </w:t>
      </w:r>
      <w:r w:rsidR="004770B5">
        <w:t xml:space="preserve">their </w:t>
      </w:r>
      <w:r>
        <w:t>customer</w:t>
      </w:r>
      <w:r w:rsidR="004770B5">
        <w:t>s</w:t>
      </w:r>
      <w:r w:rsidR="005F7664">
        <w:t xml:space="preserve"> </w:t>
      </w:r>
      <w:r w:rsidR="005F7664">
        <w:fldChar w:fldCharType="begin" w:fldLock="1"/>
      </w:r>
      <w:r w:rsidR="0008195C">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5F7664">
        <w:fldChar w:fldCharType="separate"/>
      </w:r>
      <w:r w:rsidR="0008195C" w:rsidRPr="0008195C">
        <w:rPr>
          <w:noProof/>
        </w:rPr>
        <w:t>(Titu and Cupsan, 2019)</w:t>
      </w:r>
      <w:r w:rsidR="005F7664">
        <w:fldChar w:fldCharType="end"/>
      </w:r>
      <w:r w:rsidR="005F7664">
        <w:t>:</w:t>
      </w:r>
    </w:p>
    <w:p w14:paraId="00A36260" w14:textId="77777777" w:rsidR="006A4E98" w:rsidRPr="00193EDA" w:rsidRDefault="006A4E98" w:rsidP="007A5DF3">
      <w:pPr>
        <w:pStyle w:val="ListParagraph"/>
        <w:numPr>
          <w:ilvl w:val="0"/>
          <w:numId w:val="7"/>
        </w:numPr>
        <w:jc w:val="both"/>
      </w:pPr>
      <w:r w:rsidRPr="00515EC2">
        <w:t xml:space="preserve">A constantly growing demand: </w:t>
      </w:r>
      <w:r w:rsidRPr="00193EDA">
        <w:t>expanding markets and globalisation are pushing the ramp-up of production to unprecedented levels.</w:t>
      </w:r>
    </w:p>
    <w:p w14:paraId="17019D9F" w14:textId="77777777" w:rsidR="00C83480" w:rsidRPr="00193EDA" w:rsidRDefault="00C83480" w:rsidP="00C83480">
      <w:pPr>
        <w:pStyle w:val="ListParagraph"/>
        <w:jc w:val="both"/>
      </w:pPr>
    </w:p>
    <w:p w14:paraId="34089EB3" w14:textId="05D09A08" w:rsidR="00C83480" w:rsidRPr="00193EDA" w:rsidRDefault="006A4E98" w:rsidP="007A5DF3">
      <w:pPr>
        <w:pStyle w:val="ListParagraph"/>
        <w:numPr>
          <w:ilvl w:val="0"/>
          <w:numId w:val="7"/>
        </w:numPr>
        <w:jc w:val="both"/>
      </w:pPr>
      <w:r w:rsidRPr="00515EC2">
        <w:t>A requirement for higher quality</w:t>
      </w:r>
      <w:r w:rsidR="00685A67">
        <w:t xml:space="preserve"> </w:t>
      </w:r>
      <w:r w:rsidR="00685A67" w:rsidRPr="001149B7">
        <w:t>products</w:t>
      </w:r>
      <w:r w:rsidRPr="00515EC2">
        <w:t xml:space="preserve">: </w:t>
      </w:r>
      <w:r w:rsidRPr="00193EDA">
        <w:t>new technologies are continuously introduced and new techniques developed</w:t>
      </w:r>
      <w:r w:rsidR="00685A67">
        <w:t>, aimed at ameliorating the products’ quality</w:t>
      </w:r>
      <w:r w:rsidRPr="00193EDA">
        <w:t xml:space="preserve">. Producers need to incorporate new materials and processes to improve their products and keep customers satisfied. </w:t>
      </w:r>
      <w:r w:rsidR="004B007F" w:rsidRPr="00193EDA">
        <w:t>One example</w:t>
      </w:r>
      <w:r w:rsidRPr="00193EDA">
        <w:t xml:space="preserve"> is the emergence of additive manufacturing and the changes in processes and certification of new parts.</w:t>
      </w:r>
    </w:p>
    <w:p w14:paraId="49BD1860" w14:textId="77777777" w:rsidR="00C83480" w:rsidRPr="00193EDA" w:rsidRDefault="00C83480" w:rsidP="00C83480">
      <w:pPr>
        <w:pStyle w:val="ListParagraph"/>
        <w:jc w:val="both"/>
      </w:pPr>
    </w:p>
    <w:p w14:paraId="650FAA1A" w14:textId="4B0E6728" w:rsidR="006A4E98" w:rsidRDefault="006A4E98" w:rsidP="007A5DF3">
      <w:pPr>
        <w:pStyle w:val="ListParagraph"/>
        <w:numPr>
          <w:ilvl w:val="0"/>
          <w:numId w:val="7"/>
        </w:numPr>
        <w:jc w:val="both"/>
      </w:pPr>
      <w:r w:rsidRPr="002C7E20">
        <w:t xml:space="preserve">A need for cheaper </w:t>
      </w:r>
      <w:r w:rsidR="00B4378A" w:rsidRPr="002C7E20">
        <w:t>products that require less cost to produce</w:t>
      </w:r>
      <w:r w:rsidRPr="002C7E20">
        <w:t xml:space="preserve">: </w:t>
      </w:r>
      <w:r w:rsidRPr="00193EDA">
        <w:t>to ensure</w:t>
      </w:r>
      <w:r w:rsidRPr="00C83480">
        <w:t xml:space="preserve"> competitiveness with other manufacturers and maintain a profitable business that is resilient to changes in external factors, such as energy price rises or geo-political instability.</w:t>
      </w:r>
    </w:p>
    <w:p w14:paraId="24FDA10E" w14:textId="0FBCFE3E" w:rsidR="006A4E98" w:rsidRDefault="006A4E98" w:rsidP="00B4378A">
      <w:pPr>
        <w:jc w:val="both"/>
      </w:pPr>
      <w:r w:rsidRPr="006A4E98">
        <w:t>Robust</w:t>
      </w:r>
      <w:r>
        <w:t>, risk-based</w:t>
      </w:r>
      <w:r w:rsidRPr="006A4E98">
        <w:t xml:space="preserve"> process</w:t>
      </w:r>
      <w:r w:rsidR="004770B5">
        <w:t>es</w:t>
      </w:r>
      <w:r w:rsidRPr="006A4E98">
        <w:t xml:space="preserve"> are pivotal to enable producers to survive, adapt and thrive in these volatile conditions. APQP is</w:t>
      </w:r>
      <w:r>
        <w:t xml:space="preserve"> a structured method to deliver</w:t>
      </w:r>
      <w:r w:rsidRPr="006A4E98">
        <w:t xml:space="preserve"> high-quality</w:t>
      </w:r>
      <w:r>
        <w:t xml:space="preserve"> </w:t>
      </w:r>
      <w:r w:rsidRPr="006A4E98">
        <w:t>product</w:t>
      </w:r>
      <w:r>
        <w:t>s</w:t>
      </w:r>
      <w:r w:rsidRPr="006A4E98">
        <w:t xml:space="preserve">, with the final aim </w:t>
      </w:r>
      <w:r>
        <w:t>of</w:t>
      </w:r>
      <w:r w:rsidRPr="006A4E98">
        <w:t xml:space="preserve"> achiev</w:t>
      </w:r>
      <w:r>
        <w:t>ing</w:t>
      </w:r>
      <w:r w:rsidRPr="006A4E98">
        <w:t xml:space="preserve"> customer requirements and satisfaction. </w:t>
      </w:r>
    </w:p>
    <w:p w14:paraId="3118685C" w14:textId="77777777" w:rsidR="004B007F" w:rsidRDefault="004B007F" w:rsidP="00B4378A">
      <w:pPr>
        <w:jc w:val="both"/>
      </w:pPr>
    </w:p>
    <w:p w14:paraId="106855D6" w14:textId="673FD1D7" w:rsidR="004B007F" w:rsidRDefault="004B007F" w:rsidP="00B4378A">
      <w:pPr>
        <w:jc w:val="both"/>
      </w:pPr>
      <w:r>
        <w:t>The ‘Big three’ automobile producers</w:t>
      </w:r>
      <w:r w:rsidR="009A0D9E">
        <w:t xml:space="preserve"> in the United States (</w:t>
      </w:r>
      <w:r>
        <w:t>Chrysler Corporation, Ford Motor Company &amp; General Motors Company</w:t>
      </w:r>
      <w:r w:rsidR="009A0D9E">
        <w:t>)</w:t>
      </w:r>
      <w:r>
        <w:t xml:space="preserve"> developed APQP in the late 1980’s</w:t>
      </w:r>
      <w:r w:rsidR="00617BAA">
        <w:t xml:space="preserve"> </w:t>
      </w:r>
      <w:r w:rsidR="00617BAA">
        <w:fldChar w:fldCharType="begin" w:fldLock="1"/>
      </w:r>
      <w:r w:rsidR="00E35698">
        <w:instrText>ADDIN CSL_CITATION {"citationItems":[{"id":"ITEM-1","itemData":{"author":[{"dropping-particle":"","family":"Mittal","given":"Kapil","non-dropping-particle":"","parse-names":false,"suffix":""},{"dropping-particle":"","family":"Vishwavidyalaya","given":"Gurukula Kangri","non-dropping-particle":"","parse-names":false,"suffix":""},{"dropping-particle":"","family":"Khanduja","given":"Dinesh","non-dropping-particle":"","parse-names":false,"suffix":""},{"dropping-particle":"","family":"Kaushik","given":"Prabhakar","non-dropping-particle":"","parse-names":false,"suffix":""}],"id":"ITEM-1","issue":"January 2018","issued":{"date-parts":[["2011"]]},"title":"Leveraging APQP methodology to drive improvement in SME : A case study Aditya Informatics &amp; Research Centre","type":"article-journal"},"uris":["http://www.mendeley.com/documents/?uuid=cdcd455b-e9bd-4e90-a447-e5add013bf98"]}],"mendeley":{"formattedCitation":"(Mittal &lt;i&gt;et al.&lt;/i&gt;, 2011)","plainTextFormattedCitation":"(Mittal et al., 2011)","previouslyFormattedCitation":"(Mittal &lt;i&gt;et al.&lt;/i&gt;, 2011)"},"properties":{"noteIndex":0},"schema":"https://github.com/citation-style-language/schema/raw/master/csl-citation.json"}</w:instrText>
      </w:r>
      <w:r w:rsidR="00617BAA">
        <w:fldChar w:fldCharType="separate"/>
      </w:r>
      <w:r w:rsidR="00F30A34" w:rsidRPr="00F30A34">
        <w:rPr>
          <w:noProof/>
        </w:rPr>
        <w:t xml:space="preserve">(Mittal </w:t>
      </w:r>
      <w:r w:rsidR="00F30A34" w:rsidRPr="00F30A34">
        <w:rPr>
          <w:i/>
          <w:noProof/>
        </w:rPr>
        <w:t>et al.</w:t>
      </w:r>
      <w:r w:rsidR="00F30A34" w:rsidRPr="00F30A34">
        <w:rPr>
          <w:noProof/>
        </w:rPr>
        <w:t>, 2011)</w:t>
      </w:r>
      <w:r w:rsidR="00617BAA">
        <w:fldChar w:fldCharType="end"/>
      </w:r>
      <w:r>
        <w:t xml:space="preserve">. The aim was to </w:t>
      </w:r>
      <w:r w:rsidR="009A0D9E">
        <w:t xml:space="preserve">create </w:t>
      </w:r>
      <w:r>
        <w:t xml:space="preserve">an improved methodology for new product development, preventing the attrition of customers to Japanese competitors </w:t>
      </w:r>
      <w:r w:rsidR="00847432">
        <w:t xml:space="preserve">that were </w:t>
      </w:r>
      <w:r w:rsidR="00BF2030">
        <w:t>creating</w:t>
      </w:r>
      <w:r w:rsidR="00847432">
        <w:t xml:space="preserve"> </w:t>
      </w:r>
      <w:r w:rsidR="00BF2030">
        <w:t xml:space="preserve">higher </w:t>
      </w:r>
      <w:r>
        <w:t>quality products.</w:t>
      </w:r>
    </w:p>
    <w:p w14:paraId="0DB1A001" w14:textId="77777777" w:rsidR="001B4ABD" w:rsidRDefault="001B4ABD" w:rsidP="00B4378A">
      <w:pPr>
        <w:jc w:val="both"/>
      </w:pPr>
    </w:p>
    <w:p w14:paraId="7253EEBF" w14:textId="16FF41A3" w:rsidR="001B4ABD" w:rsidRDefault="001B4ABD" w:rsidP="00B4378A">
      <w:pPr>
        <w:jc w:val="both"/>
      </w:pPr>
      <w:r>
        <w:t>APQP was designed around existing quality p</w:t>
      </w:r>
      <w:r w:rsidR="00DA611B">
        <w:t>ractices</w:t>
      </w:r>
      <w:r>
        <w:t xml:space="preserve">, combining them into a coherent framework for managing risk and manufacturing variance. The underlying </w:t>
      </w:r>
      <w:r w:rsidR="00062700">
        <w:t>practices</w:t>
      </w:r>
      <w:r>
        <w:t xml:space="preserve"> include</w:t>
      </w:r>
      <w:r w:rsidR="005F7664">
        <w:t xml:space="preserve"> </w:t>
      </w:r>
      <w:r w:rsidR="005F7664">
        <w:fldChar w:fldCharType="begin" w:fldLock="1"/>
      </w:r>
      <w:r w:rsidR="0008195C">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5F7664">
        <w:fldChar w:fldCharType="separate"/>
      </w:r>
      <w:r w:rsidR="005F7664" w:rsidRPr="005F7664">
        <w:rPr>
          <w:noProof/>
        </w:rPr>
        <w:t>(Țîțu and Pop, 2021)</w:t>
      </w:r>
      <w:r w:rsidR="005F7664">
        <w:fldChar w:fldCharType="end"/>
      </w:r>
      <w:r>
        <w:t>:</w:t>
      </w:r>
    </w:p>
    <w:p w14:paraId="18FB11EC" w14:textId="77777777" w:rsidR="001B4ABD" w:rsidRDefault="001B4ABD" w:rsidP="00B4378A">
      <w:pPr>
        <w:jc w:val="both"/>
      </w:pPr>
    </w:p>
    <w:p w14:paraId="72EB3A03" w14:textId="0E6E610E" w:rsidR="00887D51" w:rsidRPr="00062700" w:rsidRDefault="00887D51" w:rsidP="007A5DF3">
      <w:pPr>
        <w:pStyle w:val="ListParagraph"/>
        <w:numPr>
          <w:ilvl w:val="0"/>
          <w:numId w:val="7"/>
        </w:numPr>
        <w:jc w:val="both"/>
        <w:rPr>
          <w:b/>
        </w:rPr>
      </w:pPr>
      <w:r w:rsidRPr="00887D51">
        <w:rPr>
          <w:b/>
        </w:rPr>
        <w:lastRenderedPageBreak/>
        <w:t>Statistical Process Control</w:t>
      </w:r>
      <w:r w:rsidR="00DA611B">
        <w:rPr>
          <w:b/>
        </w:rPr>
        <w:t xml:space="preserve"> (SPC): </w:t>
      </w:r>
      <w:r w:rsidR="00DA611B">
        <w:t>created</w:t>
      </w:r>
      <w:r w:rsidRPr="00887D51">
        <w:rPr>
          <w:b/>
        </w:rPr>
        <w:t xml:space="preserve"> </w:t>
      </w:r>
      <w:r w:rsidRPr="00887D51">
        <w:t>in Bell’s Lab in 1920</w:t>
      </w:r>
      <w:r w:rsidR="00DA611B">
        <w:t>’</w:t>
      </w:r>
      <w:r w:rsidRPr="00887D51">
        <w:t>s</w:t>
      </w:r>
      <w:r w:rsidR="00DA611B">
        <w:t xml:space="preserve"> by </w:t>
      </w:r>
      <w:r w:rsidRPr="00887D51">
        <w:t>Walter A. Shewhart</w:t>
      </w:r>
      <w:r w:rsidR="00042CAB">
        <w:t xml:space="preserve"> </w:t>
      </w:r>
      <w:r w:rsidR="00042CAB">
        <w:fldChar w:fldCharType="begin" w:fldLock="1"/>
      </w:r>
      <w:r w:rsidR="00042CAB">
        <w:instrText>ADDIN CSL_CITATION {"citationItems":[{"id":"ITEM-1","itemData":{"ISSN":"00202967","abstract":"The concepts of statistical process control are outlined. The type of data needed and data collection methods are also presented.","author":[{"dropping-particle":"","family":"Oakland","given":"John S.","non-dropping-particle":"","parse-names":false,"suffix":""}],"edition":"Fifth Edit","editor":[{"dropping-particle":"","family":"Butterworth-Heinemann","given":"","non-dropping-particle":"","parse-names":false,"suffix":""}],"id":"ITEM-1","issue":"5th Edition","issued":{"date-parts":[["2003"]]},"title":"Statistical process control","type":"book"},"uris":["http://www.mendeley.com/documents/?uuid=00f2ac07-ec34-4413-b667-c1e69f9a9069"]}],"mendeley":{"formattedCitation":"(Oakland, 2003)","plainTextFormattedCitation":"(Oakland, 2003)","previouslyFormattedCitation":"(Oakland, 2003)"},"properties":{"noteIndex":0},"schema":"https://github.com/citation-style-language/schema/raw/master/csl-citation.json"}</w:instrText>
      </w:r>
      <w:r w:rsidR="00042CAB">
        <w:fldChar w:fldCharType="separate"/>
      </w:r>
      <w:r w:rsidR="00042CAB" w:rsidRPr="00042CAB">
        <w:rPr>
          <w:noProof/>
        </w:rPr>
        <w:t>(Oakland, 2003)</w:t>
      </w:r>
      <w:r w:rsidR="00042CAB">
        <w:fldChar w:fldCharType="end"/>
      </w:r>
      <w:r w:rsidR="00DA611B">
        <w:t>.</w:t>
      </w:r>
      <w:r w:rsidRPr="00887D51">
        <w:t xml:space="preserve"> </w:t>
      </w:r>
      <w:r w:rsidR="0086170D">
        <w:t>The method involves the creation of a</w:t>
      </w:r>
      <w:r w:rsidR="00DA611B">
        <w:t xml:space="preserve"> </w:t>
      </w:r>
      <w:r w:rsidR="0086170D">
        <w:t>“</w:t>
      </w:r>
      <w:r w:rsidR="00DA611B">
        <w:t>Control Chart</w:t>
      </w:r>
      <w:r w:rsidR="0086170D">
        <w:t>”</w:t>
      </w:r>
      <w:r w:rsidR="004D4AD7">
        <w:t xml:space="preserve"> </w:t>
      </w:r>
      <w:r w:rsidR="004E6BBE">
        <w:t xml:space="preserve">that </w:t>
      </w:r>
      <w:r w:rsidR="002258B4">
        <w:t>continuously monitor</w:t>
      </w:r>
      <w:r w:rsidR="004E6BBE">
        <w:t>s</w:t>
      </w:r>
      <w:r w:rsidR="002258B4">
        <w:t xml:space="preserve"> </w:t>
      </w:r>
      <w:r w:rsidR="00DA611B">
        <w:t xml:space="preserve">the physical </w:t>
      </w:r>
      <w:r w:rsidR="002258B4">
        <w:t>output of a process</w:t>
      </w:r>
      <w:r w:rsidR="00DA611B">
        <w:t xml:space="preserve"> over time. </w:t>
      </w:r>
      <w:r w:rsidR="00804B7F">
        <w:t>The SPC chart allows to assess whether t</w:t>
      </w:r>
      <w:r w:rsidR="00DA611B">
        <w:t>he</w:t>
      </w:r>
      <w:r w:rsidR="002258B4">
        <w:t xml:space="preserve"> collected</w:t>
      </w:r>
      <w:r w:rsidR="00DA611B">
        <w:t xml:space="preserve"> </w:t>
      </w:r>
      <w:r w:rsidR="004D4AD7">
        <w:t>measurements are</w:t>
      </w:r>
      <w:r w:rsidR="00804B7F">
        <w:t xml:space="preserve"> close</w:t>
      </w:r>
      <w:r w:rsidR="00DA611B">
        <w:t xml:space="preserve"> to</w:t>
      </w:r>
      <w:r w:rsidR="004D4AD7">
        <w:t xml:space="preserve"> an established</w:t>
      </w:r>
      <w:r w:rsidR="00DA611B">
        <w:t xml:space="preserve"> nominal value and </w:t>
      </w:r>
      <w:r w:rsidR="00E40399">
        <w:t xml:space="preserve">within </w:t>
      </w:r>
      <w:r w:rsidR="004D4AD7">
        <w:t xml:space="preserve">its </w:t>
      </w:r>
      <w:r w:rsidR="00DA611B">
        <w:t xml:space="preserve">upper/lower acceptable </w:t>
      </w:r>
      <w:r w:rsidR="00DA611B" w:rsidRPr="00A256CE">
        <w:t>limits</w:t>
      </w:r>
      <w:r w:rsidR="00542B2F" w:rsidRPr="00A256CE">
        <w:t xml:space="preserve"> (</w:t>
      </w:r>
      <w:r w:rsidR="00156AA3">
        <w:fldChar w:fldCharType="begin"/>
      </w:r>
      <w:r w:rsidR="00156AA3">
        <w:instrText xml:space="preserve"> REF _Ref137762863 \h </w:instrText>
      </w:r>
      <w:r w:rsidR="00156AA3">
        <w:instrText xml:space="preserve"> \* MERGEFORMAT </w:instrText>
      </w:r>
      <w:r w:rsidR="00156AA3">
        <w:fldChar w:fldCharType="separate"/>
      </w:r>
      <w:r w:rsidR="008C301E" w:rsidRPr="008C301E">
        <w:t>Figure 5</w:t>
      </w:r>
      <w:r w:rsidR="00156AA3">
        <w:fldChar w:fldCharType="end"/>
      </w:r>
      <w:r w:rsidR="00542B2F" w:rsidRPr="00A256CE">
        <w:t>)</w:t>
      </w:r>
      <w:r w:rsidR="00DA611B" w:rsidRPr="00A256CE">
        <w:t>.</w:t>
      </w:r>
      <w:r w:rsidR="00DA611B">
        <w:t xml:space="preserve"> Th</w:t>
      </w:r>
      <w:r w:rsidR="002258B4">
        <w:t>is</w:t>
      </w:r>
      <w:r w:rsidR="00DA611B">
        <w:t xml:space="preserve"> </w:t>
      </w:r>
      <w:r w:rsidR="002258B4">
        <w:t xml:space="preserve">strategy </w:t>
      </w:r>
      <w:r w:rsidR="00DA611B">
        <w:t xml:space="preserve">helps to identify </w:t>
      </w:r>
      <w:r w:rsidR="004D4AD7">
        <w:t>any</w:t>
      </w:r>
      <w:r w:rsidR="00DA611B">
        <w:t xml:space="preserve"> drift</w:t>
      </w:r>
      <w:r w:rsidR="004D4AD7">
        <w:t>s</w:t>
      </w:r>
      <w:r w:rsidR="00DA611B">
        <w:t xml:space="preserve"> of a measurement away from </w:t>
      </w:r>
      <w:r w:rsidR="004D4AD7">
        <w:t xml:space="preserve">its </w:t>
      </w:r>
      <w:r w:rsidR="00DA611B">
        <w:t>nominal condition, providing</w:t>
      </w:r>
      <w:r w:rsidR="009D231A">
        <w:t xml:space="preserve"> an</w:t>
      </w:r>
      <w:r w:rsidR="00DA611B">
        <w:t xml:space="preserve"> early indication of a potential non-conformance </w:t>
      </w:r>
      <w:r w:rsidR="004D4AD7">
        <w:t>and the opportunity to rectify the process before it considerably deviates from its target value</w:t>
      </w:r>
      <w:r w:rsidR="00DA611B">
        <w:t xml:space="preserve">. </w:t>
      </w:r>
    </w:p>
    <w:p w14:paraId="451D7688" w14:textId="26A492C1" w:rsidR="000A2130" w:rsidRDefault="00542B2F" w:rsidP="000A2130">
      <w:pPr>
        <w:pStyle w:val="ListParagraph"/>
        <w:keepNext/>
        <w:jc w:val="center"/>
      </w:pPr>
      <w:r w:rsidRPr="009021F1">
        <w:rPr>
          <w:noProof/>
          <w:lang w:eastAsia="en-GB"/>
        </w:rPr>
        <w:drawing>
          <wp:anchor distT="0" distB="0" distL="114300" distR="114300" simplePos="0" relativeHeight="251662336" behindDoc="1" locked="0" layoutInCell="1" allowOverlap="1" wp14:anchorId="49D7C2D6" wp14:editId="254B79B0">
            <wp:simplePos x="0" y="0"/>
            <wp:positionH relativeFrom="column">
              <wp:posOffset>350446</wp:posOffset>
            </wp:positionH>
            <wp:positionV relativeFrom="paragraph">
              <wp:posOffset>191947</wp:posOffset>
            </wp:positionV>
            <wp:extent cx="5740178" cy="3118671"/>
            <wp:effectExtent l="0" t="0" r="0" b="0"/>
            <wp:wrapTight wrapText="bothSides">
              <wp:wrapPolygon edited="0">
                <wp:start x="0" y="0"/>
                <wp:lineTo x="0" y="21112"/>
                <wp:lineTo x="21507" y="21112"/>
                <wp:lineTo x="21507" y="0"/>
                <wp:lineTo x="0" y="0"/>
              </wp:wrapPolygon>
            </wp:wrapTight>
            <wp:docPr id="37" name="Picture 37" descr="Chart, line chart&#10;&#10;Description automatically generated">
              <a:extLst xmlns:a="http://schemas.openxmlformats.org/drawingml/2006/main">
                <a:ext uri="{FF2B5EF4-FFF2-40B4-BE49-F238E27FC236}">
                  <a16:creationId xmlns:a16="http://schemas.microsoft.com/office/drawing/2014/main" id="{04FB3536-AF89-0BD2-C9FA-938576A843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line chart&#10;&#10;Description automatically generated">
                      <a:extLst>
                        <a:ext uri="{FF2B5EF4-FFF2-40B4-BE49-F238E27FC236}">
                          <a16:creationId xmlns:a16="http://schemas.microsoft.com/office/drawing/2014/main" id="{04FB3536-AF89-0BD2-C9FA-938576A843FA}"/>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40178" cy="3118671"/>
                    </a:xfrm>
                    <a:prstGeom prst="rect">
                      <a:avLst/>
                    </a:prstGeom>
                  </pic:spPr>
                </pic:pic>
              </a:graphicData>
            </a:graphic>
          </wp:anchor>
        </w:drawing>
      </w:r>
    </w:p>
    <w:p w14:paraId="6D79F30B" w14:textId="1E123388" w:rsidR="0050557C" w:rsidRDefault="0050557C" w:rsidP="000A2130">
      <w:pPr>
        <w:pStyle w:val="ListParagraph"/>
        <w:keepNext/>
        <w:jc w:val="center"/>
      </w:pPr>
    </w:p>
    <w:p w14:paraId="1659198C" w14:textId="178AD923" w:rsidR="00887D51" w:rsidRDefault="000A2130" w:rsidP="000A2130">
      <w:pPr>
        <w:pStyle w:val="Caption"/>
        <w:jc w:val="center"/>
        <w:rPr>
          <w:b/>
        </w:rPr>
      </w:pPr>
      <w:bookmarkStart w:id="16" w:name="_Ref137762863"/>
      <w:bookmarkStart w:id="17" w:name="_Toc137807631"/>
      <w:r w:rsidRPr="000A2130">
        <w:rPr>
          <w:b/>
        </w:rPr>
        <w:t xml:space="preserve">Figure </w:t>
      </w:r>
      <w:r w:rsidRPr="000A2130">
        <w:rPr>
          <w:b/>
        </w:rPr>
        <w:fldChar w:fldCharType="begin"/>
      </w:r>
      <w:r w:rsidRPr="000A2130">
        <w:rPr>
          <w:b/>
        </w:rPr>
        <w:instrText xml:space="preserve"> SEQ Figure \* ARABIC </w:instrText>
      </w:r>
      <w:r w:rsidRPr="000A2130">
        <w:rPr>
          <w:b/>
        </w:rPr>
        <w:fldChar w:fldCharType="separate"/>
      </w:r>
      <w:r w:rsidR="008C301E">
        <w:rPr>
          <w:b/>
          <w:noProof/>
        </w:rPr>
        <w:t>5</w:t>
      </w:r>
      <w:r w:rsidRPr="000A2130">
        <w:rPr>
          <w:b/>
        </w:rPr>
        <w:fldChar w:fldCharType="end"/>
      </w:r>
      <w:bookmarkEnd w:id="16"/>
      <w:r w:rsidRPr="000A2130">
        <w:rPr>
          <w:b/>
        </w:rPr>
        <w:t>: Example of a</w:t>
      </w:r>
      <w:r w:rsidR="0050557C">
        <w:rPr>
          <w:b/>
        </w:rPr>
        <w:t>n SPC chart</w:t>
      </w:r>
      <w:r>
        <w:t xml:space="preserve">, </w:t>
      </w:r>
      <w:r w:rsidR="0050557C">
        <w:t xml:space="preserve">The process output is measured at each time point and the measurements are added to the chart as points joined by a line. </w:t>
      </w:r>
      <w:r w:rsidR="00CC69CF">
        <w:t xml:space="preserve">The horizontal solid line at the centre represents the nominal value and the dashed horizontal lines represents the upper/lower acceptable </w:t>
      </w:r>
      <w:r w:rsidR="0050557C">
        <w:t>limits for the process output</w:t>
      </w:r>
      <w:r w:rsidR="00CC69CF">
        <w:t xml:space="preserve">. </w:t>
      </w:r>
      <w:r w:rsidR="00981747">
        <w:t xml:space="preserve">Figure adapted from </w:t>
      </w:r>
      <w:r w:rsidR="00981747">
        <w:fldChar w:fldCharType="begin" w:fldLock="1"/>
      </w:r>
      <w:r w:rsidR="00042CAB">
        <w:instrText>ADDIN CSL_CITATION {"citationItems":[{"id":"ITEM-1","itemData":{"URL":"https://opexresources.com/introduction-statistical-process-control/","author":[{"dropping-particle":"","family":"OPEX Resources","given":"","non-dropping-particle":"","parse-names":false,"suffix":""}],"id":"ITEM-1","issued":{"date-parts":[["2017"]]},"title":"Introduction to Statistical Process Control","type":"webpage"},"uris":["http://www.mendeley.com/documents/?uuid=58e9465a-bdf8-4353-a112-89b044bc97d1"]}],"mendeley":{"formattedCitation":"(OPEX Resources, 2017)","plainTextFormattedCitation":"(OPEX Resources, 2017)","previouslyFormattedCitation":"(OPEX Resources, 2017)"},"properties":{"noteIndex":0},"schema":"https://github.com/citation-style-language/schema/raw/master/csl-citation.json"}</w:instrText>
      </w:r>
      <w:r w:rsidR="00981747">
        <w:fldChar w:fldCharType="separate"/>
      </w:r>
      <w:r w:rsidR="00981747" w:rsidRPr="00981747">
        <w:rPr>
          <w:i w:val="0"/>
          <w:noProof/>
        </w:rPr>
        <w:t>(OPEX Resources, 2017)</w:t>
      </w:r>
      <w:bookmarkEnd w:id="17"/>
      <w:r w:rsidR="00981747">
        <w:fldChar w:fldCharType="end"/>
      </w:r>
    </w:p>
    <w:p w14:paraId="7335D70A" w14:textId="77777777" w:rsidR="000A2130" w:rsidRPr="00887D51" w:rsidRDefault="000A2130" w:rsidP="000A2130">
      <w:pPr>
        <w:pStyle w:val="ListParagraph"/>
        <w:jc w:val="center"/>
        <w:rPr>
          <w:b/>
        </w:rPr>
      </w:pPr>
    </w:p>
    <w:p w14:paraId="15A4677B" w14:textId="413161CE" w:rsidR="00EB0939" w:rsidRPr="002C7E20" w:rsidRDefault="00887D51" w:rsidP="007A5DF3">
      <w:pPr>
        <w:pStyle w:val="ListParagraph"/>
        <w:numPr>
          <w:ilvl w:val="0"/>
          <w:numId w:val="7"/>
        </w:numPr>
        <w:jc w:val="both"/>
        <w:rPr>
          <w:b/>
        </w:rPr>
      </w:pPr>
      <w:r w:rsidRPr="00887D51">
        <w:rPr>
          <w:b/>
        </w:rPr>
        <w:t>Failure Mode and Effect Analysis (FMEA)</w:t>
      </w:r>
      <w:r w:rsidR="002E09B3">
        <w:rPr>
          <w:b/>
        </w:rPr>
        <w:t>:</w:t>
      </w:r>
      <w:r w:rsidR="006177CA">
        <w:rPr>
          <w:b/>
        </w:rPr>
        <w:t xml:space="preserve"> </w:t>
      </w:r>
      <w:r w:rsidR="006C1658" w:rsidRPr="006C1658">
        <w:rPr>
          <w:bCs/>
        </w:rPr>
        <w:t xml:space="preserve">the </w:t>
      </w:r>
      <w:r w:rsidR="006177CA" w:rsidRPr="002C7E20">
        <w:rPr>
          <w:bCs/>
        </w:rPr>
        <w:t xml:space="preserve">FMEA </w:t>
      </w:r>
      <w:r w:rsidR="006C1658">
        <w:rPr>
          <w:bCs/>
        </w:rPr>
        <w:t xml:space="preserve">method </w:t>
      </w:r>
      <w:r w:rsidR="006177CA" w:rsidRPr="002C7E20">
        <w:rPr>
          <w:bCs/>
        </w:rPr>
        <w:t>was</w:t>
      </w:r>
      <w:r w:rsidRPr="00887D51">
        <w:rPr>
          <w:b/>
        </w:rPr>
        <w:t xml:space="preserve"> </w:t>
      </w:r>
      <w:r w:rsidRPr="00887D51">
        <w:t xml:space="preserve">developed by </w:t>
      </w:r>
      <w:r w:rsidR="006177CA">
        <w:t xml:space="preserve">the </w:t>
      </w:r>
      <w:r w:rsidRPr="00887D51">
        <w:t>US Armed Forces</w:t>
      </w:r>
      <w:r w:rsidR="002E09B3">
        <w:t xml:space="preserve"> </w:t>
      </w:r>
      <w:r w:rsidR="002E09B3" w:rsidRPr="00887D51">
        <w:t>in 1940</w:t>
      </w:r>
      <w:r w:rsidR="002E09B3">
        <w:t>’</w:t>
      </w:r>
      <w:r w:rsidR="002E09B3" w:rsidRPr="00887D51">
        <w:t>s</w:t>
      </w:r>
      <w:r w:rsidR="006177CA">
        <w:t xml:space="preserve"> </w:t>
      </w:r>
      <w:r w:rsidRPr="00887D51">
        <w:t xml:space="preserve">and further </w:t>
      </w:r>
      <w:r w:rsidR="006C1658">
        <w:t>refined</w:t>
      </w:r>
      <w:r w:rsidRPr="00887D51">
        <w:t xml:space="preserve"> by NASA in 1960</w:t>
      </w:r>
      <w:r w:rsidR="002E09B3">
        <w:t>’</w:t>
      </w:r>
      <w:r w:rsidRPr="00887D51">
        <w:t>s</w:t>
      </w:r>
      <w:r w:rsidR="006177CA">
        <w:t xml:space="preserve"> </w:t>
      </w:r>
      <w:r w:rsidR="006177CA">
        <w:fldChar w:fldCharType="begin" w:fldLock="1"/>
      </w:r>
      <w:r w:rsidR="005C5DAD">
        <w:instrText>ADDIN CSL_CITATION {"citationItems":[{"id":"ITEM-1","itemData":{"abstract":"Across the globe, development times are becoming shorter, cost concerns more acute, and customers are demanding and expecting absolute safety and high reliability. While it may have been sufficient in the past to focus on testing and analysis as the primary methods for ensuring high reliability, this is no longer sufficient. The focus needs to be on problem prevention, anticipating the factors that lead to failure and ensuring designs are robust. Failure Mode and Effects Analysis (FMEA) can anticipate and prevent problems, reduce costs, shorten product development times, and achieve safe and highly reliable products and processes. The plain truth is FMEA has the potential to be a very powerful tool to achieve high reliability in products and processes; and when done well, it is remarkably effective. Yet in practice, FMEA does not always achieve the expected results. It has to be done correctly: performed on the correct parts, by the correct team, during the correct timeframe, with the correct procedure. The purpose of this tutorial is to share the fundamental concepts and procedures for effective FMEAs and highlight the FMEA success factors","author":[{"dropping-particle":"","family":"Carlson","given":"Carl S","non-dropping-particle":"","parse-names":false,"suffix":""}],"container-title":"2014 Annual Reliability and Maintainability Symposium (RAMS)","id":"ITEM-1","issued":{"date-parts":[["2014"]]},"page":"12","title":"Understanding and Applying the Fundamentals of FMEAs","type":"article-journal"},"uris":["http://www.mendeley.com/documents/?uuid=b7700f97-c0f8-4040-bfde-320efa8fd375"]}],"mendeley":{"formattedCitation":"(Carlson, 2014)","plainTextFormattedCitation":"(Carlson, 2014)","previouslyFormattedCitation":"(Carlson, 2014)"},"properties":{"noteIndex":0},"schema":"https://github.com/citation-style-language/schema/raw/master/csl-citation.json"}</w:instrText>
      </w:r>
      <w:r w:rsidR="006177CA">
        <w:fldChar w:fldCharType="separate"/>
      </w:r>
      <w:r w:rsidR="006177CA" w:rsidRPr="006177CA">
        <w:rPr>
          <w:noProof/>
        </w:rPr>
        <w:t>(Carlson, 2014)</w:t>
      </w:r>
      <w:r w:rsidR="006177CA">
        <w:fldChar w:fldCharType="end"/>
      </w:r>
      <w:r w:rsidR="001B1DE3">
        <w:t xml:space="preserve">. </w:t>
      </w:r>
      <w:r w:rsidR="006177CA">
        <w:t xml:space="preserve">Its main goal is the classification of process failures </w:t>
      </w:r>
      <w:r w:rsidR="0011117F">
        <w:t>based on</w:t>
      </w:r>
      <w:r w:rsidR="006177CA">
        <w:t xml:space="preserve"> their impact on </w:t>
      </w:r>
      <w:r w:rsidR="007A3F7D">
        <w:t>a project</w:t>
      </w:r>
      <w:r w:rsidR="0011117F">
        <w:t>’s</w:t>
      </w:r>
      <w:r w:rsidR="006177CA">
        <w:t xml:space="preserve"> success and </w:t>
      </w:r>
      <w:r w:rsidR="0011117F">
        <w:t xml:space="preserve">on the safety of personnel and equipment. </w:t>
      </w:r>
      <w:r w:rsidR="00EB0939">
        <w:t xml:space="preserve">In the late 1970s, FMEA was introduced to the automotive industry by the Ford Motor Company, to enhance its safety and regulatory processes. Currently, </w:t>
      </w:r>
      <w:r w:rsidR="002C7E20">
        <w:t>a wide range of industries, including aviation, has adopted the method</w:t>
      </w:r>
      <w:r w:rsidR="00EB0939">
        <w:t xml:space="preserve">. </w:t>
      </w:r>
    </w:p>
    <w:p w14:paraId="1A8260EA" w14:textId="77777777" w:rsidR="005C5DAD" w:rsidRPr="002C7E20" w:rsidRDefault="005C5DAD" w:rsidP="002C7E20">
      <w:pPr>
        <w:pStyle w:val="ListParagraph"/>
        <w:jc w:val="both"/>
        <w:rPr>
          <w:b/>
        </w:rPr>
      </w:pPr>
    </w:p>
    <w:p w14:paraId="4A4E4827" w14:textId="786A9A28" w:rsidR="005C5DAD" w:rsidRPr="005C5DAD" w:rsidRDefault="00EB0939" w:rsidP="00EB0939">
      <w:pPr>
        <w:pStyle w:val="ListParagraph"/>
        <w:jc w:val="both"/>
      </w:pPr>
      <w:r>
        <w:rPr>
          <w:bCs/>
        </w:rPr>
        <w:t>There are different types of FMEAs (e.g. system, design or process-specific). Relevant for this piece of work is the "</w:t>
      </w:r>
      <w:r>
        <w:t>d</w:t>
      </w:r>
      <w:r w:rsidR="00B435F9">
        <w:t>esign FMEA</w:t>
      </w:r>
      <w:r>
        <w:t>”</w:t>
      </w:r>
      <w:r w:rsidR="00B435F9">
        <w:t xml:space="preserve"> (</w:t>
      </w:r>
      <w:r w:rsidR="001B1DE3">
        <w:t>DFMEA</w:t>
      </w:r>
      <w:r w:rsidR="00B435F9">
        <w:t>)</w:t>
      </w:r>
      <w:r>
        <w:t xml:space="preserve">, which focusses on product design. DFMEA is </w:t>
      </w:r>
      <w:r w:rsidR="001B1DE3" w:rsidRPr="001B1DE3">
        <w:t>a systematic approach to</w:t>
      </w:r>
      <w:r w:rsidR="00E36237">
        <w:t xml:space="preserve"> </w:t>
      </w:r>
      <w:r w:rsidR="00B435F9">
        <w:t xml:space="preserve">design-related </w:t>
      </w:r>
      <w:r w:rsidR="00E36237">
        <w:t>risk,</w:t>
      </w:r>
      <w:r w:rsidR="001B1DE3" w:rsidRPr="001B1DE3">
        <w:t xml:space="preserve"> </w:t>
      </w:r>
      <w:r>
        <w:t xml:space="preserve">which allows </w:t>
      </w:r>
      <w:r w:rsidR="002C7E20">
        <w:t xml:space="preserve">identifying potential failures, assessing their severity and </w:t>
      </w:r>
      <w:r w:rsidR="003403D8">
        <w:t>adopting</w:t>
      </w:r>
      <w:r w:rsidR="003403D8" w:rsidRPr="001B1DE3">
        <w:t xml:space="preserve"> </w:t>
      </w:r>
      <w:r w:rsidR="001B1DE3" w:rsidRPr="001B1DE3">
        <w:t>preventive measures to avoid or minimi</w:t>
      </w:r>
      <w:r w:rsidR="001B1DE3">
        <w:t>s</w:t>
      </w:r>
      <w:r w:rsidR="001B1DE3" w:rsidRPr="001B1DE3">
        <w:t>e them.</w:t>
      </w:r>
      <w:r w:rsidR="001B1DE3">
        <w:t xml:space="preserve"> </w:t>
      </w:r>
      <w:r w:rsidR="005C5DAD">
        <w:t xml:space="preserve">The method ranks potential risks </w:t>
      </w:r>
      <w:r w:rsidR="006B4246">
        <w:t>along</w:t>
      </w:r>
      <w:r w:rsidR="005C5DAD" w:rsidRPr="005C5DAD">
        <w:t xml:space="preserve"> three </w:t>
      </w:r>
      <w:r w:rsidR="003B344A">
        <w:t>dimensions</w:t>
      </w:r>
      <w:r w:rsidR="005C5DAD">
        <w:t xml:space="preserve"> </w:t>
      </w:r>
      <w:r w:rsidR="005C5DAD">
        <w:fldChar w:fldCharType="begin" w:fldLock="1"/>
      </w:r>
      <w:r w:rsidR="006C1658">
        <w:instrText>ADDIN CSL_CITATION {"citationItems":[{"id":"ITEM-1","itemData":{"abstract":"Across the globe, development times are becoming shorter, cost concerns more acute, and customers are demanding and expecting absolute safety and high reliability. While it may have been sufficient in the past to focus on testing and analysis as the primary methods for ensuring high reliability, this is no longer sufficient. The focus needs to be on problem prevention, anticipating the factors that lead to failure and ensuring designs are robust. Failure Mode and Effects Analysis (FMEA) can anticipate and prevent problems, reduce costs, shorten product development times, and achieve safe and highly reliable products and processes. The plain truth is FMEA has the potential to be a very powerful tool to achieve high reliability in products and processes; and when done well, it is remarkably effective. Yet in practice, FMEA does not always achieve the expected results. It has to be done correctly: performed on the correct parts, by the correct team, during the correct timeframe, with the correct procedure. The purpose of this tutorial is to share the fundamental concepts and procedures for effective FMEAs and highlight the FMEA success factors","author":[{"dropping-particle":"","family":"Carlson","given":"Carl S","non-dropping-particle":"","parse-names":false,"suffix":""}],"container-title":"2014 Annual Reliability and Maintainability Symposium (RAMS)","id":"ITEM-1","issued":{"date-parts":[["2014"]]},"page":"12","title":"Understanding and Applying the Fundamentals of FMEAs","type":"article-journal"},"uris":["http://www.mendeley.com/documents/?uuid=b7700f97-c0f8-4040-bfde-320efa8fd375"]}],"mendeley":{"formattedCitation":"(Carlson, 2014)","plainTextFormattedCitation":"(Carlson, 2014)","previouslyFormattedCitation":"(Carlson, 2014)"},"properties":{"noteIndex":0},"schema":"https://github.com/citation-style-language/schema/raw/master/csl-citation.json"}</w:instrText>
      </w:r>
      <w:r w:rsidR="005C5DAD">
        <w:fldChar w:fldCharType="separate"/>
      </w:r>
      <w:r w:rsidR="005C5DAD" w:rsidRPr="005C5DAD">
        <w:rPr>
          <w:noProof/>
        </w:rPr>
        <w:t>(Carlson, 2014)</w:t>
      </w:r>
      <w:r w:rsidR="005C5DAD">
        <w:fldChar w:fldCharType="end"/>
      </w:r>
      <w:r w:rsidR="005C5DAD" w:rsidRPr="005C5DAD">
        <w:t>:</w:t>
      </w:r>
    </w:p>
    <w:p w14:paraId="38D23FB2" w14:textId="792E7BF7" w:rsidR="005C5DAD" w:rsidRDefault="005C5DAD" w:rsidP="007A5DF3">
      <w:pPr>
        <w:pStyle w:val="ListParagraph"/>
        <w:numPr>
          <w:ilvl w:val="1"/>
          <w:numId w:val="1"/>
        </w:numPr>
        <w:jc w:val="both"/>
        <w:rPr>
          <w:bCs/>
        </w:rPr>
      </w:pPr>
      <w:r w:rsidRPr="002C7E20">
        <w:rPr>
          <w:bCs/>
        </w:rPr>
        <w:lastRenderedPageBreak/>
        <w:t>The severity of the effect of a failure</w:t>
      </w:r>
      <w:r w:rsidR="00CC380C">
        <w:rPr>
          <w:bCs/>
        </w:rPr>
        <w:t xml:space="preserve"> (scored from 1 to 10, 10 being the highest severity)</w:t>
      </w:r>
    </w:p>
    <w:p w14:paraId="17415379" w14:textId="1421C9D7" w:rsidR="005C5DAD" w:rsidRPr="00CC380C" w:rsidRDefault="005C5DAD" w:rsidP="007A5DF3">
      <w:pPr>
        <w:pStyle w:val="ListParagraph"/>
        <w:numPr>
          <w:ilvl w:val="1"/>
          <w:numId w:val="1"/>
        </w:numPr>
        <w:jc w:val="both"/>
        <w:rPr>
          <w:bCs/>
        </w:rPr>
      </w:pPr>
      <w:r>
        <w:rPr>
          <w:bCs/>
        </w:rPr>
        <w:t>The likelihood of the occurrence of the cause of the failure</w:t>
      </w:r>
      <w:r w:rsidR="00CC380C">
        <w:rPr>
          <w:bCs/>
        </w:rPr>
        <w:t xml:space="preserve"> (scored from 1 to 10, 10 being the highest </w:t>
      </w:r>
      <w:r w:rsidR="006C1658">
        <w:rPr>
          <w:bCs/>
        </w:rPr>
        <w:t xml:space="preserve">occurrence </w:t>
      </w:r>
      <w:r w:rsidR="00CC380C">
        <w:rPr>
          <w:bCs/>
        </w:rPr>
        <w:t>likelihood)</w:t>
      </w:r>
    </w:p>
    <w:p w14:paraId="53077966" w14:textId="62309A82" w:rsidR="005C5DAD" w:rsidRPr="00CC380C" w:rsidRDefault="005C5DAD" w:rsidP="007A5DF3">
      <w:pPr>
        <w:pStyle w:val="ListParagraph"/>
        <w:numPr>
          <w:ilvl w:val="1"/>
          <w:numId w:val="1"/>
        </w:numPr>
        <w:jc w:val="both"/>
        <w:rPr>
          <w:bCs/>
        </w:rPr>
      </w:pPr>
      <w:r>
        <w:rPr>
          <w:bCs/>
        </w:rPr>
        <w:t xml:space="preserve">The likelihood of the </w:t>
      </w:r>
      <w:r w:rsidR="006C1658">
        <w:rPr>
          <w:bCs/>
        </w:rPr>
        <w:t>detection</w:t>
      </w:r>
      <w:r>
        <w:rPr>
          <w:bCs/>
        </w:rPr>
        <w:t xml:space="preserve"> of the cause of the failure</w:t>
      </w:r>
      <w:r w:rsidR="00CC380C">
        <w:rPr>
          <w:bCs/>
        </w:rPr>
        <w:t xml:space="preserve"> (scored from 1 to 10, 10 being the lowest</w:t>
      </w:r>
      <w:r w:rsidR="006C1658">
        <w:rPr>
          <w:bCs/>
        </w:rPr>
        <w:t xml:space="preserve"> detection</w:t>
      </w:r>
      <w:r w:rsidR="00CC380C">
        <w:rPr>
          <w:bCs/>
        </w:rPr>
        <w:t xml:space="preserve"> likelihood)</w:t>
      </w:r>
    </w:p>
    <w:p w14:paraId="738789E6" w14:textId="47963E98" w:rsidR="0045622E" w:rsidRDefault="001B1DE3" w:rsidP="005C5DAD">
      <w:pPr>
        <w:ind w:left="720"/>
        <w:jc w:val="both"/>
      </w:pPr>
      <w:r>
        <w:t>The three scores are multiplied together to</w:t>
      </w:r>
      <w:r w:rsidR="0045622E">
        <w:t xml:space="preserve"> create a ‘Risk Priority Number’ (RPN) to</w:t>
      </w:r>
      <w:r>
        <w:t xml:space="preserve"> identify the </w:t>
      </w:r>
      <w:r w:rsidR="0045622E">
        <w:t xml:space="preserve">highest scoring </w:t>
      </w:r>
      <w:r w:rsidR="005C5DAD">
        <w:t xml:space="preserve">potential </w:t>
      </w:r>
      <w:r>
        <w:t>ris</w:t>
      </w:r>
      <w:r w:rsidR="0045622E">
        <w:t xml:space="preserve">ks requiring mitigating actions. </w:t>
      </w:r>
    </w:p>
    <w:p w14:paraId="04B857C4" w14:textId="0A827980" w:rsidR="006C1658" w:rsidRPr="002C7E20" w:rsidRDefault="002C7E20" w:rsidP="002C7E20">
      <w:pPr>
        <w:ind w:left="720"/>
        <w:jc w:val="both"/>
        <w:rPr>
          <w:bCs/>
        </w:rPr>
      </w:pPr>
      <w:r>
        <w:fldChar w:fldCharType="begin"/>
      </w:r>
      <w:r>
        <w:instrText xml:space="preserve"> REF _Ref133780027 \h </w:instrText>
      </w:r>
      <w:r w:rsidR="00156AA3">
        <w:instrText xml:space="preserve"> \* MERGEFORMAT </w:instrText>
      </w:r>
      <w:r>
        <w:fldChar w:fldCharType="separate"/>
      </w:r>
      <w:r w:rsidR="008C301E" w:rsidRPr="008C301E">
        <w:t>Figure 6</w:t>
      </w:r>
      <w:r>
        <w:fldChar w:fldCharType="end"/>
      </w:r>
      <w:r w:rsidR="006C1658">
        <w:t xml:space="preserve"> shows an example of DFMEA procedure adopted by SGB.</w:t>
      </w:r>
    </w:p>
    <w:p w14:paraId="31C232B8" w14:textId="77777777" w:rsidR="0045622E" w:rsidRDefault="0045622E" w:rsidP="0045622E">
      <w:pPr>
        <w:jc w:val="both"/>
        <w:rPr>
          <w:b/>
        </w:rPr>
      </w:pPr>
    </w:p>
    <w:p w14:paraId="0220818F" w14:textId="77777777" w:rsidR="00F47057" w:rsidRDefault="00F47057" w:rsidP="00F47057">
      <w:pPr>
        <w:pStyle w:val="ListParagraph"/>
        <w:keepNext/>
        <w:ind w:left="142"/>
      </w:pPr>
      <w:r w:rsidRPr="00F47057">
        <w:rPr>
          <w:b/>
          <w:noProof/>
          <w:lang w:eastAsia="en-GB"/>
        </w:rPr>
        <w:drawing>
          <wp:inline distT="0" distB="0" distL="0" distR="0" wp14:anchorId="2EB3BD36" wp14:editId="406E8E9E">
            <wp:extent cx="6473825" cy="2472690"/>
            <wp:effectExtent l="0" t="0" r="3175"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73825" cy="2472690"/>
                    </a:xfrm>
                    <a:prstGeom prst="rect">
                      <a:avLst/>
                    </a:prstGeom>
                  </pic:spPr>
                </pic:pic>
              </a:graphicData>
            </a:graphic>
          </wp:inline>
        </w:drawing>
      </w:r>
    </w:p>
    <w:p w14:paraId="3416EDB8" w14:textId="5B122F77" w:rsidR="00887D51" w:rsidRDefault="00F47057" w:rsidP="00F47057">
      <w:pPr>
        <w:pStyle w:val="Caption"/>
        <w:rPr>
          <w:b/>
        </w:rPr>
      </w:pPr>
      <w:bookmarkStart w:id="18" w:name="_Ref133780027"/>
      <w:bookmarkStart w:id="19" w:name="_Toc137807632"/>
      <w:r w:rsidRPr="00F47057">
        <w:rPr>
          <w:b/>
        </w:rPr>
        <w:t xml:space="preserve">Figure </w:t>
      </w:r>
      <w:r w:rsidRPr="00F47057">
        <w:rPr>
          <w:b/>
        </w:rPr>
        <w:fldChar w:fldCharType="begin"/>
      </w:r>
      <w:r w:rsidRPr="00F47057">
        <w:rPr>
          <w:b/>
        </w:rPr>
        <w:instrText xml:space="preserve"> SEQ Figure \* ARABIC </w:instrText>
      </w:r>
      <w:r w:rsidRPr="00F47057">
        <w:rPr>
          <w:b/>
        </w:rPr>
        <w:fldChar w:fldCharType="separate"/>
      </w:r>
      <w:r w:rsidR="008C301E">
        <w:rPr>
          <w:b/>
          <w:noProof/>
        </w:rPr>
        <w:t>6</w:t>
      </w:r>
      <w:r w:rsidRPr="00F47057">
        <w:rPr>
          <w:b/>
        </w:rPr>
        <w:fldChar w:fldCharType="end"/>
      </w:r>
      <w:bookmarkEnd w:id="18"/>
      <w:r w:rsidRPr="00F47057">
        <w:rPr>
          <w:b/>
        </w:rPr>
        <w:t>: Example of a DFMEA</w:t>
      </w:r>
      <w:r>
        <w:t>, using the SGB template</w:t>
      </w:r>
      <w:bookmarkEnd w:id="19"/>
    </w:p>
    <w:p w14:paraId="6EAA6A1C" w14:textId="77777777" w:rsidR="00F47057" w:rsidRPr="00887D51" w:rsidRDefault="00F47057" w:rsidP="00F47057">
      <w:pPr>
        <w:pStyle w:val="ListParagraph"/>
        <w:ind w:left="142"/>
        <w:rPr>
          <w:b/>
        </w:rPr>
      </w:pPr>
    </w:p>
    <w:p w14:paraId="4D2E449E" w14:textId="77777777" w:rsidR="00D45E02" w:rsidRDefault="00D45E02" w:rsidP="007A5DF3">
      <w:pPr>
        <w:pStyle w:val="ListParagraph"/>
        <w:numPr>
          <w:ilvl w:val="0"/>
          <w:numId w:val="7"/>
        </w:numPr>
        <w:jc w:val="both"/>
        <w:rPr>
          <w:b/>
        </w:rPr>
      </w:pPr>
      <w:r>
        <w:rPr>
          <w:b/>
        </w:rPr>
        <w:t xml:space="preserve">Plan-Do-Check-Act (PDCA) &amp; </w:t>
      </w:r>
      <w:r w:rsidR="00887D51" w:rsidRPr="00887D51">
        <w:rPr>
          <w:b/>
        </w:rPr>
        <w:t xml:space="preserve">Plan-Do-Study-Act (PDSA): </w:t>
      </w:r>
    </w:p>
    <w:p w14:paraId="29D73144" w14:textId="070B76F7" w:rsidR="00875824" w:rsidRDefault="00D45E02" w:rsidP="00875824">
      <w:pPr>
        <w:pStyle w:val="ListParagraph"/>
        <w:jc w:val="both"/>
      </w:pPr>
      <w:r>
        <w:rPr>
          <w:bCs/>
        </w:rPr>
        <w:t>The PDCA</w:t>
      </w:r>
      <w:r w:rsidR="00790949">
        <w:rPr>
          <w:bCs/>
        </w:rPr>
        <w:t xml:space="preserve"> was introduced</w:t>
      </w:r>
      <w:r w:rsidR="00790949" w:rsidRPr="0045622E">
        <w:t xml:space="preserve"> by W. Edwards Deming</w:t>
      </w:r>
      <w:r w:rsidR="00790949">
        <w:t xml:space="preserve"> (inspired by Shewhart)</w:t>
      </w:r>
      <w:r w:rsidR="00790949" w:rsidRPr="0045622E">
        <w:t xml:space="preserve"> in 1950</w:t>
      </w:r>
      <w:r w:rsidR="00790949">
        <w:t xml:space="preserve"> in a seminar of the Japanese Union of Scientists and Engineers (JUSE) </w:t>
      </w:r>
      <w:r w:rsidR="00790949">
        <w:fldChar w:fldCharType="begin" w:fldLock="1"/>
      </w:r>
      <w:r w:rsidR="00790949">
        <w:instrText>ADDIN CSL_CITATION {"citationItems":[{"id":"ITEM-1","itemData":{"abstract":"The PDCA cycle had its origin with Dr.W. Edwards Demings lecture in Japan in 1950. Where did he get these ideas and how have these ideas evolved since those lectures? This presentation will move from the 1600s with Galileo and the philosophy of science through the evolution of the scientific method and the science of improvement.Walter Shewhart in 1939 applied the scientific method with his cycle: specification-production- inspection.W. Edwards Deming in 1950 modified the Shewhart cycle: design of the product, make it, put it on the market, test it through market research, then redesign the product. The Japanese interpretation of the Deming wheel in Dr. Demings lectures of 1950 and 1951 lead to the plan-do-check-action or PDCA cycle. This cycle was integral to the Japanese QC, TQC, and QC circle activities. Deming introduced his Shewhart cycle for learning and improvement in the USA in 1986. Dr. Deming introduced a more abbreviated PDSA cycle in 1993. In 1994, the PDSA cycle was accompanied by three questions to aid in the planning step of the PDSA Cycle. In 1996 and 2009 publications, the PDSA cycle was broadened to include strategies and methods to develop, test, and implement changes that would result in improvement. This version was called the Model for Improvement. As an introduction to a framework for improvement, the model for improvement has been found to support improvement efforts in a full range from the very informal to the most complex.","author":[{"dropping-particle":"","family":"Moen","given":"Ronald","non-dropping-particle":"","parse-names":false,"suffix":""},{"dropping-particle":"","family":"Norman","given":"Clifford","non-dropping-particle":"","parse-names":false,"suffix":""}],"container-title":"Proceedings of the 7th ANQ Congress","id":"ITEM-1","issued":{"date-parts":[["2009"]]},"title":"Evolution of the PDCA Cycle","type":"article-journal"},"uris":["http://www.mendeley.com/documents/?uuid=cdc62bfd-0e91-428e-8184-f468dd214d06"]}],"mendeley":{"formattedCitation":"(Moen and Norman, 2009)","plainTextFormattedCitation":"(Moen and Norman, 2009)","previouslyFormattedCitation":"(Moen and Norman, 2009)"},"properties":{"noteIndex":0},"schema":"https://github.com/citation-style-language/schema/raw/master/csl-citation.json"}</w:instrText>
      </w:r>
      <w:r w:rsidR="00790949">
        <w:fldChar w:fldCharType="separate"/>
      </w:r>
      <w:r w:rsidR="00790949" w:rsidRPr="005F7664">
        <w:rPr>
          <w:noProof/>
        </w:rPr>
        <w:t>(Moen and Norman, 2009)</w:t>
      </w:r>
      <w:r w:rsidR="00790949">
        <w:fldChar w:fldCharType="end"/>
      </w:r>
      <w:r w:rsidR="00790949">
        <w:t>. It</w:t>
      </w:r>
      <w:r>
        <w:rPr>
          <w:bCs/>
        </w:rPr>
        <w:t xml:space="preserve"> is a cyclical four-stage model to achieve continuous improvement within a business</w:t>
      </w:r>
      <w:r w:rsidR="00DA6C7B">
        <w:rPr>
          <w:bCs/>
        </w:rPr>
        <w:t>.</w:t>
      </w:r>
      <w:r>
        <w:rPr>
          <w:bCs/>
        </w:rPr>
        <w:t xml:space="preserve"> </w:t>
      </w:r>
      <w:r w:rsidR="005E1E00">
        <w:rPr>
          <w:bCs/>
        </w:rPr>
        <w:t>The PDCA four stages are</w:t>
      </w:r>
      <w:r w:rsidR="00875824">
        <w:t xml:space="preserve">: </w:t>
      </w:r>
    </w:p>
    <w:p w14:paraId="130E6295" w14:textId="4D44BCE5" w:rsidR="00875824" w:rsidRDefault="00875824" w:rsidP="007A5DF3">
      <w:pPr>
        <w:pStyle w:val="ListParagraph"/>
        <w:numPr>
          <w:ilvl w:val="0"/>
          <w:numId w:val="12"/>
        </w:numPr>
        <w:jc w:val="both"/>
      </w:pPr>
      <w:r>
        <w:t>Plan: planning a process</w:t>
      </w:r>
    </w:p>
    <w:p w14:paraId="20CA3DEF" w14:textId="77777777" w:rsidR="00875824" w:rsidRDefault="00875824" w:rsidP="007A5DF3">
      <w:pPr>
        <w:pStyle w:val="ListParagraph"/>
        <w:numPr>
          <w:ilvl w:val="0"/>
          <w:numId w:val="12"/>
        </w:numPr>
        <w:jc w:val="both"/>
      </w:pPr>
      <w:r>
        <w:t xml:space="preserve">Do: carrying out the process </w:t>
      </w:r>
    </w:p>
    <w:p w14:paraId="11FCA53E" w14:textId="34A3238C" w:rsidR="00875824" w:rsidRDefault="00875824" w:rsidP="007A5DF3">
      <w:pPr>
        <w:pStyle w:val="ListParagraph"/>
        <w:numPr>
          <w:ilvl w:val="0"/>
          <w:numId w:val="12"/>
        </w:numPr>
        <w:jc w:val="both"/>
      </w:pPr>
      <w:r>
        <w:t>Check: assess</w:t>
      </w:r>
      <w:r w:rsidR="000B5B48">
        <w:t>ing</w:t>
      </w:r>
      <w:r>
        <w:t xml:space="preserve"> the impact of the process on the system </w:t>
      </w:r>
    </w:p>
    <w:p w14:paraId="21D4F406" w14:textId="6F44212A" w:rsidR="00875824" w:rsidRPr="006C4450" w:rsidRDefault="00875824" w:rsidP="007A5DF3">
      <w:pPr>
        <w:pStyle w:val="ListParagraph"/>
        <w:numPr>
          <w:ilvl w:val="0"/>
          <w:numId w:val="12"/>
        </w:numPr>
        <w:jc w:val="both"/>
      </w:pPr>
      <w:r>
        <w:t xml:space="preserve">Act: acting if either the proposed solution is not being continually achieved or another complication has arisen. </w:t>
      </w:r>
    </w:p>
    <w:p w14:paraId="123D6BCD" w14:textId="46DB9E29" w:rsidR="00D45E02" w:rsidRDefault="002B737E" w:rsidP="002B737E">
      <w:pPr>
        <w:pStyle w:val="ListParagraph"/>
        <w:jc w:val="both"/>
      </w:pPr>
      <w:r>
        <w:t>The model was further refined by K. Ishikawa the following year to include two extra sub-stages within the stages ‘Plan` (distinguish between planning of goals/targets vs methods) and ‘Do’ (addition of training and education</w:t>
      </w:r>
      <w:r w:rsidRPr="00A256CE">
        <w:t>) (</w:t>
      </w:r>
      <w:r w:rsidR="00FF06B6" w:rsidRPr="00A256CE">
        <w:fldChar w:fldCharType="begin"/>
      </w:r>
      <w:r w:rsidR="00FF06B6" w:rsidRPr="00A256CE">
        <w:instrText xml:space="preserve"> REF _Ref133822645 \h </w:instrText>
      </w:r>
      <w:r w:rsidR="00A256CE" w:rsidRPr="00A256CE">
        <w:instrText xml:space="preserve"> \* MERGEFORMAT </w:instrText>
      </w:r>
      <w:r w:rsidR="00FF06B6" w:rsidRPr="00A256CE">
        <w:fldChar w:fldCharType="separate"/>
      </w:r>
      <w:r w:rsidR="008C301E" w:rsidRPr="008C301E">
        <w:t>Figure 7</w:t>
      </w:r>
      <w:r w:rsidR="00FF06B6" w:rsidRPr="00A256CE">
        <w:fldChar w:fldCharType="end"/>
      </w:r>
      <w:r w:rsidRPr="00A256CE">
        <w:t>).</w:t>
      </w:r>
    </w:p>
    <w:p w14:paraId="03AF4E76" w14:textId="4387B67C" w:rsidR="002B737E" w:rsidRDefault="002B737E" w:rsidP="002B737E">
      <w:pPr>
        <w:pStyle w:val="ListParagraph"/>
        <w:jc w:val="both"/>
      </w:pPr>
    </w:p>
    <w:p w14:paraId="38D99F9B" w14:textId="77777777" w:rsidR="002B737E" w:rsidRDefault="002B737E" w:rsidP="002B737E">
      <w:pPr>
        <w:pStyle w:val="ListParagraph"/>
        <w:jc w:val="center"/>
      </w:pPr>
    </w:p>
    <w:p w14:paraId="4DBF0BD9" w14:textId="77777777" w:rsidR="00773C8F" w:rsidRDefault="002B737E" w:rsidP="00773C8F">
      <w:pPr>
        <w:pStyle w:val="ListParagraph"/>
        <w:keepNext/>
        <w:jc w:val="center"/>
      </w:pPr>
      <w:r>
        <w:rPr>
          <w:noProof/>
          <w:lang w:eastAsia="en-GB"/>
        </w:rPr>
        <w:drawing>
          <wp:inline distT="0" distB="0" distL="0" distR="0" wp14:anchorId="0C99C3B2" wp14:editId="7C15EA85">
            <wp:extent cx="3827721" cy="3280904"/>
            <wp:effectExtent l="0" t="0" r="1905" b="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16"/>
                    <a:stretch>
                      <a:fillRect/>
                    </a:stretch>
                  </pic:blipFill>
                  <pic:spPr>
                    <a:xfrm>
                      <a:off x="0" y="0"/>
                      <a:ext cx="3832231" cy="3284770"/>
                    </a:xfrm>
                    <a:prstGeom prst="rect">
                      <a:avLst/>
                    </a:prstGeom>
                  </pic:spPr>
                </pic:pic>
              </a:graphicData>
            </a:graphic>
          </wp:inline>
        </w:drawing>
      </w:r>
    </w:p>
    <w:p w14:paraId="5E9BBF5B" w14:textId="24B2A96F" w:rsidR="00D45E02" w:rsidRPr="00773C8F" w:rsidRDefault="00773C8F" w:rsidP="00773C8F">
      <w:pPr>
        <w:pStyle w:val="Caption"/>
        <w:jc w:val="center"/>
      </w:pPr>
      <w:bookmarkStart w:id="20" w:name="_Ref133822645"/>
      <w:bookmarkStart w:id="21" w:name="_Toc137807633"/>
      <w:r w:rsidRPr="00CD37AA">
        <w:rPr>
          <w:b/>
        </w:rPr>
        <w:t xml:space="preserve">Figure </w:t>
      </w:r>
      <w:r w:rsidR="007733ED" w:rsidRPr="00CD37AA">
        <w:rPr>
          <w:b/>
        </w:rPr>
        <w:fldChar w:fldCharType="begin"/>
      </w:r>
      <w:r w:rsidR="007733ED" w:rsidRPr="00CD37AA">
        <w:rPr>
          <w:b/>
        </w:rPr>
        <w:instrText xml:space="preserve"> SEQ Figure \* ARABIC </w:instrText>
      </w:r>
      <w:r w:rsidR="007733ED" w:rsidRPr="00CD37AA">
        <w:rPr>
          <w:b/>
        </w:rPr>
        <w:fldChar w:fldCharType="separate"/>
      </w:r>
      <w:r w:rsidR="008C301E">
        <w:rPr>
          <w:b/>
          <w:noProof/>
        </w:rPr>
        <w:t>7</w:t>
      </w:r>
      <w:r w:rsidR="007733ED" w:rsidRPr="00CD37AA">
        <w:rPr>
          <w:b/>
          <w:noProof/>
        </w:rPr>
        <w:fldChar w:fldCharType="end"/>
      </w:r>
      <w:bookmarkEnd w:id="20"/>
      <w:r w:rsidRPr="00CD37AA">
        <w:rPr>
          <w:b/>
        </w:rPr>
        <w:t>: PDCA cycle</w:t>
      </w:r>
      <w:r w:rsidRPr="000C17C5">
        <w:t xml:space="preserve"> “Deming</w:t>
      </w:r>
      <w:r w:rsidR="00303754">
        <w:t>’s</w:t>
      </w:r>
      <w:r w:rsidRPr="000C17C5">
        <w:t xml:space="preserve"> cycle” refined by Ishikawa. Figure adapted from</w:t>
      </w:r>
      <w:r>
        <w:t xml:space="preserve"> </w:t>
      </w:r>
      <w:r w:rsidR="002B737E" w:rsidRPr="00773C8F">
        <w:fldChar w:fldCharType="begin" w:fldLock="1"/>
      </w:r>
      <w:r w:rsidR="005D5DA0" w:rsidRPr="00773C8F">
        <w:instrText>ADDIN CSL_CITATION {"citationItems":[{"id":"ITEM-1","itemData":{"URL":"https://www.ifm.eng.cam.ac.uk/research/dstools/pdca/","accessed":{"date-parts":[["2023","4","30"]]},"author":[{"dropping-particle":"","family":"Institute For Manufacturing - Cambridge University","given":"","non-dropping-particle":"","parse-names":false,"suffix":""}],"id":"ITEM-1","issued":{"date-parts":[["2023"]]},"title":"PDCA - The Deming Cycle","type":"webpage"},"uris":["http://www.mendeley.com/documents/?uuid=c4a001d7-228b-3675-a39c-45bc25ce17f5"]}],"mendeley":{"formattedCitation":"(Institute For Manufacturing - Cambridge University, 2023)","plainTextFormattedCitation":"(Institute For Manufacturing - Cambridge University, 2023)","previouslyFormattedCitation":"(Institute For Manufacturing - Cambridge University, 2023)"},"properties":{"noteIndex":0},"schema":"https://github.com/citation-style-language/schema/raw/master/csl-citation.json"}</w:instrText>
      </w:r>
      <w:r w:rsidR="002B737E" w:rsidRPr="00773C8F">
        <w:fldChar w:fldCharType="separate"/>
      </w:r>
      <w:r w:rsidR="002B737E" w:rsidRPr="00773C8F">
        <w:rPr>
          <w:noProof/>
        </w:rPr>
        <w:t>(Institute For Manufacturing - Cambridge University, 2023)</w:t>
      </w:r>
      <w:bookmarkEnd w:id="21"/>
      <w:r w:rsidR="002B737E" w:rsidRPr="00773C8F">
        <w:fldChar w:fldCharType="end"/>
      </w:r>
    </w:p>
    <w:p w14:paraId="7D2BE853" w14:textId="77777777" w:rsidR="002B737E" w:rsidRDefault="002B737E" w:rsidP="00D45E02">
      <w:pPr>
        <w:pStyle w:val="ListParagraph"/>
        <w:jc w:val="both"/>
      </w:pPr>
    </w:p>
    <w:p w14:paraId="1AB5A2D8" w14:textId="0465FB7D" w:rsidR="00E625B5" w:rsidRPr="007D138C" w:rsidRDefault="005F7664" w:rsidP="007D138C">
      <w:pPr>
        <w:pStyle w:val="ListParagraph"/>
        <w:jc w:val="both"/>
      </w:pPr>
      <w:r>
        <w:t>Many practitioners considered t</w:t>
      </w:r>
      <w:r w:rsidR="006A3A07">
        <w:t xml:space="preserve">he ‘Check’ stage of the PDCA cycle </w:t>
      </w:r>
      <w:r>
        <w:t xml:space="preserve">inadequate </w:t>
      </w:r>
      <w:r w:rsidR="006A3A07">
        <w:t>because it did not explicitly prompt enough reflection on the meaning of the metrics collected for checking. Therefore, in 1986, Deming</w:t>
      </w:r>
      <w:r w:rsidR="005D5DA0">
        <w:t xml:space="preserve"> changed the PDCA cycle into the PDSA cycle, where an analytical ‘Study’ phase substitutes the ‘Check’ phase, to emphasize the importance of asking questions such as ‘What can we learn from the metrics we have collected?” and “what can we predict?” </w:t>
      </w:r>
      <w:r w:rsidR="005D5DA0">
        <w:fldChar w:fldCharType="begin" w:fldLock="1"/>
      </w:r>
      <w:r>
        <w:instrText>ADDIN CSL_CITATION {"citationItems":[{"id":"ITEM-1","itemData":{"abstract":"The PDCA cycle had its origin with Dr.W. Edwards Demings lecture in Japan in 1950. Where did he get these ideas and how have these ideas evolved since those lectures? This presentation will move from the 1600s with Galileo and the philosophy of science through the evolution of the scientific method and the science of improvement.Walter Shewhart in 1939 applied the scientific method with his cycle: specification-production- inspection.W. Edwards Deming in 1950 modified the Shewhart cycle: design of the product, make it, put it on the market, test it through market research, then redesign the product. The Japanese interpretation of the Deming wheel in Dr. Demings lectures of 1950 and 1951 lead to the plan-do-check-action or PDCA cycle. This cycle was integral to the Japanese QC, TQC, and QC circle activities. Deming introduced his Shewhart cycle for learning and improvement in the USA in 1986. Dr. Deming introduced a more abbreviated PDSA cycle in 1993. In 1994, the PDSA cycle was accompanied by three questions to aid in the planning step of the PDSA Cycle. In 1996 and 2009 publications, the PDSA cycle was broadened to include strategies and methods to develop, test, and implement changes that would result in improvement. This version was called the Model for Improvement. As an introduction to a framework for improvement, the model for improvement has been found to support improvement efforts in a full range from the very informal to the most complex.","author":[{"dropping-particle":"","family":"Moen","given":"Ronald","non-dropping-particle":"","parse-names":false,"suffix":""},{"dropping-particle":"","family":"Norman","given":"Clifford","non-dropping-particle":"","parse-names":false,"suffix":""}],"container-title":"Proceedings of the 7th ANQ Congress","id":"ITEM-1","issued":{"date-parts":[["2009"]]},"title":"Evolution of the PDCA Cycle","type":"article-journal"},"uris":["http://www.mendeley.com/documents/?uuid=cdc62bfd-0e91-428e-8184-f468dd214d06"]}],"mendeley":{"formattedCitation":"(Moen and Norman, 2009)","plainTextFormattedCitation":"(Moen and Norman, 2009)","previouslyFormattedCitation":"(Moen and Norman, 2009)"},"properties":{"noteIndex":0},"schema":"https://github.com/citation-style-language/schema/raw/master/csl-citation.json"}</w:instrText>
      </w:r>
      <w:r w:rsidR="005D5DA0">
        <w:fldChar w:fldCharType="separate"/>
      </w:r>
      <w:r w:rsidRPr="005F7664">
        <w:rPr>
          <w:noProof/>
        </w:rPr>
        <w:t>(Moen and Norman, 2009)</w:t>
      </w:r>
      <w:r w:rsidR="005D5DA0">
        <w:fldChar w:fldCharType="end"/>
      </w:r>
      <w:r w:rsidR="005D5DA0">
        <w:t xml:space="preserve">. </w:t>
      </w:r>
    </w:p>
    <w:p w14:paraId="4534F6E2" w14:textId="77777777" w:rsidR="00E625B5" w:rsidRDefault="00E625B5" w:rsidP="00E625B5">
      <w:pPr>
        <w:jc w:val="both"/>
        <w:rPr>
          <w:b/>
        </w:rPr>
      </w:pPr>
    </w:p>
    <w:p w14:paraId="3A86A4EE" w14:textId="77777777" w:rsidR="006A4E98" w:rsidRDefault="006A4E98" w:rsidP="00672C91"/>
    <w:p w14:paraId="5A722124" w14:textId="77777777" w:rsidR="00672C91" w:rsidRDefault="00672C91" w:rsidP="007A5DF3">
      <w:pPr>
        <w:pStyle w:val="Heading2"/>
        <w:numPr>
          <w:ilvl w:val="1"/>
          <w:numId w:val="6"/>
        </w:numPr>
        <w:ind w:left="993" w:hanging="426"/>
      </w:pPr>
      <w:bookmarkStart w:id="22" w:name="_Toc137807593"/>
      <w:r>
        <w:t>APQP Principles</w:t>
      </w:r>
      <w:bookmarkEnd w:id="22"/>
    </w:p>
    <w:p w14:paraId="676E4462" w14:textId="77777777" w:rsidR="00672C91" w:rsidRDefault="00672C91" w:rsidP="00672C91"/>
    <w:p w14:paraId="534DD740" w14:textId="11AC3B32" w:rsidR="002C4FAF" w:rsidRDefault="00735689" w:rsidP="00E36237">
      <w:pPr>
        <w:jc w:val="both"/>
      </w:pPr>
      <w:r>
        <w:t xml:space="preserve">One of the main aims of APQP is to </w:t>
      </w:r>
      <w:r w:rsidR="00D55BFB">
        <w:t xml:space="preserve">enhance </w:t>
      </w:r>
      <w:r>
        <w:t xml:space="preserve">customer satisfaction </w:t>
      </w:r>
      <w:r w:rsidR="00D55BFB">
        <w:t xml:space="preserve">via </w:t>
      </w:r>
      <w:r>
        <w:t>improved output at the end of the manufacturing process, including high quality</w:t>
      </w:r>
      <w:r w:rsidR="007D6054">
        <w:t xml:space="preserve"> of the final product,</w:t>
      </w:r>
      <w:r>
        <w:t xml:space="preserve"> a shorter lead-time from order through to delivery</w:t>
      </w:r>
      <w:r w:rsidR="007D6054">
        <w:t xml:space="preserve"> and on-time delivery</w:t>
      </w:r>
      <w:r>
        <w:t xml:space="preserve">. To achieve this, APQP </w:t>
      </w:r>
      <w:r w:rsidR="0071224C">
        <w:t>is based on</w:t>
      </w:r>
      <w:r>
        <w:t xml:space="preserve"> three pillars </w:t>
      </w:r>
      <w:r w:rsidR="0008195C">
        <w:t>(</w:t>
      </w:r>
      <w:r w:rsidR="00E36237" w:rsidRPr="00D926FB">
        <w:fldChar w:fldCharType="begin"/>
      </w:r>
      <w:r w:rsidR="00E36237" w:rsidRPr="00D926FB">
        <w:instrText xml:space="preserve"> REF _Ref133079018 \h  \* MERGEFORMAT </w:instrText>
      </w:r>
      <w:r w:rsidR="00E36237" w:rsidRPr="00D926FB">
        <w:fldChar w:fldCharType="separate"/>
      </w:r>
      <w:r w:rsidR="008C301E" w:rsidRPr="008C301E">
        <w:t xml:space="preserve">Figure </w:t>
      </w:r>
      <w:r w:rsidR="008C301E" w:rsidRPr="008C301E">
        <w:rPr>
          <w:noProof/>
        </w:rPr>
        <w:t>8</w:t>
      </w:r>
      <w:r w:rsidR="00E36237" w:rsidRPr="00D926FB">
        <w:fldChar w:fldCharType="end"/>
      </w:r>
      <w:r w:rsidR="0008195C">
        <w:t>) defined as</w:t>
      </w:r>
      <w:r w:rsidR="00E36237">
        <w:t xml:space="preserve"> </w:t>
      </w:r>
      <w:r w:rsidR="0008195C">
        <w:fldChar w:fldCharType="begin" w:fldLock="1"/>
      </w:r>
      <w:r w:rsidR="00C262F2">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08195C">
        <w:fldChar w:fldCharType="separate"/>
      </w:r>
      <w:r w:rsidR="0008195C" w:rsidRPr="0008195C">
        <w:rPr>
          <w:noProof/>
        </w:rPr>
        <w:t>(Titu and Cupsan, 2019)</w:t>
      </w:r>
      <w:r w:rsidR="0008195C">
        <w:fldChar w:fldCharType="end"/>
      </w:r>
    </w:p>
    <w:p w14:paraId="6C4789FD" w14:textId="0CBF4C41" w:rsidR="006041FA" w:rsidRPr="004A244F" w:rsidRDefault="00E36237" w:rsidP="007A5DF3">
      <w:pPr>
        <w:pStyle w:val="ListParagraph"/>
        <w:numPr>
          <w:ilvl w:val="0"/>
          <w:numId w:val="7"/>
        </w:numPr>
        <w:jc w:val="both"/>
      </w:pPr>
      <w:r w:rsidRPr="002C4FAF">
        <w:rPr>
          <w:b/>
        </w:rPr>
        <w:t>Organisational Commitment and Managerial</w:t>
      </w:r>
      <w:r w:rsidRPr="00997BCD">
        <w:rPr>
          <w:b/>
        </w:rPr>
        <w:t xml:space="preserve"> Support</w:t>
      </w:r>
      <w:r>
        <w:t xml:space="preserve"> – </w:t>
      </w:r>
      <w:r w:rsidR="00A27D98">
        <w:t>it is pivotal to</w:t>
      </w:r>
      <w:r w:rsidR="00ED7C0E">
        <w:t xml:space="preserve"> </w:t>
      </w:r>
      <w:r>
        <w:t>ensu</w:t>
      </w:r>
      <w:r w:rsidR="00A27D98">
        <w:t>re</w:t>
      </w:r>
      <w:r>
        <w:t xml:space="preserve"> that the company is fully committed to deliver an APQP</w:t>
      </w:r>
      <w:r w:rsidR="00C14582">
        <w:t>-</w:t>
      </w:r>
      <w:r>
        <w:t xml:space="preserve">driven project, with all required resources allocated to each </w:t>
      </w:r>
      <w:r>
        <w:lastRenderedPageBreak/>
        <w:t>aspect of APQP.</w:t>
      </w:r>
      <w:r w:rsidR="006041FA">
        <w:t xml:space="preserve"> For the implementation of APQP to be successful, highly specialised technical data and interconnected knowledge between departments and across the entire supply chain for a new product development must be managed and facilitated by the primary manufacturing </w:t>
      </w:r>
      <w:r w:rsidR="006041FA" w:rsidRPr="004A244F">
        <w:t>company.</w:t>
      </w:r>
    </w:p>
    <w:p w14:paraId="0F85A3A7" w14:textId="77777777" w:rsidR="002C4FAF" w:rsidRPr="004A244F" w:rsidRDefault="002C4FAF" w:rsidP="004F3269">
      <w:pPr>
        <w:pStyle w:val="ListParagraph"/>
        <w:jc w:val="both"/>
      </w:pPr>
    </w:p>
    <w:p w14:paraId="14E3F126" w14:textId="21DD13C3" w:rsidR="004A244F" w:rsidRPr="004A244F" w:rsidRDefault="00E36237" w:rsidP="007A5DF3">
      <w:pPr>
        <w:pStyle w:val="ListParagraph"/>
        <w:numPr>
          <w:ilvl w:val="0"/>
          <w:numId w:val="7"/>
        </w:numPr>
        <w:jc w:val="both"/>
      </w:pPr>
      <w:r w:rsidRPr="004A244F">
        <w:rPr>
          <w:b/>
        </w:rPr>
        <w:t xml:space="preserve">Cross-Functional Team </w:t>
      </w:r>
      <w:r w:rsidR="002C4FAF" w:rsidRPr="004A244F">
        <w:t>–</w:t>
      </w:r>
      <w:r w:rsidR="006041FA" w:rsidRPr="004A244F">
        <w:t xml:space="preserve"> by adopting an APQP approach to new product development, the company </w:t>
      </w:r>
      <w:r w:rsidR="00C262F2">
        <w:t>can</w:t>
      </w:r>
      <w:r w:rsidR="006041FA" w:rsidRPr="004A244F">
        <w:t xml:space="preserve"> capitalise on the wealth of knowledge and experience from its own labour force, customer needs and preferences, as well as the compan</w:t>
      </w:r>
      <w:r w:rsidR="00CF67A7">
        <w:t>y’</w:t>
      </w:r>
      <w:r w:rsidR="006041FA" w:rsidRPr="004A244F">
        <w:t>s own internal resources in the form of its systems and processes</w:t>
      </w:r>
      <w:r w:rsidR="00C262F2">
        <w:t xml:space="preserve"> </w:t>
      </w:r>
      <w:r w:rsidR="00C262F2">
        <w:fldChar w:fldCharType="begin" w:fldLock="1"/>
      </w:r>
      <w:r w:rsidR="009C5FA4">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C262F2">
        <w:fldChar w:fldCharType="separate"/>
      </w:r>
      <w:r w:rsidR="00C262F2" w:rsidRPr="00C262F2">
        <w:rPr>
          <w:noProof/>
        </w:rPr>
        <w:t>(Țîțu and Pop, 2021)</w:t>
      </w:r>
      <w:r w:rsidR="00C262F2">
        <w:fldChar w:fldCharType="end"/>
      </w:r>
      <w:r w:rsidR="006041FA" w:rsidRPr="004A244F">
        <w:t xml:space="preserve">.  </w:t>
      </w:r>
      <w:r w:rsidR="004A244F" w:rsidRPr="004A244F">
        <w:t>By capturing this ‘tacit knowledge’ stored within the company and externalising it, the knowledge can be used as a form of continuous improvement, driving enhanced organisational performance through process and production transformation across multiple products</w:t>
      </w:r>
      <w:r w:rsidR="009C5FA4">
        <w:t xml:space="preserve"> </w:t>
      </w:r>
      <w:r w:rsidR="009C5FA4">
        <w:fldChar w:fldCharType="begin" w:fldLock="1"/>
      </w:r>
      <w:r w:rsidR="008D5874">
        <w:instrText>ADDIN CSL_CITATION {"citationItems":[{"id":"ITEM-1","itemData":{"DOI":"10.1515/aucts-2015-0004","abstract":"Knowledge is an essential part of organizational competitiveness. This vital resource must be managed correctly within organizations in order to achieve desired performance levels within all undertakings. The process of managing knowledge is a very difficult one due to the illusive nature of the resource itself. Knowledge is stored within every aspect of an organization starting from people and ending with documents and processes. The Knowledge Management Platform is designed as a facilitator for managers and employees in all endeavours knowledge related within the Advanced Product Quality Planning Procedure","author":[{"dropping-particle":"","family":"Chiliban","given":"Bogdan","non-dropping-particle":"","parse-names":false,"suffix":""},{"dropping-particle":"","family":"Baral","given":"Lal Mohan","non-dropping-particle":"","parse-names":false,"suffix":""},{"dropping-particle":"","family":"Kifor","given":"Claudiu","non-dropping-particle":"","parse-names":false,"suffix":""}],"container-title":"ACTA Universitatis Cibiniensis","id":"ITEM-1","issue":"1","issued":{"date-parts":[["2014"]]},"page":"20-25","title":"Knowledge Management Platform in Advanced Product Quality Planning","type":"article-journal","volume":"65"},"uris":["http://www.mendeley.com/documents/?uuid=bba96814-26df-42be-9e65-92573de505b0"]}],"mendeley":{"formattedCitation":"(Chiliban, Baral and Kifor, 2014)","plainTextFormattedCitation":"(Chiliban, Baral and Kifor, 2014)","previouslyFormattedCitation":"(Chiliban, Baral and Kifor, 2014)"},"properties":{"noteIndex":0},"schema":"https://github.com/citation-style-language/schema/raw/master/csl-citation.json"}</w:instrText>
      </w:r>
      <w:r w:rsidR="009C5FA4">
        <w:fldChar w:fldCharType="separate"/>
      </w:r>
      <w:r w:rsidR="009C5FA4" w:rsidRPr="009C5FA4">
        <w:rPr>
          <w:noProof/>
        </w:rPr>
        <w:t>(Chiliban, Baral and Kifor, 2014)</w:t>
      </w:r>
      <w:r w:rsidR="009C5FA4">
        <w:fldChar w:fldCharType="end"/>
      </w:r>
      <w:r w:rsidR="004A244F" w:rsidRPr="004A244F">
        <w:t xml:space="preserve">. </w:t>
      </w:r>
    </w:p>
    <w:p w14:paraId="07A6EA1E" w14:textId="77777777" w:rsidR="004A244F" w:rsidRPr="004A244F" w:rsidRDefault="004A244F" w:rsidP="004A244F">
      <w:pPr>
        <w:pStyle w:val="ListParagraph"/>
        <w:jc w:val="both"/>
        <w:rPr>
          <w:color w:val="FF0000"/>
        </w:rPr>
      </w:pPr>
    </w:p>
    <w:p w14:paraId="297033ED" w14:textId="21545D4C" w:rsidR="004F3269" w:rsidRPr="004F3269" w:rsidRDefault="00FF3A62" w:rsidP="007A5DF3">
      <w:pPr>
        <w:pStyle w:val="ListParagraph"/>
        <w:numPr>
          <w:ilvl w:val="0"/>
          <w:numId w:val="7"/>
        </w:numPr>
        <w:jc w:val="both"/>
      </w:pPr>
      <w:r w:rsidRPr="004F3269">
        <w:rPr>
          <w:b/>
        </w:rPr>
        <w:t>Effective Project Planning</w:t>
      </w:r>
      <w:r>
        <w:t xml:space="preserve"> </w:t>
      </w:r>
      <w:r w:rsidR="0035359B">
        <w:t>–</w:t>
      </w:r>
      <w:r>
        <w:t xml:space="preserve"> </w:t>
      </w:r>
      <w:r w:rsidR="0035359B">
        <w:t>As manufacturing methods mature, quality planning is no longer limited to post-production part inspection. Quality</w:t>
      </w:r>
      <w:r w:rsidR="00BC4A32">
        <w:t xml:space="preserve"> planning in an APQP company adopts a system engineering approach, extending from the initial product concept through to the withdrawal from service. This approach ensures that each stage of the manufacturing </w:t>
      </w:r>
      <w:r w:rsidR="00AE7869">
        <w:t>process incorporates both the customer and regulatory requirements</w:t>
      </w:r>
      <w:r w:rsidR="008D5874">
        <w:t xml:space="preserve"> </w:t>
      </w:r>
      <w:r w:rsidR="008D5874">
        <w:fldChar w:fldCharType="begin" w:fldLock="1"/>
      </w:r>
      <w:r w:rsidR="00C800E2">
        <w:instrText>ADDIN CSL_CITATION {"citationItems":[{"id":"ITEM-1","itemData":{"DOI":"10.1016/j.procir.2019.04.326","ISSN":"22128271","abstract":"Process and quality planning are prerequisites for the production of qualified products at competitive cost. Today´s document-based work methods are not effective as valuable time is spent on document creation and document management instead of being spent on innovation and process improvements. Information duplication is an inevitable consequence with current document-based work methods where the same information is described in different ways, at many places, across many different documents. This paper presents a model-driven approach where vital manufacturing information is described once, at one place, and in one way, enabling improved work methods for cross-organizational process and quality planning.","author":[{"dropping-particle":"","family":"Lundgren","given":"Magnus","non-dropping-particle":"","parse-names":false,"suffix":""},{"dropping-particle":"","family":"Hedlind","given":"Mikael","non-dropping-particle":"","parse-names":false,"suffix":""},{"dropping-particle":"","family":"Li","given":"Yujiang","non-dropping-particle":"","parse-names":false,"suffix":""},{"dropping-particle":"","family":"Kjellberg","given":"Torsten","non-dropping-particle":"","parse-names":false,"suffix":""}],"container-title":"Procedia CIRP","id":"ITEM-1","issue":"March","issued":{"date-parts":[["2019"]]},"page":"362-367","publisher":"Elsevier B.V.","title":"Human-Centered Model-driven Process and Quality Planning","type":"article-journal","volume":"84"},"uris":["http://www.mendeley.com/documents/?uuid=df6ab4b7-6f58-45ed-86d0-5b4518e8cea3"]}],"mendeley":{"formattedCitation":"(Lundgren &lt;i&gt;et al.&lt;/i&gt;, 2019)","plainTextFormattedCitation":"(Lundgren et al., 2019)","previouslyFormattedCitation":"(Lundgren &lt;i&gt;et al.&lt;/i&gt;, 2019)"},"properties":{"noteIndex":0},"schema":"https://github.com/citation-style-language/schema/raw/master/csl-citation.json"}</w:instrText>
      </w:r>
      <w:r w:rsidR="008D5874">
        <w:fldChar w:fldCharType="separate"/>
      </w:r>
      <w:r w:rsidR="008D5874" w:rsidRPr="008D5874">
        <w:rPr>
          <w:noProof/>
        </w:rPr>
        <w:t xml:space="preserve">(Lundgren </w:t>
      </w:r>
      <w:r w:rsidR="008D5874" w:rsidRPr="008D5874">
        <w:rPr>
          <w:i/>
          <w:noProof/>
        </w:rPr>
        <w:t>et al.</w:t>
      </w:r>
      <w:r w:rsidR="008D5874" w:rsidRPr="008D5874">
        <w:rPr>
          <w:noProof/>
        </w:rPr>
        <w:t>, 2019)</w:t>
      </w:r>
      <w:r w:rsidR="008D5874">
        <w:fldChar w:fldCharType="end"/>
      </w:r>
      <w:r w:rsidR="004F3269">
        <w:t>.</w:t>
      </w:r>
    </w:p>
    <w:p w14:paraId="5084D952" w14:textId="77777777" w:rsidR="00FF3A62" w:rsidRDefault="00FF3A62" w:rsidP="004F3269">
      <w:pPr>
        <w:pStyle w:val="ListParagraph"/>
        <w:jc w:val="both"/>
      </w:pPr>
    </w:p>
    <w:p w14:paraId="139210E8" w14:textId="77777777" w:rsidR="00735689" w:rsidRDefault="00735689" w:rsidP="00672C91"/>
    <w:p w14:paraId="659F6042" w14:textId="77777777" w:rsidR="00724123" w:rsidRDefault="00724123" w:rsidP="00724123">
      <w:pPr>
        <w:keepNext/>
        <w:jc w:val="center"/>
      </w:pPr>
      <w:r w:rsidRPr="00724123">
        <w:rPr>
          <w:noProof/>
          <w:lang w:eastAsia="en-GB"/>
        </w:rPr>
        <w:drawing>
          <wp:inline distT="0" distB="0" distL="0" distR="0" wp14:anchorId="425727EC" wp14:editId="24A36ECA">
            <wp:extent cx="4572638" cy="306747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067478"/>
                    </a:xfrm>
                    <a:prstGeom prst="rect">
                      <a:avLst/>
                    </a:prstGeom>
                  </pic:spPr>
                </pic:pic>
              </a:graphicData>
            </a:graphic>
          </wp:inline>
        </w:drawing>
      </w:r>
    </w:p>
    <w:p w14:paraId="2E3CA4DC" w14:textId="08832515" w:rsidR="00724123" w:rsidRDefault="00724123" w:rsidP="00724123">
      <w:pPr>
        <w:pStyle w:val="Caption"/>
        <w:jc w:val="center"/>
      </w:pPr>
      <w:bookmarkStart w:id="23" w:name="_Ref133079018"/>
      <w:bookmarkStart w:id="24" w:name="_Toc137807634"/>
      <w:r w:rsidRPr="00724123">
        <w:rPr>
          <w:b/>
        </w:rPr>
        <w:t xml:space="preserve">Figure </w:t>
      </w:r>
      <w:r w:rsidRPr="00724123">
        <w:rPr>
          <w:b/>
        </w:rPr>
        <w:fldChar w:fldCharType="begin"/>
      </w:r>
      <w:r w:rsidRPr="00724123">
        <w:rPr>
          <w:b/>
        </w:rPr>
        <w:instrText xml:space="preserve"> SEQ Figure \* ARABIC </w:instrText>
      </w:r>
      <w:r w:rsidRPr="00724123">
        <w:rPr>
          <w:b/>
        </w:rPr>
        <w:fldChar w:fldCharType="separate"/>
      </w:r>
      <w:r w:rsidR="008C301E">
        <w:rPr>
          <w:b/>
          <w:noProof/>
        </w:rPr>
        <w:t>8</w:t>
      </w:r>
      <w:r w:rsidRPr="00724123">
        <w:rPr>
          <w:b/>
        </w:rPr>
        <w:fldChar w:fldCharType="end"/>
      </w:r>
      <w:bookmarkEnd w:id="23"/>
      <w:r w:rsidRPr="00724123">
        <w:rPr>
          <w:b/>
        </w:rPr>
        <w:t>: APQP 3 pillars</w:t>
      </w:r>
      <w:r>
        <w:t xml:space="preserve"> approach to improv</w:t>
      </w:r>
      <w:r w:rsidR="00DB5C91">
        <w:t>e</w:t>
      </w:r>
      <w:r>
        <w:t xml:space="preserve"> customer satisfaction</w:t>
      </w:r>
      <w:r w:rsidR="00C262F2">
        <w:t xml:space="preserve">. Figure from </w:t>
      </w:r>
      <w:r w:rsidR="00C262F2">
        <w:fldChar w:fldCharType="begin" w:fldLock="1"/>
      </w:r>
      <w:r w:rsidR="00C262F2">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C262F2">
        <w:fldChar w:fldCharType="separate"/>
      </w:r>
      <w:r w:rsidR="00C262F2" w:rsidRPr="00C262F2">
        <w:rPr>
          <w:i w:val="0"/>
          <w:noProof/>
        </w:rPr>
        <w:t>(Țîțu and Pop, 2021)</w:t>
      </w:r>
      <w:bookmarkEnd w:id="24"/>
      <w:r w:rsidR="00C262F2">
        <w:fldChar w:fldCharType="end"/>
      </w:r>
    </w:p>
    <w:p w14:paraId="678D6070" w14:textId="77777777" w:rsidR="00724123" w:rsidRDefault="00724123" w:rsidP="00672C91"/>
    <w:p w14:paraId="35B9A4B2" w14:textId="4F504F46" w:rsidR="004F37B4" w:rsidRDefault="00513B2A" w:rsidP="008A6F8C">
      <w:pPr>
        <w:jc w:val="both"/>
      </w:pPr>
      <w:r>
        <w:lastRenderedPageBreak/>
        <w:t>Once the program requirements have been established, the framework for APQP can be implemented. The APQP methodology</w:t>
      </w:r>
      <w:r w:rsidR="00414678">
        <w:t xml:space="preserve"> is structured as a hierarchical pyramid (</w:t>
      </w:r>
      <w:r w:rsidR="00414678" w:rsidRPr="000F0D17">
        <w:fldChar w:fldCharType="begin"/>
      </w:r>
      <w:r w:rsidR="00414678" w:rsidRPr="000F0D17">
        <w:instrText xml:space="preserve"> REF _Ref133089138 \h </w:instrText>
      </w:r>
      <w:r w:rsidR="00414678" w:rsidRPr="00413172">
        <w:instrText xml:space="preserve"> \* MERGEFORMAT </w:instrText>
      </w:r>
      <w:r w:rsidR="00414678" w:rsidRPr="000F0D17">
        <w:fldChar w:fldCharType="separate"/>
      </w:r>
      <w:r w:rsidR="008C301E" w:rsidRPr="008C301E">
        <w:t xml:space="preserve">Figure </w:t>
      </w:r>
      <w:r w:rsidR="008C301E" w:rsidRPr="008C301E">
        <w:rPr>
          <w:noProof/>
        </w:rPr>
        <w:t>9</w:t>
      </w:r>
      <w:r w:rsidR="00414678" w:rsidRPr="000F0D17">
        <w:fldChar w:fldCharType="end"/>
      </w:r>
      <w:r w:rsidR="00414678">
        <w:t>)</w:t>
      </w:r>
      <w:r>
        <w:t xml:space="preserve"> </w:t>
      </w:r>
      <w:r w:rsidR="00414678">
        <w:t xml:space="preserve">and </w:t>
      </w:r>
      <w:r w:rsidR="00D57A84">
        <w:t>includes</w:t>
      </w:r>
      <w:r>
        <w:t xml:space="preserve"> five </w:t>
      </w:r>
      <w:r w:rsidR="0082354B">
        <w:t>“</w:t>
      </w:r>
      <w:r>
        <w:t>phases</w:t>
      </w:r>
      <w:r w:rsidR="0082354B">
        <w:t>”</w:t>
      </w:r>
      <w:r w:rsidR="00414678">
        <w:t xml:space="preserve"> (upper tier)</w:t>
      </w:r>
      <w:r>
        <w:t xml:space="preserve">, </w:t>
      </w:r>
      <w:r w:rsidR="0082354B">
        <w:t xml:space="preserve">a list of </w:t>
      </w:r>
      <w:r w:rsidR="00030D1A">
        <w:t>“</w:t>
      </w:r>
      <w:r>
        <w:t>elements</w:t>
      </w:r>
      <w:r w:rsidR="00030D1A">
        <w:t>”</w:t>
      </w:r>
      <w:r>
        <w:t xml:space="preserve"> defining activities</w:t>
      </w:r>
      <w:r w:rsidR="00414678">
        <w:t xml:space="preserve"> (intermediate tier)</w:t>
      </w:r>
      <w:r>
        <w:t xml:space="preserve"> and key </w:t>
      </w:r>
      <w:r w:rsidR="0082354B">
        <w:t>“</w:t>
      </w:r>
      <w:r>
        <w:t>deliverables</w:t>
      </w:r>
      <w:r w:rsidR="00414678">
        <w:t>” (lower tier</w:t>
      </w:r>
      <w:r w:rsidR="00182838">
        <w:t>)</w:t>
      </w:r>
      <w:r>
        <w:t>.</w:t>
      </w:r>
    </w:p>
    <w:p w14:paraId="2DF00BBE" w14:textId="77777777" w:rsidR="00724123" w:rsidRDefault="00724123" w:rsidP="00672C91"/>
    <w:p w14:paraId="6CFF5203" w14:textId="77777777" w:rsidR="00724123" w:rsidRDefault="00724123" w:rsidP="00724123">
      <w:pPr>
        <w:keepNext/>
        <w:jc w:val="center"/>
      </w:pPr>
      <w:r w:rsidRPr="00724123">
        <w:rPr>
          <w:noProof/>
          <w:lang w:eastAsia="en-GB"/>
        </w:rPr>
        <w:drawing>
          <wp:inline distT="0" distB="0" distL="0" distR="0" wp14:anchorId="2CDDFDFF" wp14:editId="5B65E578">
            <wp:extent cx="5268060" cy="2114845"/>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68060" cy="2114845"/>
                    </a:xfrm>
                    <a:prstGeom prst="rect">
                      <a:avLst/>
                    </a:prstGeom>
                  </pic:spPr>
                </pic:pic>
              </a:graphicData>
            </a:graphic>
          </wp:inline>
        </w:drawing>
      </w:r>
    </w:p>
    <w:p w14:paraId="19FA1CB3" w14:textId="1ED78220" w:rsidR="00724123" w:rsidRDefault="00724123" w:rsidP="00724123">
      <w:pPr>
        <w:pStyle w:val="Caption"/>
        <w:jc w:val="center"/>
      </w:pPr>
      <w:bookmarkStart w:id="25" w:name="_Ref133089138"/>
      <w:bookmarkStart w:id="26" w:name="_Toc137807635"/>
      <w:r w:rsidRPr="00724123">
        <w:rPr>
          <w:b/>
        </w:rPr>
        <w:t xml:space="preserve">Figure </w:t>
      </w:r>
      <w:r w:rsidRPr="00724123">
        <w:rPr>
          <w:b/>
        </w:rPr>
        <w:fldChar w:fldCharType="begin"/>
      </w:r>
      <w:r w:rsidRPr="00724123">
        <w:rPr>
          <w:b/>
        </w:rPr>
        <w:instrText xml:space="preserve"> SEQ Figure \* ARABIC </w:instrText>
      </w:r>
      <w:r w:rsidRPr="00724123">
        <w:rPr>
          <w:b/>
        </w:rPr>
        <w:fldChar w:fldCharType="separate"/>
      </w:r>
      <w:r w:rsidR="008C301E">
        <w:rPr>
          <w:b/>
          <w:noProof/>
        </w:rPr>
        <w:t>9</w:t>
      </w:r>
      <w:r w:rsidRPr="00724123">
        <w:rPr>
          <w:b/>
        </w:rPr>
        <w:fldChar w:fldCharType="end"/>
      </w:r>
      <w:bookmarkEnd w:id="25"/>
      <w:r w:rsidRPr="00724123">
        <w:rPr>
          <w:b/>
        </w:rPr>
        <w:t>: APQP structure</w:t>
      </w:r>
      <w:r>
        <w:t xml:space="preserve"> defining the composition of an APQP methodology</w:t>
      </w:r>
      <w:r w:rsidR="00C800E2">
        <w:t xml:space="preserve">. Figure from </w:t>
      </w:r>
      <w:r w:rsidR="00C800E2">
        <w:fldChar w:fldCharType="begin" w:fldLock="1"/>
      </w:r>
      <w:r w:rsidR="00C800E2">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C800E2">
        <w:fldChar w:fldCharType="separate"/>
      </w:r>
      <w:r w:rsidR="00C800E2" w:rsidRPr="00C800E2">
        <w:rPr>
          <w:i w:val="0"/>
          <w:noProof/>
        </w:rPr>
        <w:t>(Țîțu and Pop, 2021)</w:t>
      </w:r>
      <w:bookmarkEnd w:id="26"/>
      <w:r w:rsidR="00C800E2">
        <w:fldChar w:fldCharType="end"/>
      </w:r>
    </w:p>
    <w:p w14:paraId="2B2BD02D" w14:textId="77777777" w:rsidR="009F3455" w:rsidRDefault="009F3455" w:rsidP="009F3455"/>
    <w:p w14:paraId="4ADE1D52" w14:textId="33638CD0" w:rsidR="009F3455" w:rsidRDefault="00425630" w:rsidP="008A6F8C">
      <w:pPr>
        <w:jc w:val="both"/>
      </w:pPr>
      <w:r>
        <w:t>In</w:t>
      </w:r>
      <w:r w:rsidR="002A77A8">
        <w:t xml:space="preserve"> the upper</w:t>
      </w:r>
      <w:r>
        <w:t xml:space="preserve"> tier, t</w:t>
      </w:r>
      <w:r w:rsidR="00832DB1">
        <w:t xml:space="preserve">he APQP approach to new product development splits the project into five top-level phases, running from the initial product concept through to product withdrawal. The five phases and their descriptions are shown </w:t>
      </w:r>
      <w:r w:rsidR="00832DB1" w:rsidRPr="000F0D17">
        <w:t xml:space="preserve">in </w:t>
      </w:r>
      <w:r w:rsidR="00832DB1" w:rsidRPr="000F0D17">
        <w:fldChar w:fldCharType="begin"/>
      </w:r>
      <w:r w:rsidR="00832DB1" w:rsidRPr="000F0D17">
        <w:instrText xml:space="preserve"> REF _Ref133089458 \h </w:instrText>
      </w:r>
      <w:r w:rsidR="000F0D17" w:rsidRPr="00CD37AA">
        <w:instrText xml:space="preserve"> \* MERGEFORMAT </w:instrText>
      </w:r>
      <w:r w:rsidR="00832DB1" w:rsidRPr="000F0D17">
        <w:fldChar w:fldCharType="separate"/>
      </w:r>
      <w:r w:rsidR="008C301E" w:rsidRPr="008C301E">
        <w:t xml:space="preserve">Table </w:t>
      </w:r>
      <w:r w:rsidR="008C301E" w:rsidRPr="008C301E">
        <w:rPr>
          <w:noProof/>
        </w:rPr>
        <w:t>1</w:t>
      </w:r>
      <w:r w:rsidR="00832DB1" w:rsidRPr="000F0D17">
        <w:fldChar w:fldCharType="end"/>
      </w:r>
      <w:r w:rsidR="00832DB1">
        <w:t>.</w:t>
      </w:r>
    </w:p>
    <w:p w14:paraId="4617BDDD" w14:textId="77777777" w:rsidR="009F3455" w:rsidRDefault="009F3455" w:rsidP="009F3455"/>
    <w:p w14:paraId="17DB906B" w14:textId="77777777" w:rsidR="00AA298B" w:rsidRDefault="00AA298B" w:rsidP="009F3455">
      <w:pPr>
        <w:sectPr w:rsidR="00AA298B" w:rsidSect="003B7DCD">
          <w:headerReference w:type="even" r:id="rId19"/>
          <w:headerReference w:type="default" r:id="rId20"/>
          <w:footerReference w:type="even" r:id="rId21"/>
          <w:footerReference w:type="default" r:id="rId22"/>
          <w:headerReference w:type="first" r:id="rId23"/>
          <w:footerReference w:type="first" r:id="rId24"/>
          <w:pgSz w:w="11906" w:h="16838"/>
          <w:pgMar w:top="720" w:right="991" w:bottom="720" w:left="720" w:header="708" w:footer="708" w:gutter="0"/>
          <w:pgNumType w:start="0"/>
          <w:cols w:space="708"/>
          <w:titlePg/>
          <w:docGrid w:linePitch="360"/>
        </w:sectPr>
      </w:pPr>
    </w:p>
    <w:p w14:paraId="5D401723" w14:textId="77777777" w:rsidR="00AA298B" w:rsidRDefault="00AA298B" w:rsidP="009F3455"/>
    <w:p w14:paraId="7EC47161" w14:textId="77777777" w:rsidR="009F3455" w:rsidRDefault="009F3455" w:rsidP="009F3455"/>
    <w:tbl>
      <w:tblPr>
        <w:tblStyle w:val="TableGrid"/>
        <w:tblW w:w="15451" w:type="dxa"/>
        <w:tblLook w:val="04A0" w:firstRow="1" w:lastRow="0" w:firstColumn="1" w:lastColumn="0" w:noHBand="0" w:noVBand="1"/>
      </w:tblPr>
      <w:tblGrid>
        <w:gridCol w:w="1701"/>
        <w:gridCol w:w="4253"/>
        <w:gridCol w:w="5670"/>
        <w:gridCol w:w="3827"/>
      </w:tblGrid>
      <w:tr w:rsidR="003E5D72" w:rsidRPr="00ED20A8" w14:paraId="70F2C400" w14:textId="77777777" w:rsidTr="00F45B5A">
        <w:tc>
          <w:tcPr>
            <w:tcW w:w="1701" w:type="dxa"/>
            <w:tcBorders>
              <w:top w:val="nil"/>
              <w:left w:val="nil"/>
              <w:bottom w:val="single" w:sz="4" w:space="0" w:color="auto"/>
              <w:right w:val="single" w:sz="4" w:space="0" w:color="auto"/>
            </w:tcBorders>
          </w:tcPr>
          <w:p w14:paraId="513E8402" w14:textId="77777777" w:rsidR="003E5D72" w:rsidRPr="00ED20A8" w:rsidRDefault="003E5D72" w:rsidP="00BD357A">
            <w:pPr>
              <w:rPr>
                <w:szCs w:val="20"/>
              </w:rPr>
            </w:pPr>
          </w:p>
        </w:tc>
        <w:tc>
          <w:tcPr>
            <w:tcW w:w="4253" w:type="dxa"/>
            <w:tcBorders>
              <w:left w:val="single" w:sz="4" w:space="0" w:color="auto"/>
            </w:tcBorders>
            <w:shd w:val="clear" w:color="auto" w:fill="BFBFBF" w:themeFill="background1" w:themeFillShade="BF"/>
          </w:tcPr>
          <w:p w14:paraId="665B1E9C" w14:textId="77777777" w:rsidR="003E5D72" w:rsidRPr="00ED20A8" w:rsidRDefault="003E5D72" w:rsidP="00DC3B6A">
            <w:pPr>
              <w:jc w:val="center"/>
              <w:rPr>
                <w:szCs w:val="20"/>
              </w:rPr>
            </w:pPr>
            <w:r w:rsidRPr="00ED20A8">
              <w:rPr>
                <w:szCs w:val="20"/>
              </w:rPr>
              <w:t>Objective</w:t>
            </w:r>
          </w:p>
          <w:p w14:paraId="50B2375D" w14:textId="77777777" w:rsidR="00ED20A8" w:rsidRPr="00ED20A8" w:rsidRDefault="00ED20A8" w:rsidP="00DC3B6A">
            <w:pPr>
              <w:jc w:val="center"/>
              <w:rPr>
                <w:szCs w:val="20"/>
              </w:rPr>
            </w:pPr>
          </w:p>
        </w:tc>
        <w:tc>
          <w:tcPr>
            <w:tcW w:w="5670" w:type="dxa"/>
            <w:shd w:val="clear" w:color="auto" w:fill="BFBFBF" w:themeFill="background1" w:themeFillShade="BF"/>
          </w:tcPr>
          <w:p w14:paraId="6002CBD1" w14:textId="77777777" w:rsidR="003E5D72" w:rsidRPr="00ED20A8" w:rsidRDefault="003E5D72" w:rsidP="00DC3B6A">
            <w:pPr>
              <w:jc w:val="center"/>
              <w:rPr>
                <w:szCs w:val="20"/>
              </w:rPr>
            </w:pPr>
            <w:r w:rsidRPr="00ED20A8">
              <w:rPr>
                <w:szCs w:val="20"/>
              </w:rPr>
              <w:t>Activities</w:t>
            </w:r>
          </w:p>
        </w:tc>
        <w:tc>
          <w:tcPr>
            <w:tcW w:w="3827" w:type="dxa"/>
            <w:shd w:val="clear" w:color="auto" w:fill="BFBFBF" w:themeFill="background1" w:themeFillShade="BF"/>
          </w:tcPr>
          <w:p w14:paraId="6651F361" w14:textId="77777777" w:rsidR="003E5D72" w:rsidRPr="00ED20A8" w:rsidRDefault="003E5D72" w:rsidP="00DC3B6A">
            <w:pPr>
              <w:jc w:val="center"/>
              <w:rPr>
                <w:szCs w:val="20"/>
              </w:rPr>
            </w:pPr>
            <w:r w:rsidRPr="00ED20A8">
              <w:rPr>
                <w:szCs w:val="20"/>
              </w:rPr>
              <w:t>Output Elements</w:t>
            </w:r>
          </w:p>
        </w:tc>
      </w:tr>
      <w:tr w:rsidR="001C1ADC" w:rsidRPr="00ED20A8" w14:paraId="78958D70" w14:textId="77777777" w:rsidTr="00F45B5A">
        <w:trPr>
          <w:cantSplit/>
          <w:trHeight w:val="1134"/>
        </w:trPr>
        <w:tc>
          <w:tcPr>
            <w:tcW w:w="1701" w:type="dxa"/>
            <w:tcBorders>
              <w:top w:val="single" w:sz="4" w:space="0" w:color="auto"/>
              <w:bottom w:val="single" w:sz="4" w:space="0" w:color="auto"/>
            </w:tcBorders>
            <w:shd w:val="clear" w:color="auto" w:fill="BFBFBF" w:themeFill="background1" w:themeFillShade="BF"/>
          </w:tcPr>
          <w:p w14:paraId="2C562631" w14:textId="77777777" w:rsidR="001C1ADC" w:rsidRPr="00ED20A8" w:rsidRDefault="001C1ADC" w:rsidP="00ED20A8">
            <w:pPr>
              <w:rPr>
                <w:szCs w:val="20"/>
              </w:rPr>
            </w:pPr>
            <w:r w:rsidRPr="00ED20A8">
              <w:rPr>
                <w:szCs w:val="20"/>
              </w:rPr>
              <w:t>Phase 1 –  Planning</w:t>
            </w:r>
          </w:p>
        </w:tc>
        <w:tc>
          <w:tcPr>
            <w:tcW w:w="4253" w:type="dxa"/>
          </w:tcPr>
          <w:p w14:paraId="3BC95EC2" w14:textId="77777777" w:rsidR="00FD5B5F" w:rsidRDefault="00FD5B5F" w:rsidP="001C1ADC">
            <w:pPr>
              <w:rPr>
                <w:szCs w:val="20"/>
              </w:rPr>
            </w:pPr>
            <w:r>
              <w:rPr>
                <w:szCs w:val="20"/>
              </w:rPr>
              <w:t xml:space="preserve">- </w:t>
            </w:r>
            <w:r w:rsidR="001C1ADC" w:rsidRPr="00ED20A8">
              <w:rPr>
                <w:szCs w:val="20"/>
              </w:rPr>
              <w:t xml:space="preserve">Collect the input requirements </w:t>
            </w:r>
          </w:p>
          <w:p w14:paraId="0003F8C0" w14:textId="4AAB9BA8" w:rsidR="001C1ADC" w:rsidRPr="00ED20A8" w:rsidRDefault="00FD5B5F" w:rsidP="001C1ADC">
            <w:pPr>
              <w:rPr>
                <w:szCs w:val="20"/>
              </w:rPr>
            </w:pPr>
            <w:r>
              <w:rPr>
                <w:szCs w:val="20"/>
              </w:rPr>
              <w:t>- D</w:t>
            </w:r>
            <w:r w:rsidR="001C1ADC" w:rsidRPr="00ED20A8">
              <w:rPr>
                <w:szCs w:val="20"/>
              </w:rPr>
              <w:t>evelop the framework for the project</w:t>
            </w:r>
          </w:p>
        </w:tc>
        <w:tc>
          <w:tcPr>
            <w:tcW w:w="5670" w:type="dxa"/>
          </w:tcPr>
          <w:p w14:paraId="336A9426" w14:textId="77777777" w:rsidR="001C1ADC" w:rsidRPr="00ED20A8" w:rsidRDefault="001C1ADC" w:rsidP="001C1ADC">
            <w:pPr>
              <w:rPr>
                <w:szCs w:val="20"/>
              </w:rPr>
            </w:pPr>
            <w:r w:rsidRPr="00ED20A8">
              <w:rPr>
                <w:szCs w:val="20"/>
              </w:rPr>
              <w:t>- Collect technical/non-technical requirements</w:t>
            </w:r>
          </w:p>
          <w:p w14:paraId="1AC24AB4" w14:textId="77777777" w:rsidR="001C1ADC" w:rsidRPr="00ED20A8" w:rsidRDefault="001C1ADC" w:rsidP="001C1ADC">
            <w:pPr>
              <w:rPr>
                <w:szCs w:val="20"/>
              </w:rPr>
            </w:pPr>
            <w:r w:rsidRPr="00ED20A8">
              <w:rPr>
                <w:szCs w:val="20"/>
              </w:rPr>
              <w:t>- Define objectives for schedule, cost and quality</w:t>
            </w:r>
          </w:p>
          <w:p w14:paraId="2AB894FA" w14:textId="77777777" w:rsidR="001C1ADC" w:rsidRPr="00ED20A8" w:rsidRDefault="001C1ADC" w:rsidP="001C1ADC">
            <w:pPr>
              <w:rPr>
                <w:szCs w:val="20"/>
              </w:rPr>
            </w:pPr>
            <w:r w:rsidRPr="00ED20A8">
              <w:rPr>
                <w:szCs w:val="20"/>
              </w:rPr>
              <w:t>- Make v Buy decisions</w:t>
            </w:r>
          </w:p>
          <w:p w14:paraId="0637F1C9" w14:textId="77777777" w:rsidR="001C1ADC" w:rsidRPr="00ED20A8" w:rsidRDefault="001C1ADC" w:rsidP="001C1ADC">
            <w:pPr>
              <w:rPr>
                <w:szCs w:val="20"/>
              </w:rPr>
            </w:pPr>
            <w:r w:rsidRPr="00ED20A8">
              <w:rPr>
                <w:szCs w:val="20"/>
              </w:rPr>
              <w:t>- Set timetable for APQP phases</w:t>
            </w:r>
          </w:p>
        </w:tc>
        <w:tc>
          <w:tcPr>
            <w:tcW w:w="3827" w:type="dxa"/>
          </w:tcPr>
          <w:p w14:paraId="2B435545" w14:textId="77777777" w:rsidR="001C1ADC" w:rsidRPr="00ED20A8" w:rsidRDefault="001C1ADC" w:rsidP="007A5DF3">
            <w:pPr>
              <w:pStyle w:val="ListParagraph"/>
              <w:numPr>
                <w:ilvl w:val="1"/>
                <w:numId w:val="2"/>
              </w:numPr>
              <w:ind w:left="37" w:hanging="76"/>
              <w:rPr>
                <w:szCs w:val="20"/>
              </w:rPr>
            </w:pPr>
            <w:r w:rsidRPr="00ED20A8">
              <w:rPr>
                <w:szCs w:val="20"/>
              </w:rPr>
              <w:t xml:space="preserve"> Product concept finalised</w:t>
            </w:r>
          </w:p>
          <w:p w14:paraId="512AFE76" w14:textId="77777777" w:rsidR="001C1ADC" w:rsidRPr="00ED20A8" w:rsidRDefault="001C1ADC" w:rsidP="007A5DF3">
            <w:pPr>
              <w:pStyle w:val="ListParagraph"/>
              <w:numPr>
                <w:ilvl w:val="1"/>
                <w:numId w:val="2"/>
              </w:numPr>
              <w:ind w:left="37" w:hanging="76"/>
              <w:rPr>
                <w:szCs w:val="20"/>
              </w:rPr>
            </w:pPr>
            <w:r w:rsidRPr="00ED20A8">
              <w:rPr>
                <w:szCs w:val="20"/>
              </w:rPr>
              <w:t xml:space="preserve"> Initial material list available</w:t>
            </w:r>
          </w:p>
          <w:p w14:paraId="7970D483" w14:textId="77777777" w:rsidR="001C1ADC" w:rsidRPr="00ED20A8" w:rsidRDefault="001C1ADC" w:rsidP="007A5DF3">
            <w:pPr>
              <w:pStyle w:val="ListParagraph"/>
              <w:numPr>
                <w:ilvl w:val="1"/>
                <w:numId w:val="2"/>
              </w:numPr>
              <w:ind w:left="37" w:hanging="76"/>
              <w:rPr>
                <w:szCs w:val="20"/>
              </w:rPr>
            </w:pPr>
            <w:r w:rsidRPr="00ED20A8">
              <w:rPr>
                <w:szCs w:val="20"/>
              </w:rPr>
              <w:t xml:space="preserve"> Product/process design start</w:t>
            </w:r>
          </w:p>
        </w:tc>
      </w:tr>
      <w:tr w:rsidR="001C1ADC" w:rsidRPr="00ED20A8" w14:paraId="1445DA62" w14:textId="77777777" w:rsidTr="00F45B5A">
        <w:trPr>
          <w:cantSplit/>
          <w:trHeight w:val="1134"/>
        </w:trPr>
        <w:tc>
          <w:tcPr>
            <w:tcW w:w="1701" w:type="dxa"/>
            <w:tcBorders>
              <w:top w:val="single" w:sz="4" w:space="0" w:color="auto"/>
              <w:bottom w:val="single" w:sz="4" w:space="0" w:color="auto"/>
            </w:tcBorders>
            <w:shd w:val="clear" w:color="auto" w:fill="BFBFBF" w:themeFill="background1" w:themeFillShade="BF"/>
          </w:tcPr>
          <w:p w14:paraId="1C5FF89A" w14:textId="77777777" w:rsidR="001C1ADC" w:rsidRPr="00ED20A8" w:rsidRDefault="001C1ADC" w:rsidP="00ED20A8">
            <w:pPr>
              <w:rPr>
                <w:szCs w:val="20"/>
              </w:rPr>
            </w:pPr>
            <w:r w:rsidRPr="00ED20A8">
              <w:rPr>
                <w:szCs w:val="20"/>
              </w:rPr>
              <w:t>Phase 2 – Product design &amp; development</w:t>
            </w:r>
          </w:p>
        </w:tc>
        <w:tc>
          <w:tcPr>
            <w:tcW w:w="4253" w:type="dxa"/>
          </w:tcPr>
          <w:p w14:paraId="6E2D862B" w14:textId="77777777" w:rsidR="00FD5B5F" w:rsidRDefault="00FD5B5F" w:rsidP="001C1ADC">
            <w:pPr>
              <w:rPr>
                <w:szCs w:val="20"/>
              </w:rPr>
            </w:pPr>
            <w:r>
              <w:rPr>
                <w:szCs w:val="20"/>
              </w:rPr>
              <w:t xml:space="preserve">- </w:t>
            </w:r>
            <w:r w:rsidR="001C1ADC" w:rsidRPr="00ED20A8">
              <w:rPr>
                <w:szCs w:val="20"/>
              </w:rPr>
              <w:t>Design product in accordance with requirements identified in the previous phase</w:t>
            </w:r>
          </w:p>
          <w:p w14:paraId="28D0E99D" w14:textId="3B63EFB8" w:rsidR="001C1ADC" w:rsidRPr="00ED20A8" w:rsidRDefault="00FD5B5F" w:rsidP="001C1ADC">
            <w:pPr>
              <w:rPr>
                <w:szCs w:val="20"/>
              </w:rPr>
            </w:pPr>
            <w:r>
              <w:rPr>
                <w:szCs w:val="20"/>
              </w:rPr>
              <w:t>- I</w:t>
            </w:r>
            <w:r w:rsidR="001C1ADC" w:rsidRPr="00ED20A8">
              <w:rPr>
                <w:szCs w:val="20"/>
              </w:rPr>
              <w:t>dentif</w:t>
            </w:r>
            <w:r>
              <w:rPr>
                <w:szCs w:val="20"/>
              </w:rPr>
              <w:t>ication of</w:t>
            </w:r>
            <w:r w:rsidR="001C1ADC" w:rsidRPr="00ED20A8">
              <w:rPr>
                <w:szCs w:val="20"/>
              </w:rPr>
              <w:t xml:space="preserve"> any risks</w:t>
            </w:r>
          </w:p>
        </w:tc>
        <w:tc>
          <w:tcPr>
            <w:tcW w:w="5670" w:type="dxa"/>
          </w:tcPr>
          <w:p w14:paraId="719EF251" w14:textId="77777777" w:rsidR="001C1ADC" w:rsidRPr="00ED20A8" w:rsidRDefault="001C1ADC" w:rsidP="001C1ADC">
            <w:pPr>
              <w:rPr>
                <w:szCs w:val="20"/>
              </w:rPr>
            </w:pPr>
            <w:r w:rsidRPr="00ED20A8">
              <w:rPr>
                <w:szCs w:val="20"/>
              </w:rPr>
              <w:t>- Generate product definition from design specifications</w:t>
            </w:r>
          </w:p>
          <w:p w14:paraId="79C2F5CC" w14:textId="77777777" w:rsidR="001C1ADC" w:rsidRPr="00ED20A8" w:rsidRDefault="001C1ADC" w:rsidP="001C1ADC">
            <w:pPr>
              <w:rPr>
                <w:szCs w:val="20"/>
              </w:rPr>
            </w:pPr>
            <w:r w:rsidRPr="00ED20A8">
              <w:rPr>
                <w:szCs w:val="20"/>
              </w:rPr>
              <w:t>- Verification of product design</w:t>
            </w:r>
          </w:p>
          <w:p w14:paraId="475C945C" w14:textId="77777777" w:rsidR="001C1ADC" w:rsidRPr="00ED20A8" w:rsidRDefault="001C1ADC" w:rsidP="001C1ADC">
            <w:pPr>
              <w:rPr>
                <w:szCs w:val="20"/>
              </w:rPr>
            </w:pPr>
          </w:p>
        </w:tc>
        <w:tc>
          <w:tcPr>
            <w:tcW w:w="3827" w:type="dxa"/>
          </w:tcPr>
          <w:p w14:paraId="45B47400" w14:textId="77777777" w:rsidR="001C1ADC" w:rsidRPr="00ED20A8" w:rsidRDefault="001C1ADC" w:rsidP="007A5DF3">
            <w:pPr>
              <w:pStyle w:val="ListParagraph"/>
              <w:numPr>
                <w:ilvl w:val="1"/>
                <w:numId w:val="2"/>
              </w:numPr>
              <w:ind w:left="37" w:hanging="76"/>
              <w:rPr>
                <w:szCs w:val="20"/>
              </w:rPr>
            </w:pPr>
            <w:r w:rsidRPr="00ED20A8">
              <w:rPr>
                <w:szCs w:val="20"/>
              </w:rPr>
              <w:t xml:space="preserve"> Design/material list</w:t>
            </w:r>
          </w:p>
          <w:p w14:paraId="36D2F107" w14:textId="77777777" w:rsidR="001C1ADC" w:rsidRPr="00ED20A8" w:rsidRDefault="001C1ADC" w:rsidP="007A5DF3">
            <w:pPr>
              <w:pStyle w:val="ListParagraph"/>
              <w:numPr>
                <w:ilvl w:val="1"/>
                <w:numId w:val="2"/>
              </w:numPr>
              <w:ind w:left="37" w:hanging="76"/>
              <w:rPr>
                <w:szCs w:val="20"/>
              </w:rPr>
            </w:pPr>
            <w:r w:rsidRPr="00ED20A8">
              <w:rPr>
                <w:szCs w:val="20"/>
              </w:rPr>
              <w:t xml:space="preserve"> Prototype tested</w:t>
            </w:r>
          </w:p>
          <w:p w14:paraId="557568E4" w14:textId="77777777" w:rsidR="001C1ADC" w:rsidRPr="00ED20A8" w:rsidRDefault="001C1ADC" w:rsidP="007A5DF3">
            <w:pPr>
              <w:pStyle w:val="ListParagraph"/>
              <w:numPr>
                <w:ilvl w:val="1"/>
                <w:numId w:val="2"/>
              </w:numPr>
              <w:ind w:left="37" w:hanging="76"/>
              <w:rPr>
                <w:szCs w:val="20"/>
              </w:rPr>
            </w:pPr>
            <w:r w:rsidRPr="00ED20A8">
              <w:rPr>
                <w:szCs w:val="20"/>
              </w:rPr>
              <w:t xml:space="preserve"> Design verified and validated</w:t>
            </w:r>
          </w:p>
        </w:tc>
      </w:tr>
      <w:tr w:rsidR="001C1ADC" w:rsidRPr="00ED20A8" w14:paraId="2C9BD732" w14:textId="77777777" w:rsidTr="00F45B5A">
        <w:trPr>
          <w:cantSplit/>
          <w:trHeight w:val="1134"/>
        </w:trPr>
        <w:tc>
          <w:tcPr>
            <w:tcW w:w="1701" w:type="dxa"/>
            <w:tcBorders>
              <w:top w:val="single" w:sz="4" w:space="0" w:color="auto"/>
              <w:bottom w:val="single" w:sz="4" w:space="0" w:color="auto"/>
            </w:tcBorders>
            <w:shd w:val="clear" w:color="auto" w:fill="BFBFBF" w:themeFill="background1" w:themeFillShade="BF"/>
          </w:tcPr>
          <w:p w14:paraId="56D79620" w14:textId="77777777" w:rsidR="001C1ADC" w:rsidRPr="00ED20A8" w:rsidRDefault="001C1ADC" w:rsidP="00ED20A8">
            <w:pPr>
              <w:rPr>
                <w:szCs w:val="20"/>
              </w:rPr>
            </w:pPr>
            <w:r w:rsidRPr="00ED20A8">
              <w:rPr>
                <w:szCs w:val="20"/>
              </w:rPr>
              <w:t>Phase 3 –  Process design &amp; development</w:t>
            </w:r>
          </w:p>
        </w:tc>
        <w:tc>
          <w:tcPr>
            <w:tcW w:w="4253" w:type="dxa"/>
          </w:tcPr>
          <w:p w14:paraId="27A73021" w14:textId="18880D7B" w:rsidR="001C1ADC" w:rsidRPr="00ED20A8" w:rsidRDefault="00FD5B5F" w:rsidP="001C1ADC">
            <w:pPr>
              <w:pStyle w:val="ListParagraph"/>
              <w:ind w:left="37"/>
              <w:rPr>
                <w:szCs w:val="20"/>
              </w:rPr>
            </w:pPr>
            <w:r>
              <w:rPr>
                <w:szCs w:val="20"/>
              </w:rPr>
              <w:t xml:space="preserve">- </w:t>
            </w:r>
            <w:r w:rsidR="001C1ADC" w:rsidRPr="00ED20A8">
              <w:rPr>
                <w:szCs w:val="20"/>
              </w:rPr>
              <w:t>Design Manufacturing &amp; Assembly processes in accordance with the requirements and any identified risks</w:t>
            </w:r>
          </w:p>
        </w:tc>
        <w:tc>
          <w:tcPr>
            <w:tcW w:w="5670" w:type="dxa"/>
          </w:tcPr>
          <w:p w14:paraId="53EE280C" w14:textId="77777777" w:rsidR="001C1ADC" w:rsidRPr="00ED20A8" w:rsidRDefault="001C1ADC" w:rsidP="001C1ADC">
            <w:pPr>
              <w:pStyle w:val="ListParagraph"/>
              <w:ind w:left="37"/>
              <w:rPr>
                <w:szCs w:val="20"/>
              </w:rPr>
            </w:pPr>
            <w:r w:rsidRPr="00ED20A8">
              <w:rPr>
                <w:szCs w:val="20"/>
              </w:rPr>
              <w:t>- Process defined, run, verified and validation ready</w:t>
            </w:r>
          </w:p>
        </w:tc>
        <w:tc>
          <w:tcPr>
            <w:tcW w:w="3827" w:type="dxa"/>
          </w:tcPr>
          <w:p w14:paraId="728327D4" w14:textId="77777777" w:rsidR="001C1ADC" w:rsidRPr="00ED20A8" w:rsidRDefault="001C1ADC" w:rsidP="001C1ADC">
            <w:pPr>
              <w:rPr>
                <w:szCs w:val="20"/>
              </w:rPr>
            </w:pPr>
            <w:r w:rsidRPr="00ED20A8">
              <w:rPr>
                <w:szCs w:val="20"/>
              </w:rPr>
              <w:t>- Process defined, run, verified and validation ready</w:t>
            </w:r>
          </w:p>
        </w:tc>
      </w:tr>
      <w:tr w:rsidR="001C1ADC" w:rsidRPr="00ED20A8" w14:paraId="3F0D23ED" w14:textId="77777777" w:rsidTr="00F45B5A">
        <w:trPr>
          <w:cantSplit/>
          <w:trHeight w:val="1134"/>
        </w:trPr>
        <w:tc>
          <w:tcPr>
            <w:tcW w:w="1701" w:type="dxa"/>
            <w:tcBorders>
              <w:top w:val="single" w:sz="4" w:space="0" w:color="auto"/>
              <w:bottom w:val="single" w:sz="4" w:space="0" w:color="auto"/>
            </w:tcBorders>
            <w:shd w:val="clear" w:color="auto" w:fill="BFBFBF" w:themeFill="background1" w:themeFillShade="BF"/>
          </w:tcPr>
          <w:p w14:paraId="719B5148" w14:textId="77777777" w:rsidR="001C1ADC" w:rsidRPr="00ED20A8" w:rsidRDefault="001C1ADC" w:rsidP="00ED20A8">
            <w:pPr>
              <w:rPr>
                <w:szCs w:val="20"/>
              </w:rPr>
            </w:pPr>
            <w:r w:rsidRPr="00ED20A8">
              <w:rPr>
                <w:szCs w:val="20"/>
              </w:rPr>
              <w:t>Phase 4 – Product &amp; Process validation</w:t>
            </w:r>
          </w:p>
        </w:tc>
        <w:tc>
          <w:tcPr>
            <w:tcW w:w="4253" w:type="dxa"/>
          </w:tcPr>
          <w:p w14:paraId="6E8A393B" w14:textId="0F3933F6" w:rsidR="001C1ADC" w:rsidRPr="00ED20A8" w:rsidRDefault="00061137" w:rsidP="001C1ADC">
            <w:pPr>
              <w:pStyle w:val="ListParagraph"/>
              <w:ind w:left="37"/>
              <w:rPr>
                <w:szCs w:val="20"/>
              </w:rPr>
            </w:pPr>
            <w:r>
              <w:rPr>
                <w:szCs w:val="20"/>
              </w:rPr>
              <w:t xml:space="preserve">- </w:t>
            </w:r>
            <w:r w:rsidR="001C1ADC" w:rsidRPr="00ED20A8">
              <w:rPr>
                <w:szCs w:val="20"/>
              </w:rPr>
              <w:t>Validate that processes produce the product in accordance with requirements at the customers demand rate</w:t>
            </w:r>
          </w:p>
        </w:tc>
        <w:tc>
          <w:tcPr>
            <w:tcW w:w="5670" w:type="dxa"/>
          </w:tcPr>
          <w:p w14:paraId="47C272DC" w14:textId="77777777" w:rsidR="001C1ADC" w:rsidRPr="00ED20A8" w:rsidRDefault="001C1ADC" w:rsidP="001C1ADC">
            <w:pPr>
              <w:rPr>
                <w:szCs w:val="20"/>
              </w:rPr>
            </w:pPr>
            <w:r w:rsidRPr="00ED20A8">
              <w:rPr>
                <w:szCs w:val="20"/>
              </w:rPr>
              <w:t>- Launch of manufacturing</w:t>
            </w:r>
          </w:p>
          <w:p w14:paraId="09BD4774" w14:textId="77777777" w:rsidR="001C1ADC" w:rsidRPr="00ED20A8" w:rsidRDefault="001C1ADC" w:rsidP="001C1ADC">
            <w:pPr>
              <w:rPr>
                <w:szCs w:val="20"/>
              </w:rPr>
            </w:pPr>
            <w:r w:rsidRPr="00ED20A8">
              <w:rPr>
                <w:szCs w:val="20"/>
              </w:rPr>
              <w:t>- Data collection to prove throughput</w:t>
            </w:r>
          </w:p>
          <w:p w14:paraId="3D6AE556" w14:textId="77777777" w:rsidR="001C1ADC" w:rsidRPr="00ED20A8" w:rsidRDefault="001C1ADC" w:rsidP="001C1ADC">
            <w:pPr>
              <w:rPr>
                <w:szCs w:val="20"/>
              </w:rPr>
            </w:pPr>
            <w:r w:rsidRPr="00ED20A8">
              <w:rPr>
                <w:szCs w:val="20"/>
              </w:rPr>
              <w:t>- Approval to enter serial production</w:t>
            </w:r>
          </w:p>
          <w:p w14:paraId="48ECF6EC" w14:textId="77777777" w:rsidR="001C1ADC" w:rsidRPr="00ED20A8" w:rsidRDefault="001C1ADC" w:rsidP="001C1ADC">
            <w:pPr>
              <w:rPr>
                <w:szCs w:val="20"/>
              </w:rPr>
            </w:pPr>
            <w:r w:rsidRPr="00ED20A8">
              <w:rPr>
                <w:szCs w:val="20"/>
              </w:rPr>
              <w:t>- Product &amp; process validated</w:t>
            </w:r>
          </w:p>
          <w:p w14:paraId="45C99E0A" w14:textId="77777777" w:rsidR="001C1ADC" w:rsidRPr="00ED20A8" w:rsidRDefault="001C1ADC" w:rsidP="001C1ADC">
            <w:pPr>
              <w:rPr>
                <w:szCs w:val="20"/>
              </w:rPr>
            </w:pPr>
            <w:r w:rsidRPr="00ED20A8">
              <w:rPr>
                <w:szCs w:val="20"/>
              </w:rPr>
              <w:t>- Preparation for production launch</w:t>
            </w:r>
          </w:p>
          <w:p w14:paraId="62C0CB75" w14:textId="77777777" w:rsidR="001C1ADC" w:rsidRPr="00ED20A8" w:rsidRDefault="001C1ADC" w:rsidP="001C1ADC">
            <w:pPr>
              <w:rPr>
                <w:szCs w:val="20"/>
              </w:rPr>
            </w:pPr>
            <w:r w:rsidRPr="00ED20A8">
              <w:rPr>
                <w:szCs w:val="20"/>
              </w:rPr>
              <w:t xml:space="preserve">- Corrective actions for initial non-conformities closed </w:t>
            </w:r>
            <w:r w:rsidR="00E4725A">
              <w:rPr>
                <w:szCs w:val="20"/>
              </w:rPr>
              <w:t xml:space="preserve">                                </w:t>
            </w:r>
            <w:r w:rsidRPr="00ED20A8">
              <w:rPr>
                <w:szCs w:val="20"/>
              </w:rPr>
              <w:t>out prior to production start</w:t>
            </w:r>
          </w:p>
        </w:tc>
        <w:tc>
          <w:tcPr>
            <w:tcW w:w="3827" w:type="dxa"/>
          </w:tcPr>
          <w:p w14:paraId="194A41F0" w14:textId="77777777" w:rsidR="001C1ADC" w:rsidRPr="00ED20A8" w:rsidRDefault="001C1ADC" w:rsidP="001C1ADC">
            <w:pPr>
              <w:rPr>
                <w:szCs w:val="20"/>
              </w:rPr>
            </w:pPr>
            <w:r w:rsidRPr="00ED20A8">
              <w:rPr>
                <w:szCs w:val="20"/>
              </w:rPr>
              <w:t>- Start of Production</w:t>
            </w:r>
          </w:p>
          <w:p w14:paraId="50D06662" w14:textId="77777777" w:rsidR="001C1ADC" w:rsidRPr="00ED20A8" w:rsidRDefault="001C1ADC" w:rsidP="001C1ADC">
            <w:pPr>
              <w:rPr>
                <w:szCs w:val="20"/>
              </w:rPr>
            </w:pPr>
            <w:r w:rsidRPr="00ED20A8">
              <w:rPr>
                <w:szCs w:val="20"/>
              </w:rPr>
              <w:t>- First Article Inspection</w:t>
            </w:r>
          </w:p>
          <w:p w14:paraId="65F4A167" w14:textId="77777777" w:rsidR="001C1ADC" w:rsidRPr="00ED20A8" w:rsidRDefault="001C1ADC" w:rsidP="001C1ADC">
            <w:pPr>
              <w:rPr>
                <w:szCs w:val="20"/>
              </w:rPr>
            </w:pPr>
            <w:r w:rsidRPr="00ED20A8">
              <w:rPr>
                <w:szCs w:val="20"/>
              </w:rPr>
              <w:t>- Verification of design/process</w:t>
            </w:r>
          </w:p>
          <w:p w14:paraId="74E0EA85" w14:textId="77777777" w:rsidR="001C1ADC" w:rsidRPr="00ED20A8" w:rsidRDefault="001C1ADC" w:rsidP="001C1ADC">
            <w:pPr>
              <w:rPr>
                <w:szCs w:val="20"/>
              </w:rPr>
            </w:pPr>
            <w:r w:rsidRPr="00ED20A8">
              <w:rPr>
                <w:szCs w:val="20"/>
              </w:rPr>
              <w:t>- Completion of PPAP</w:t>
            </w:r>
          </w:p>
          <w:p w14:paraId="7391E50D" w14:textId="77777777" w:rsidR="001C1ADC" w:rsidRPr="00ED20A8" w:rsidRDefault="001C1ADC" w:rsidP="001C1ADC">
            <w:pPr>
              <w:rPr>
                <w:szCs w:val="20"/>
              </w:rPr>
            </w:pPr>
            <w:r w:rsidRPr="00ED20A8">
              <w:rPr>
                <w:szCs w:val="20"/>
              </w:rPr>
              <w:t>- Submittal to customer for approval</w:t>
            </w:r>
          </w:p>
        </w:tc>
      </w:tr>
      <w:tr w:rsidR="001C1ADC" w:rsidRPr="00ED20A8" w14:paraId="6F4F276C" w14:textId="77777777" w:rsidTr="00F45B5A">
        <w:trPr>
          <w:cantSplit/>
          <w:trHeight w:val="1134"/>
        </w:trPr>
        <w:tc>
          <w:tcPr>
            <w:tcW w:w="1701" w:type="dxa"/>
            <w:tcBorders>
              <w:top w:val="single" w:sz="4" w:space="0" w:color="auto"/>
            </w:tcBorders>
            <w:shd w:val="clear" w:color="auto" w:fill="BFBFBF" w:themeFill="background1" w:themeFillShade="BF"/>
          </w:tcPr>
          <w:p w14:paraId="76280CD7" w14:textId="77777777" w:rsidR="001C1ADC" w:rsidRPr="00ED20A8" w:rsidRDefault="001C1ADC" w:rsidP="00ED20A8">
            <w:pPr>
              <w:rPr>
                <w:szCs w:val="20"/>
              </w:rPr>
            </w:pPr>
            <w:r w:rsidRPr="00ED20A8">
              <w:rPr>
                <w:szCs w:val="20"/>
              </w:rPr>
              <w:t>Phase 5 – Production</w:t>
            </w:r>
          </w:p>
        </w:tc>
        <w:tc>
          <w:tcPr>
            <w:tcW w:w="4253" w:type="dxa"/>
          </w:tcPr>
          <w:p w14:paraId="04DB0AA1" w14:textId="77777777" w:rsidR="00061137" w:rsidRDefault="00061137" w:rsidP="001C1ADC">
            <w:pPr>
              <w:pStyle w:val="ListParagraph"/>
              <w:ind w:left="37"/>
              <w:rPr>
                <w:szCs w:val="20"/>
              </w:rPr>
            </w:pPr>
            <w:r>
              <w:rPr>
                <w:szCs w:val="20"/>
              </w:rPr>
              <w:t xml:space="preserve">- </w:t>
            </w:r>
            <w:r w:rsidR="001C1ADC" w:rsidRPr="00ED20A8">
              <w:rPr>
                <w:szCs w:val="20"/>
              </w:rPr>
              <w:t>Monitor performance against set targets to reduce Non-Conformities</w:t>
            </w:r>
          </w:p>
          <w:p w14:paraId="70CF0BC8" w14:textId="31945C16" w:rsidR="00061137" w:rsidRDefault="00061137" w:rsidP="001C1ADC">
            <w:pPr>
              <w:pStyle w:val="ListParagraph"/>
              <w:ind w:left="37"/>
              <w:rPr>
                <w:szCs w:val="20"/>
              </w:rPr>
            </w:pPr>
            <w:r>
              <w:rPr>
                <w:szCs w:val="20"/>
              </w:rPr>
              <w:t>- B</w:t>
            </w:r>
            <w:r w:rsidR="001C1ADC" w:rsidRPr="00ED20A8">
              <w:rPr>
                <w:szCs w:val="20"/>
              </w:rPr>
              <w:t xml:space="preserve">oost Continuous Improvement </w:t>
            </w:r>
          </w:p>
          <w:p w14:paraId="79819AD3" w14:textId="239D7DFA" w:rsidR="001C1ADC" w:rsidRPr="00ED20A8" w:rsidRDefault="00061137" w:rsidP="001C1ADC">
            <w:pPr>
              <w:pStyle w:val="ListParagraph"/>
              <w:ind w:left="37"/>
              <w:rPr>
                <w:szCs w:val="20"/>
              </w:rPr>
            </w:pPr>
            <w:r>
              <w:rPr>
                <w:szCs w:val="20"/>
              </w:rPr>
              <w:t>- D</w:t>
            </w:r>
            <w:r w:rsidR="001C1ADC" w:rsidRPr="00ED20A8">
              <w:rPr>
                <w:szCs w:val="20"/>
              </w:rPr>
              <w:t>ocument Lessons Learnt</w:t>
            </w:r>
          </w:p>
        </w:tc>
        <w:tc>
          <w:tcPr>
            <w:tcW w:w="5670" w:type="dxa"/>
          </w:tcPr>
          <w:p w14:paraId="7C1D8144" w14:textId="77777777" w:rsidR="00ED20A8" w:rsidRPr="00ED20A8" w:rsidRDefault="00ED20A8" w:rsidP="001C1ADC">
            <w:pPr>
              <w:pStyle w:val="ListParagraph"/>
              <w:ind w:left="37"/>
              <w:rPr>
                <w:szCs w:val="20"/>
              </w:rPr>
            </w:pPr>
            <w:r w:rsidRPr="00ED20A8">
              <w:rPr>
                <w:szCs w:val="20"/>
              </w:rPr>
              <w:t>- Variation in manufacturing reduced</w:t>
            </w:r>
          </w:p>
          <w:p w14:paraId="12F50E35" w14:textId="77777777" w:rsidR="00ED20A8" w:rsidRPr="00ED20A8" w:rsidRDefault="00ED20A8" w:rsidP="001C1ADC">
            <w:pPr>
              <w:pStyle w:val="ListParagraph"/>
              <w:ind w:left="37"/>
              <w:rPr>
                <w:szCs w:val="20"/>
              </w:rPr>
            </w:pPr>
            <w:r w:rsidRPr="00ED20A8">
              <w:rPr>
                <w:szCs w:val="20"/>
              </w:rPr>
              <w:t>- Non-conforming product controlled</w:t>
            </w:r>
          </w:p>
          <w:p w14:paraId="5E2ECE82" w14:textId="77777777" w:rsidR="00ED20A8" w:rsidRPr="00ED20A8" w:rsidRDefault="00ED20A8" w:rsidP="001C1ADC">
            <w:pPr>
              <w:pStyle w:val="ListParagraph"/>
              <w:ind w:left="37"/>
              <w:rPr>
                <w:szCs w:val="20"/>
              </w:rPr>
            </w:pPr>
            <w:r w:rsidRPr="00ED20A8">
              <w:rPr>
                <w:szCs w:val="20"/>
              </w:rPr>
              <w:t>- Lessons Learnt documented</w:t>
            </w:r>
          </w:p>
          <w:p w14:paraId="44B54777" w14:textId="77777777" w:rsidR="001C1ADC" w:rsidRPr="00ED20A8" w:rsidRDefault="00ED20A8" w:rsidP="001C1ADC">
            <w:pPr>
              <w:pStyle w:val="ListParagraph"/>
              <w:ind w:left="37"/>
              <w:rPr>
                <w:szCs w:val="20"/>
              </w:rPr>
            </w:pPr>
            <w:r w:rsidRPr="00ED20A8">
              <w:rPr>
                <w:szCs w:val="20"/>
              </w:rPr>
              <w:t>- Continuous Improvement initiatives to enhance performance</w:t>
            </w:r>
          </w:p>
        </w:tc>
        <w:tc>
          <w:tcPr>
            <w:tcW w:w="3827" w:type="dxa"/>
          </w:tcPr>
          <w:p w14:paraId="79836BD4" w14:textId="77777777" w:rsidR="001C1ADC" w:rsidRPr="00ED20A8" w:rsidRDefault="001C1ADC" w:rsidP="001C1ADC">
            <w:pPr>
              <w:keepNext/>
              <w:rPr>
                <w:szCs w:val="20"/>
              </w:rPr>
            </w:pPr>
            <w:r w:rsidRPr="00ED20A8">
              <w:rPr>
                <w:szCs w:val="20"/>
              </w:rPr>
              <w:t>- Project archiving</w:t>
            </w:r>
          </w:p>
          <w:p w14:paraId="41CCAEC8" w14:textId="77777777" w:rsidR="001C1ADC" w:rsidRPr="00ED20A8" w:rsidRDefault="001C1ADC" w:rsidP="001C1ADC">
            <w:pPr>
              <w:keepNext/>
              <w:rPr>
                <w:szCs w:val="20"/>
              </w:rPr>
            </w:pPr>
            <w:r w:rsidRPr="00ED20A8">
              <w:rPr>
                <w:szCs w:val="20"/>
              </w:rPr>
              <w:t>- Feedback of Lesson Learnt</w:t>
            </w:r>
          </w:p>
          <w:p w14:paraId="645A17C7" w14:textId="77777777" w:rsidR="001C1ADC" w:rsidRPr="00900C47" w:rsidRDefault="001C1ADC" w:rsidP="00CD37AA">
            <w:pPr>
              <w:rPr>
                <w:szCs w:val="20"/>
              </w:rPr>
            </w:pPr>
            <w:r w:rsidRPr="00900C47">
              <w:rPr>
                <w:szCs w:val="20"/>
              </w:rPr>
              <w:t>- Cost of Non-Quality evaluation</w:t>
            </w:r>
          </w:p>
        </w:tc>
      </w:tr>
    </w:tbl>
    <w:p w14:paraId="4AA85D49" w14:textId="66964124" w:rsidR="001C1ADC" w:rsidRDefault="001C1ADC" w:rsidP="001C1ADC">
      <w:pPr>
        <w:pStyle w:val="Caption"/>
      </w:pPr>
      <w:bookmarkStart w:id="27" w:name="_Ref133089458"/>
      <w:r w:rsidRPr="00D247E4">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1</w:t>
      </w:r>
      <w:r w:rsidR="003A6EC0">
        <w:rPr>
          <w:b/>
        </w:rPr>
        <w:fldChar w:fldCharType="end"/>
      </w:r>
      <w:bookmarkEnd w:id="27"/>
      <w:r w:rsidRPr="00D247E4">
        <w:rPr>
          <w:b/>
        </w:rPr>
        <w:t>: APQP Phases</w:t>
      </w:r>
      <w:r>
        <w:t xml:space="preserve"> and the</w:t>
      </w:r>
      <w:r w:rsidR="00225674">
        <w:t>ir objectives</w:t>
      </w:r>
    </w:p>
    <w:p w14:paraId="380F8785" w14:textId="77777777" w:rsidR="00AA298B" w:rsidRDefault="00AA298B">
      <w:r>
        <w:br w:type="page"/>
      </w:r>
    </w:p>
    <w:p w14:paraId="46CED687" w14:textId="77777777" w:rsidR="00AA298B" w:rsidRDefault="00AA298B" w:rsidP="009F3455">
      <w:pPr>
        <w:sectPr w:rsidR="00AA298B" w:rsidSect="003B7DCD">
          <w:pgSz w:w="16838" w:h="11906" w:orient="landscape"/>
          <w:pgMar w:top="720" w:right="720" w:bottom="992" w:left="720" w:header="709" w:footer="709" w:gutter="0"/>
          <w:cols w:space="708"/>
          <w:titlePg/>
          <w:docGrid w:linePitch="360"/>
        </w:sectPr>
      </w:pPr>
    </w:p>
    <w:p w14:paraId="55557C5C" w14:textId="72207F19" w:rsidR="00EA2F87" w:rsidRDefault="00EF275C" w:rsidP="008A6F8C">
      <w:pPr>
        <w:jc w:val="both"/>
      </w:pPr>
      <w:r>
        <w:lastRenderedPageBreak/>
        <w:t>The</w:t>
      </w:r>
      <w:r w:rsidR="009B0EFA">
        <w:t xml:space="preserve"> intermediate</w:t>
      </w:r>
      <w:r>
        <w:t xml:space="preserve"> tier in the </w:t>
      </w:r>
      <w:r w:rsidR="009B0EFA">
        <w:t xml:space="preserve">APQP </w:t>
      </w:r>
      <w:r>
        <w:t>pyramid is the ‘elements’. These elements are discrete activities designed to break the phases into a linear flow of project progression milestones. Each of the elements can require complex interactions across multiple departments and suppliers, where feedback loops are required to validate the data that is being shared.</w:t>
      </w:r>
      <w:r w:rsidR="00EA2F87">
        <w:t xml:space="preserve"> A list of elements can include, but are not limited to</w:t>
      </w:r>
      <w:r w:rsidR="00C800E2">
        <w:t xml:space="preserve"> </w:t>
      </w:r>
      <w:r w:rsidR="00C800E2">
        <w:fldChar w:fldCharType="begin" w:fldLock="1"/>
      </w:r>
      <w:r w:rsidR="00D12C3D">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C800E2">
        <w:fldChar w:fldCharType="separate"/>
      </w:r>
      <w:r w:rsidR="00C800E2" w:rsidRPr="00C800E2">
        <w:rPr>
          <w:noProof/>
        </w:rPr>
        <w:t>(Țîțu and Pop, 2021)</w:t>
      </w:r>
      <w:r w:rsidR="00C800E2">
        <w:fldChar w:fldCharType="end"/>
      </w:r>
      <w:r w:rsidR="00A95C6C">
        <w:t>:</w:t>
      </w:r>
    </w:p>
    <w:p w14:paraId="4B90B481" w14:textId="4546EDDB" w:rsidR="00EA2F87" w:rsidRDefault="00EA2F87" w:rsidP="007A5DF3">
      <w:pPr>
        <w:pStyle w:val="ListParagraph"/>
        <w:numPr>
          <w:ilvl w:val="0"/>
          <w:numId w:val="8"/>
        </w:numPr>
      </w:pPr>
      <w:r w:rsidRPr="00790A7A">
        <w:rPr>
          <w:b/>
        </w:rPr>
        <w:t>Project Planning</w:t>
      </w:r>
      <w:r>
        <w:t xml:space="preserve"> – align</w:t>
      </w:r>
      <w:r w:rsidR="00C800E2">
        <w:t>ing</w:t>
      </w:r>
      <w:r>
        <w:t xml:space="preserve"> the project phases and milestones to the overall project timeline. Also allocat</w:t>
      </w:r>
      <w:r w:rsidR="00C800E2">
        <w:t>ing</w:t>
      </w:r>
      <w:r>
        <w:t xml:space="preserve"> resources to the project as well as setting the project</w:t>
      </w:r>
      <w:r w:rsidR="00F07CDD">
        <w:t>’s</w:t>
      </w:r>
      <w:r>
        <w:t xml:space="preserve"> KPI</w:t>
      </w:r>
      <w:r w:rsidR="00F07CDD">
        <w:t>s</w:t>
      </w:r>
    </w:p>
    <w:p w14:paraId="0969A5F6" w14:textId="77777777" w:rsidR="00790A7A" w:rsidRDefault="00790A7A" w:rsidP="00790A7A">
      <w:pPr>
        <w:pStyle w:val="ListParagraph"/>
      </w:pPr>
    </w:p>
    <w:p w14:paraId="351093D4" w14:textId="77777777" w:rsidR="00790A7A" w:rsidRDefault="00EA2F87" w:rsidP="007A5DF3">
      <w:pPr>
        <w:pStyle w:val="ListParagraph"/>
        <w:numPr>
          <w:ilvl w:val="0"/>
          <w:numId w:val="8"/>
        </w:numPr>
      </w:pPr>
      <w:r w:rsidRPr="00790A7A">
        <w:rPr>
          <w:b/>
        </w:rPr>
        <w:t>Risk Analysis</w:t>
      </w:r>
      <w:r>
        <w:t xml:space="preserve"> – </w:t>
      </w:r>
      <w:r w:rsidR="00A729E2">
        <w:t>i</w:t>
      </w:r>
      <w:r>
        <w:t xml:space="preserve">dentifying, understanding and creating mitigating actions for all forms of risk to the project. Includes but not limited to supplier risk, </w:t>
      </w:r>
      <w:r w:rsidR="00A729E2">
        <w:t>variation risk, schedule risk and cost risk.</w:t>
      </w:r>
    </w:p>
    <w:p w14:paraId="5803EE1A" w14:textId="77777777" w:rsidR="00790A7A" w:rsidRDefault="00790A7A" w:rsidP="00790A7A">
      <w:pPr>
        <w:pStyle w:val="ListParagraph"/>
      </w:pPr>
    </w:p>
    <w:p w14:paraId="29D23D3A" w14:textId="015EE048" w:rsidR="00790A7A" w:rsidRDefault="00A729E2" w:rsidP="007A5DF3">
      <w:pPr>
        <w:pStyle w:val="ListParagraph"/>
        <w:numPr>
          <w:ilvl w:val="0"/>
          <w:numId w:val="8"/>
        </w:numPr>
      </w:pPr>
      <w:r w:rsidRPr="00790A7A">
        <w:rPr>
          <w:b/>
        </w:rPr>
        <w:t>Control Plan</w:t>
      </w:r>
      <w:r>
        <w:t xml:space="preserve"> – </w:t>
      </w:r>
      <w:r w:rsidR="00C800E2">
        <w:t>defining the details of</w:t>
      </w:r>
      <w:r>
        <w:t xml:space="preserve"> the measurements to be taken from a </w:t>
      </w:r>
      <w:r w:rsidR="00F07D3D">
        <w:t xml:space="preserve">product’s </w:t>
      </w:r>
      <w:r>
        <w:t>part and the corrective actions to take when a non-conformance is identified.</w:t>
      </w:r>
    </w:p>
    <w:p w14:paraId="0183B57D" w14:textId="77777777" w:rsidR="00790A7A" w:rsidRDefault="00790A7A" w:rsidP="00790A7A">
      <w:pPr>
        <w:pStyle w:val="ListParagraph"/>
      </w:pPr>
    </w:p>
    <w:p w14:paraId="34D6209A" w14:textId="4D1FBBEE" w:rsidR="00790A7A" w:rsidRDefault="00A729E2" w:rsidP="007A5DF3">
      <w:pPr>
        <w:pStyle w:val="ListParagraph"/>
        <w:numPr>
          <w:ilvl w:val="0"/>
          <w:numId w:val="8"/>
        </w:numPr>
      </w:pPr>
      <w:r w:rsidRPr="00790A7A">
        <w:rPr>
          <w:b/>
        </w:rPr>
        <w:t>Working Documentation</w:t>
      </w:r>
      <w:r>
        <w:t xml:space="preserve"> – completi</w:t>
      </w:r>
      <w:r w:rsidR="00C800E2">
        <w:t>ng</w:t>
      </w:r>
      <w:r>
        <w:t xml:space="preserve"> </w:t>
      </w:r>
      <w:r w:rsidR="00DC4764">
        <w:t xml:space="preserve">the </w:t>
      </w:r>
      <w:r>
        <w:t>build instructions issued to the operators.</w:t>
      </w:r>
    </w:p>
    <w:p w14:paraId="15AD8386" w14:textId="77777777" w:rsidR="00790A7A" w:rsidRDefault="00790A7A" w:rsidP="00790A7A">
      <w:pPr>
        <w:pStyle w:val="ListParagraph"/>
      </w:pPr>
    </w:p>
    <w:p w14:paraId="3C9B66E9" w14:textId="742138BA" w:rsidR="00790A7A" w:rsidRDefault="00A729E2" w:rsidP="007A5DF3">
      <w:pPr>
        <w:pStyle w:val="ListParagraph"/>
        <w:numPr>
          <w:ilvl w:val="0"/>
          <w:numId w:val="8"/>
        </w:numPr>
      </w:pPr>
      <w:r w:rsidRPr="00790A7A">
        <w:rPr>
          <w:b/>
        </w:rPr>
        <w:t>First Article Inspection</w:t>
      </w:r>
      <w:r w:rsidR="00193603">
        <w:rPr>
          <w:b/>
        </w:rPr>
        <w:t xml:space="preserve"> (FAI)</w:t>
      </w:r>
      <w:r>
        <w:t xml:space="preserve"> – sign</w:t>
      </w:r>
      <w:r w:rsidR="00D12C3D">
        <w:t>ing</w:t>
      </w:r>
      <w:r>
        <w:t>-off the first part made for each part number as conforming to the engineering design data, validating both the design and the manufacturing processes.</w:t>
      </w:r>
    </w:p>
    <w:p w14:paraId="30C7D5D2" w14:textId="77777777" w:rsidR="00790A7A" w:rsidRDefault="00790A7A" w:rsidP="00790A7A">
      <w:pPr>
        <w:pStyle w:val="ListParagraph"/>
      </w:pPr>
    </w:p>
    <w:p w14:paraId="7D629AEC" w14:textId="77777777" w:rsidR="00790A7A" w:rsidRDefault="00A729E2" w:rsidP="007A5DF3">
      <w:pPr>
        <w:pStyle w:val="ListParagraph"/>
        <w:numPr>
          <w:ilvl w:val="0"/>
          <w:numId w:val="8"/>
        </w:numPr>
      </w:pPr>
      <w:r w:rsidRPr="00790A7A">
        <w:rPr>
          <w:b/>
        </w:rPr>
        <w:t>Continuous Improvement</w:t>
      </w:r>
      <w:r>
        <w:t xml:space="preserve"> – </w:t>
      </w:r>
      <w:r w:rsidR="00790A7A">
        <w:t xml:space="preserve">driving out variation and improving reproducibility by </w:t>
      </w:r>
      <w:r w:rsidR="00DB2127">
        <w:t>adjusting</w:t>
      </w:r>
      <w:r w:rsidR="00790A7A">
        <w:t xml:space="preserve"> the design or process.</w:t>
      </w:r>
    </w:p>
    <w:p w14:paraId="4ADE546F" w14:textId="77777777" w:rsidR="00790A7A" w:rsidRDefault="00790A7A" w:rsidP="00790A7A">
      <w:pPr>
        <w:pStyle w:val="ListParagraph"/>
      </w:pPr>
    </w:p>
    <w:p w14:paraId="4E59F42D" w14:textId="77777777" w:rsidR="00A729E2" w:rsidRDefault="00790A7A" w:rsidP="007A5DF3">
      <w:pPr>
        <w:pStyle w:val="ListParagraph"/>
        <w:numPr>
          <w:ilvl w:val="0"/>
          <w:numId w:val="8"/>
        </w:numPr>
      </w:pPr>
      <w:r w:rsidRPr="00790A7A">
        <w:rPr>
          <w:b/>
        </w:rPr>
        <w:t>Lessons Learnt</w:t>
      </w:r>
      <w:r>
        <w:t xml:space="preserve"> – collecting information for non-conformances and corrective actions to improve future designs.</w:t>
      </w:r>
    </w:p>
    <w:p w14:paraId="6BF9319F" w14:textId="77777777" w:rsidR="005B1300" w:rsidRPr="009F3455" w:rsidRDefault="005B1300" w:rsidP="005B1300"/>
    <w:p w14:paraId="51F18158" w14:textId="30CA5151" w:rsidR="00672C91" w:rsidRDefault="005B1300" w:rsidP="00C5757C">
      <w:pPr>
        <w:jc w:val="both"/>
      </w:pPr>
      <w:r>
        <w:t xml:space="preserve">The </w:t>
      </w:r>
      <w:r w:rsidR="009A3CD4">
        <w:t>lower tier</w:t>
      </w:r>
      <w:r>
        <w:t xml:space="preserve"> of the APQP pyramid contains the ‘Aerospace APQP Deliverables’. This section captures and documents the activities carried out in the elements section to serve as evidence that the element has been appropriately completed</w:t>
      </w:r>
      <w:r w:rsidR="001A2808">
        <w:t xml:space="preserve"> to fulfil the needs of internal/external customers</w:t>
      </w:r>
      <w:r w:rsidR="00D12C3D">
        <w:t xml:space="preserve"> </w:t>
      </w:r>
      <w:r w:rsidR="00D12C3D">
        <w:fldChar w:fldCharType="begin" w:fldLock="1"/>
      </w:r>
      <w:r w:rsidR="001A7C46">
        <w:instrText>ADDIN CSL_CITATION {"citationItems":[{"id":"ITEM-1","itemData":{"DOI":"10.1051/matecconf/201817808013","ISSN":"2261236X","abstract":"To ensure customer satisfaction, the products made by aviation, space and defense organizations need to be continuously improved from the point of view of safety, security, reliability and maintainability. The improvement goal is to be at the customers' requirements and legislations level, if not even to overcome it. The occurring problem with the final products is the challenge to ensure their quality in a shorter time. In this research the importance of implementing the APQP concept in the aeronautical industry is highlighted. To achieve this purpose, the methodologies needed to ensure that the product development processes of the aviation, space and defense industry are fully integrated processes ranging from concept and design to planning, manufacturing and production, aiming the product good use, a quality service and finally getting a positive customer feedback. The final goal of this concept implementing is the Production Part Approval Process (PPAP), which is actually the main result of APQP confirming that the manufacturing process has demonstrated the potential to achieve products that consistently fulfil absolutely all the expressed and not expressed customer requirements.","author":[{"dropping-particle":"","family":"Pop","given":"Alina Bianca","non-dropping-particle":"","parse-names":false,"suffix":""},{"dropping-particle":"","family":"Ţîţu","given":"Mihail Aurel","non-dropping-particle":"","parse-names":false,"suffix":""},{"dropping-particle":"","family":"Oprean","given":"Constantin","non-dropping-particle":"","parse-names":false,"suffix":""},{"dropping-particle":"","family":"Ceocea","given":"Costel","non-dropping-particle":"","parse-names":false,"suffix":""},{"dropping-particle":"","family":"Sandu","given":"Andrei Victor","non-dropping-particle":"","parse-names":false,"suffix":""},{"dropping-particle":"","family":"Ţîţu","given":"Ştefan","non-dropping-particle":"","parse-names":false,"suffix":""}],"container-title":"MATEC Web of Conferences","id":"ITEM-1","issued":{"date-parts":[["2018"]]},"page":"1-6","title":"Contributions concerning the possibility of implementing the APQP concept in the aerospace industry","type":"article-journal","volume":"178"},"uris":["http://www.mendeley.com/documents/?uuid=f8ca7ac4-dc62-4b81-bd48-22b5ef6e917c"]}],"mendeley":{"formattedCitation":"(Pop &lt;i&gt;et al.&lt;/i&gt;, 2018)","plainTextFormattedCitation":"(Pop et al., 2018)","previouslyFormattedCitation":"(Pop &lt;i&gt;et al.&lt;/i&gt;, 2018)"},"properties":{"noteIndex":0},"schema":"https://github.com/citation-style-language/schema/raw/master/csl-citation.json"}</w:instrText>
      </w:r>
      <w:r w:rsidR="00D12C3D">
        <w:fldChar w:fldCharType="separate"/>
      </w:r>
      <w:r w:rsidR="00D12C3D" w:rsidRPr="00D12C3D">
        <w:rPr>
          <w:noProof/>
        </w:rPr>
        <w:t xml:space="preserve">(Pop </w:t>
      </w:r>
      <w:r w:rsidR="00D12C3D" w:rsidRPr="00D12C3D">
        <w:rPr>
          <w:i/>
          <w:noProof/>
        </w:rPr>
        <w:t>et al.</w:t>
      </w:r>
      <w:r w:rsidR="00D12C3D" w:rsidRPr="00D12C3D">
        <w:rPr>
          <w:noProof/>
        </w:rPr>
        <w:t>, 2018)</w:t>
      </w:r>
      <w:r w:rsidR="00D12C3D">
        <w:fldChar w:fldCharType="end"/>
      </w:r>
      <w:r>
        <w:t xml:space="preserve">. Compiling this data not only provides evidence in the case of an audit, but also enhances the flow of communication between departments and suppliers by sharing the output of an element as an input to the next element. This is particularly pertinent when considering the </w:t>
      </w:r>
      <w:r w:rsidR="00142892">
        <w:t xml:space="preserve">identification, analysis, monitoring and improvement of Key Characteristics (KC) in a project as each stage could be carried out in a different department or company. </w:t>
      </w:r>
    </w:p>
    <w:p w14:paraId="38FBEC0E" w14:textId="77777777" w:rsidR="00142892" w:rsidRDefault="00142892" w:rsidP="00C5757C">
      <w:pPr>
        <w:jc w:val="both"/>
      </w:pPr>
    </w:p>
    <w:p w14:paraId="73B58CBF" w14:textId="1CD288ED" w:rsidR="00193603" w:rsidRDefault="00142892" w:rsidP="00C5757C">
      <w:pPr>
        <w:jc w:val="both"/>
      </w:pPr>
      <w:r>
        <w:t>Once the project moves from development into serial production, the deliverables are collected and submitted to the customer for approval, usually at the FAI stage</w:t>
      </w:r>
      <w:r w:rsidR="001A2808">
        <w:t>, based on the results of the first trial run</w:t>
      </w:r>
      <w:r>
        <w:t xml:space="preserve">. </w:t>
      </w:r>
      <w:r>
        <w:lastRenderedPageBreak/>
        <w:t xml:space="preserve">This evidence pack is known collectively as the PPAP. </w:t>
      </w:r>
      <w:r w:rsidR="00193603">
        <w:t>An APQP Part Approval Form accompanies the pack, identifying the pack</w:t>
      </w:r>
      <w:r w:rsidR="00B87CAA">
        <w:t>’</w:t>
      </w:r>
      <w:r w:rsidR="00193603">
        <w:t xml:space="preserve">s contents and recording </w:t>
      </w:r>
      <w:r w:rsidR="00B87CAA">
        <w:t xml:space="preserve">its </w:t>
      </w:r>
      <w:r w:rsidR="00193603">
        <w:t>approval from both the customer and the supplier</w:t>
      </w:r>
      <w:r w:rsidR="006B443C">
        <w:t xml:space="preserve"> </w:t>
      </w:r>
      <w:r w:rsidR="00625492">
        <w:fldChar w:fldCharType="begin" w:fldLock="1"/>
      </w:r>
      <w:r w:rsidR="00A4539B">
        <w:instrText>ADDIN CSL_CITATION {"citationItems":[{"id":"ITEM-1","itemData":{"DOI":"10.5604/01.3001.0016.2591","ISSN":"18972764","abstract":"Purpose: The article concerns the analysis of the applicable normative requirements in the field of product quality planning in the process of approving parts for production. Design/methodology/approach: The analysis, in particular, concerns the correlation of appropriate methods and quality management tools in the quality planning process. Findings: Correct use of quality planning tools in product and process development determines the effectiveness of implementing individual phases of APQP (Advanced Product Quality Planning). Research limitations/implications: It is important that the organisation skilfully and consciously uses the quality tools required by APQP; they usually require multiple uses during the project implementation time, which depends on the specificity of a particular project. Practical implications: The study presents how core quality planning tools are related, proving that they cannot be treated as an individual tool, but only their correct use can protect the project/organisation against nonconformities or misunderstandings between the supplier and the customer. Originality/value: The study's originality and novelty show the relations and dependence between APQP phases and core quality tools/evidence developed in the PPAP (Production Part Approval Process), according to PPAP level 3. The article presents a practical approach to the use or multiuse of particular core quality planning tools according to APQP phases.","author":[{"dropping-particle":"","family":"Rudolf","given":"","non-dropping-particle":"","parse-names":false,"suffix":""},{"dropping-particle":"","family":"Roszak","given":"M. T.","non-dropping-particle":"","parse-names":false,"suffix":""}],"container-title":"Archives of Materials Science and Engineering","id":"ITEM-1","issue":"2","issued":{"date-parts":[["2022"]]},"page":"67-74","title":"Tools of product quality planning in the production part approval process","type":"article-journal","volume":"118"},"uris":["http://www.mendeley.com/documents/?uuid=7c76bc1c-c004-41be-9629-ab3bca7b598d"]}],"mendeley":{"formattedCitation":"(Rudolf and Roszak, 2022)","plainTextFormattedCitation":"(Rudolf and Roszak, 2022)","previouslyFormattedCitation":"(Rudolf and Roszak, 2022)"},"properties":{"noteIndex":0},"schema":"https://github.com/citation-style-language/schema/raw/master/csl-citation.json"}</w:instrText>
      </w:r>
      <w:r w:rsidR="00625492">
        <w:fldChar w:fldCharType="separate"/>
      </w:r>
      <w:r w:rsidR="00625492" w:rsidRPr="00625492">
        <w:rPr>
          <w:noProof/>
        </w:rPr>
        <w:t>(Rudolf and Roszak, 2022)</w:t>
      </w:r>
      <w:r w:rsidR="00625492">
        <w:fldChar w:fldCharType="end"/>
      </w:r>
      <w:r w:rsidR="00625492">
        <w:t>.</w:t>
      </w:r>
      <w:r w:rsidR="00193603">
        <w:t xml:space="preserve"> As a minimum, the </w:t>
      </w:r>
      <w:r w:rsidR="00582029">
        <w:t>F</w:t>
      </w:r>
      <w:r w:rsidR="00193603">
        <w:t>orm requires that the pack comprises the following elements:</w:t>
      </w:r>
    </w:p>
    <w:p w14:paraId="16E563D7" w14:textId="06302703" w:rsidR="00193603" w:rsidRPr="00312CF7" w:rsidRDefault="00193603" w:rsidP="007A5DF3">
      <w:pPr>
        <w:pStyle w:val="ListParagraph"/>
        <w:numPr>
          <w:ilvl w:val="0"/>
          <w:numId w:val="8"/>
        </w:numPr>
        <w:jc w:val="both"/>
      </w:pPr>
      <w:r w:rsidRPr="00193603">
        <w:rPr>
          <w:b/>
        </w:rPr>
        <w:t>Design Records</w:t>
      </w:r>
      <w:r w:rsidR="00312CF7">
        <w:rPr>
          <w:b/>
        </w:rPr>
        <w:t xml:space="preserve"> – </w:t>
      </w:r>
      <w:r w:rsidR="00312CF7" w:rsidRPr="00312CF7">
        <w:t>document the initial concept design of the product and capture the requirements from the customer for product performance and Critical Items (CI).</w:t>
      </w:r>
    </w:p>
    <w:p w14:paraId="7933EAAC" w14:textId="77777777" w:rsidR="00193603" w:rsidRPr="00193603" w:rsidRDefault="00193603" w:rsidP="00C5757C">
      <w:pPr>
        <w:pStyle w:val="ListParagraph"/>
        <w:jc w:val="both"/>
        <w:rPr>
          <w:b/>
        </w:rPr>
      </w:pPr>
    </w:p>
    <w:p w14:paraId="57BEB1D5" w14:textId="1C9166F1" w:rsidR="00193603" w:rsidRPr="00193603" w:rsidRDefault="00193603" w:rsidP="007A5DF3">
      <w:pPr>
        <w:pStyle w:val="ListParagraph"/>
        <w:numPr>
          <w:ilvl w:val="0"/>
          <w:numId w:val="8"/>
        </w:numPr>
        <w:jc w:val="both"/>
        <w:rPr>
          <w:b/>
        </w:rPr>
      </w:pPr>
      <w:r w:rsidRPr="00193603">
        <w:rPr>
          <w:b/>
        </w:rPr>
        <w:t>Design Risk Analysis (</w:t>
      </w:r>
      <w:r w:rsidR="00641648">
        <w:rPr>
          <w:b/>
        </w:rPr>
        <w:t xml:space="preserve">including </w:t>
      </w:r>
      <w:r w:rsidRPr="00193603">
        <w:rPr>
          <w:b/>
        </w:rPr>
        <w:t>DFMEA)</w:t>
      </w:r>
      <w:r w:rsidR="00312CF7">
        <w:rPr>
          <w:b/>
        </w:rPr>
        <w:t xml:space="preserve"> – </w:t>
      </w:r>
      <w:r w:rsidR="00312CF7" w:rsidRPr="00312CF7">
        <w:t>assesses any potential risks to the successful completion of the project from a design perspective, identifying any high-risk items requiring further control.</w:t>
      </w:r>
    </w:p>
    <w:p w14:paraId="49B92134" w14:textId="77777777" w:rsidR="00193603" w:rsidRPr="00193603" w:rsidRDefault="00193603" w:rsidP="00C5757C">
      <w:pPr>
        <w:pStyle w:val="ListParagraph"/>
        <w:jc w:val="both"/>
        <w:rPr>
          <w:b/>
        </w:rPr>
      </w:pPr>
    </w:p>
    <w:p w14:paraId="5E3BA626" w14:textId="77777777" w:rsidR="00193603" w:rsidRPr="00193603" w:rsidRDefault="00193603" w:rsidP="007A5DF3">
      <w:pPr>
        <w:pStyle w:val="ListParagraph"/>
        <w:numPr>
          <w:ilvl w:val="0"/>
          <w:numId w:val="8"/>
        </w:numPr>
        <w:jc w:val="both"/>
        <w:rPr>
          <w:b/>
        </w:rPr>
      </w:pPr>
      <w:r w:rsidRPr="00193603">
        <w:rPr>
          <w:b/>
        </w:rPr>
        <w:t>Process Flow Diagram</w:t>
      </w:r>
      <w:r>
        <w:rPr>
          <w:b/>
        </w:rPr>
        <w:t xml:space="preserve"> </w:t>
      </w:r>
      <w:r w:rsidRPr="00193603">
        <w:t>– clearly displays the manufacturing process for the product, including the</w:t>
      </w:r>
      <w:r w:rsidR="00312CF7">
        <w:t xml:space="preserve"> operations in sequential order. This includes any planned inspection stages.</w:t>
      </w:r>
    </w:p>
    <w:p w14:paraId="3161ECFA" w14:textId="77777777" w:rsidR="00193603" w:rsidRPr="00193603" w:rsidRDefault="00193603" w:rsidP="00C5757C">
      <w:pPr>
        <w:pStyle w:val="ListParagraph"/>
        <w:jc w:val="both"/>
        <w:rPr>
          <w:b/>
        </w:rPr>
      </w:pPr>
    </w:p>
    <w:p w14:paraId="14CCFF40" w14:textId="77777777" w:rsidR="00193603" w:rsidRPr="00193603" w:rsidRDefault="00193603" w:rsidP="007A5DF3">
      <w:pPr>
        <w:pStyle w:val="ListParagraph"/>
        <w:numPr>
          <w:ilvl w:val="0"/>
          <w:numId w:val="8"/>
        </w:numPr>
        <w:jc w:val="both"/>
        <w:rPr>
          <w:b/>
        </w:rPr>
      </w:pPr>
      <w:r w:rsidRPr="00193603">
        <w:rPr>
          <w:b/>
        </w:rPr>
        <w:t>Process PFMEA</w:t>
      </w:r>
      <w:r w:rsidR="00312CF7">
        <w:rPr>
          <w:b/>
        </w:rPr>
        <w:t xml:space="preserve"> </w:t>
      </w:r>
      <w:r w:rsidR="00312CF7" w:rsidRPr="00DB4DA0">
        <w:t xml:space="preserve">– </w:t>
      </w:r>
      <w:r w:rsidR="00312CF7" w:rsidRPr="00312CF7">
        <w:t>utilises the output of the DFMEA as the input to the risk analysis for the effect the process has on containing the high-risk items to restrict the variation within the design to acceptable limits.</w:t>
      </w:r>
    </w:p>
    <w:p w14:paraId="1768F838" w14:textId="77777777" w:rsidR="00193603" w:rsidRPr="00193603" w:rsidRDefault="00193603" w:rsidP="00C5757C">
      <w:pPr>
        <w:pStyle w:val="ListParagraph"/>
        <w:jc w:val="both"/>
        <w:rPr>
          <w:b/>
        </w:rPr>
      </w:pPr>
    </w:p>
    <w:p w14:paraId="31073823" w14:textId="77777777" w:rsidR="00193603" w:rsidRPr="00312CF7" w:rsidRDefault="00193603" w:rsidP="007A5DF3">
      <w:pPr>
        <w:pStyle w:val="ListParagraph"/>
        <w:numPr>
          <w:ilvl w:val="0"/>
          <w:numId w:val="8"/>
        </w:numPr>
        <w:jc w:val="both"/>
      </w:pPr>
      <w:r w:rsidRPr="00193603">
        <w:rPr>
          <w:b/>
        </w:rPr>
        <w:t>Control Plan</w:t>
      </w:r>
      <w:r w:rsidR="00312CF7" w:rsidRPr="00DB4DA0">
        <w:t xml:space="preserve"> –</w:t>
      </w:r>
      <w:r w:rsidR="00312CF7">
        <w:rPr>
          <w:b/>
        </w:rPr>
        <w:t xml:space="preserve"> </w:t>
      </w:r>
      <w:r w:rsidR="00312CF7" w:rsidRPr="00312CF7">
        <w:t>contains the requirements for measuring the KC’s, including the reaction plan to contain and correct any instances where the KC is outside of the required limits.</w:t>
      </w:r>
    </w:p>
    <w:p w14:paraId="7D016E9A" w14:textId="77777777" w:rsidR="00193603" w:rsidRPr="00193603" w:rsidRDefault="00193603" w:rsidP="00C5757C">
      <w:pPr>
        <w:pStyle w:val="ListParagraph"/>
        <w:jc w:val="both"/>
        <w:rPr>
          <w:b/>
        </w:rPr>
      </w:pPr>
    </w:p>
    <w:p w14:paraId="3AFD0C9F" w14:textId="77777777" w:rsidR="00193603" w:rsidRPr="00193603" w:rsidRDefault="00193603" w:rsidP="007A5DF3">
      <w:pPr>
        <w:pStyle w:val="ListParagraph"/>
        <w:numPr>
          <w:ilvl w:val="0"/>
          <w:numId w:val="8"/>
        </w:numPr>
        <w:jc w:val="both"/>
        <w:rPr>
          <w:b/>
        </w:rPr>
      </w:pPr>
      <w:r w:rsidRPr="00193603">
        <w:rPr>
          <w:b/>
        </w:rPr>
        <w:t>Measurement Systems Analysis</w:t>
      </w:r>
      <w:r w:rsidR="00312CF7">
        <w:rPr>
          <w:b/>
        </w:rPr>
        <w:t xml:space="preserve"> </w:t>
      </w:r>
      <w:r w:rsidR="00312CF7" w:rsidRPr="00DB4DA0">
        <w:t>–</w:t>
      </w:r>
      <w:r w:rsidR="00312CF7">
        <w:rPr>
          <w:b/>
        </w:rPr>
        <w:t xml:space="preserve"> </w:t>
      </w:r>
      <w:r w:rsidR="00312CF7" w:rsidRPr="00DB4DA0">
        <w:t xml:space="preserve">identifies the variation in the results obtained through </w:t>
      </w:r>
      <w:r w:rsidR="00DB4DA0" w:rsidRPr="00DB4DA0">
        <w:t xml:space="preserve">KC </w:t>
      </w:r>
      <w:r w:rsidR="00312CF7" w:rsidRPr="00DB4DA0">
        <w:t xml:space="preserve">measurement that are directly caused by the method, tooling and personnel </w:t>
      </w:r>
      <w:r w:rsidR="00DB4DA0" w:rsidRPr="00DB4DA0">
        <w:t>used to take the measurement. This approach allows an organisation to identify the most accurate measurement setup to use.</w:t>
      </w:r>
    </w:p>
    <w:p w14:paraId="18DA0136" w14:textId="77777777" w:rsidR="00193603" w:rsidRPr="00193603" w:rsidRDefault="00193603" w:rsidP="00C5757C">
      <w:pPr>
        <w:pStyle w:val="ListParagraph"/>
        <w:jc w:val="both"/>
        <w:rPr>
          <w:b/>
        </w:rPr>
      </w:pPr>
    </w:p>
    <w:p w14:paraId="7E6D3919" w14:textId="77777777" w:rsidR="00193603" w:rsidRPr="00DB4DA0" w:rsidRDefault="00193603" w:rsidP="007A5DF3">
      <w:pPr>
        <w:pStyle w:val="ListParagraph"/>
        <w:numPr>
          <w:ilvl w:val="0"/>
          <w:numId w:val="8"/>
        </w:numPr>
        <w:jc w:val="both"/>
      </w:pPr>
      <w:r w:rsidRPr="00193603">
        <w:rPr>
          <w:b/>
        </w:rPr>
        <w:t>Initial Process Studies</w:t>
      </w:r>
      <w:r w:rsidR="00DB4DA0">
        <w:rPr>
          <w:b/>
        </w:rPr>
        <w:t xml:space="preserve"> </w:t>
      </w:r>
      <w:r w:rsidR="00DB4DA0" w:rsidRPr="00DB4DA0">
        <w:t>–</w:t>
      </w:r>
      <w:r w:rsidR="00DB4DA0">
        <w:rPr>
          <w:b/>
        </w:rPr>
        <w:t xml:space="preserve"> </w:t>
      </w:r>
      <w:r w:rsidR="00DB4DA0" w:rsidRPr="00DB4DA0">
        <w:t>documents the results of the KC measurements taken on an initial production run. Parts measured must be fully representative of the actual part, including material, process and dimensions</w:t>
      </w:r>
      <w:r w:rsidR="000A5700">
        <w:t xml:space="preserve"> to prove the product prior to serial production.</w:t>
      </w:r>
    </w:p>
    <w:p w14:paraId="3F347509" w14:textId="77777777" w:rsidR="00193603" w:rsidRPr="00193603" w:rsidRDefault="00193603" w:rsidP="00C5757C">
      <w:pPr>
        <w:pStyle w:val="ListParagraph"/>
        <w:jc w:val="both"/>
        <w:rPr>
          <w:b/>
        </w:rPr>
      </w:pPr>
    </w:p>
    <w:p w14:paraId="5A7AA4F9" w14:textId="77777777" w:rsidR="00193603" w:rsidRPr="00193603" w:rsidRDefault="00193603" w:rsidP="007A5DF3">
      <w:pPr>
        <w:pStyle w:val="ListParagraph"/>
        <w:numPr>
          <w:ilvl w:val="0"/>
          <w:numId w:val="8"/>
        </w:numPr>
        <w:jc w:val="both"/>
        <w:rPr>
          <w:b/>
        </w:rPr>
      </w:pPr>
      <w:r w:rsidRPr="00193603">
        <w:rPr>
          <w:b/>
        </w:rPr>
        <w:t>Packaging, Preservation and Labelling Approvals</w:t>
      </w:r>
      <w:r w:rsidR="00DB4DA0">
        <w:rPr>
          <w:b/>
        </w:rPr>
        <w:t xml:space="preserve"> </w:t>
      </w:r>
      <w:r w:rsidR="00DB4DA0" w:rsidRPr="000A5700">
        <w:t>–</w:t>
      </w:r>
      <w:r w:rsidR="00DB4DA0">
        <w:rPr>
          <w:b/>
        </w:rPr>
        <w:t xml:space="preserve"> </w:t>
      </w:r>
      <w:r w:rsidR="00DB4DA0" w:rsidRPr="000A5700">
        <w:t xml:space="preserve">provides details of the methods and materials for shipping of a completed product to ensure that the product arrives at the </w:t>
      </w:r>
      <w:r w:rsidR="000A5700" w:rsidRPr="000A5700">
        <w:t>customers’</w:t>
      </w:r>
      <w:r w:rsidR="00DB4DA0" w:rsidRPr="000A5700">
        <w:t xml:space="preserve"> facility in good condition, without any defects directly caused </w:t>
      </w:r>
      <w:r w:rsidR="00B05567" w:rsidRPr="000A5700">
        <w:t>by the</w:t>
      </w:r>
      <w:r w:rsidR="000A5700" w:rsidRPr="000A5700">
        <w:t xml:space="preserve"> shipping activity.</w:t>
      </w:r>
    </w:p>
    <w:p w14:paraId="2E17C1F8" w14:textId="77777777" w:rsidR="00193603" w:rsidRPr="00193603" w:rsidRDefault="00193603" w:rsidP="00C5757C">
      <w:pPr>
        <w:pStyle w:val="ListParagraph"/>
        <w:jc w:val="both"/>
        <w:rPr>
          <w:b/>
        </w:rPr>
      </w:pPr>
    </w:p>
    <w:p w14:paraId="607914F1" w14:textId="77777777" w:rsidR="00193603" w:rsidRPr="00193603" w:rsidRDefault="00193603" w:rsidP="007A5DF3">
      <w:pPr>
        <w:pStyle w:val="ListParagraph"/>
        <w:numPr>
          <w:ilvl w:val="0"/>
          <w:numId w:val="8"/>
        </w:numPr>
        <w:jc w:val="both"/>
        <w:rPr>
          <w:b/>
        </w:rPr>
      </w:pPr>
      <w:r w:rsidRPr="00193603">
        <w:rPr>
          <w:b/>
        </w:rPr>
        <w:t>First Article Inspection Report</w:t>
      </w:r>
      <w:r w:rsidR="000A5700">
        <w:rPr>
          <w:b/>
        </w:rPr>
        <w:t xml:space="preserve"> </w:t>
      </w:r>
      <w:r w:rsidR="00C5757C" w:rsidRPr="00C5757C">
        <w:t>–</w:t>
      </w:r>
      <w:r w:rsidR="000A5700" w:rsidRPr="00C5757C">
        <w:t xml:space="preserve"> </w:t>
      </w:r>
      <w:r w:rsidR="00C5757C" w:rsidRPr="00C5757C">
        <w:t>evidences parts conformity to drawing.</w:t>
      </w:r>
    </w:p>
    <w:p w14:paraId="20255731" w14:textId="77777777" w:rsidR="00193603" w:rsidRPr="00193603" w:rsidRDefault="00193603" w:rsidP="00C5757C">
      <w:pPr>
        <w:pStyle w:val="ListParagraph"/>
        <w:jc w:val="both"/>
        <w:rPr>
          <w:b/>
        </w:rPr>
      </w:pPr>
    </w:p>
    <w:p w14:paraId="538EAD05" w14:textId="005544C2" w:rsidR="00193603" w:rsidRPr="001A2808" w:rsidRDefault="00193603" w:rsidP="007A5DF3">
      <w:pPr>
        <w:pStyle w:val="ListParagraph"/>
        <w:numPr>
          <w:ilvl w:val="0"/>
          <w:numId w:val="8"/>
        </w:numPr>
        <w:jc w:val="both"/>
        <w:rPr>
          <w:b/>
        </w:rPr>
      </w:pPr>
      <w:r w:rsidRPr="00193603">
        <w:rPr>
          <w:b/>
        </w:rPr>
        <w:lastRenderedPageBreak/>
        <w:t>Customer Specific PPAP Requirements</w:t>
      </w:r>
      <w:r w:rsidR="00C5757C">
        <w:rPr>
          <w:b/>
        </w:rPr>
        <w:t xml:space="preserve"> </w:t>
      </w:r>
      <w:r w:rsidR="00C5757C" w:rsidRPr="00C5757C">
        <w:t>– allow the customer to specify any additional evidence they require to provide them with confidence that the product is conforming. Therefore, it is important at the beginning of the project to establish the Customer Specific PPAP Requirements to ensure that the final pack contains all the requested evidence.</w:t>
      </w:r>
    </w:p>
    <w:p w14:paraId="239077D4" w14:textId="77777777" w:rsidR="001A2808" w:rsidRPr="001A2808" w:rsidRDefault="001A2808" w:rsidP="001A2808">
      <w:pPr>
        <w:jc w:val="both"/>
        <w:rPr>
          <w:b/>
        </w:rPr>
      </w:pPr>
    </w:p>
    <w:p w14:paraId="7851BFC7" w14:textId="77777777" w:rsidR="00062700" w:rsidRDefault="00062700" w:rsidP="007A5DF3">
      <w:pPr>
        <w:pStyle w:val="Heading2"/>
        <w:numPr>
          <w:ilvl w:val="1"/>
          <w:numId w:val="6"/>
        </w:numPr>
        <w:ind w:left="993" w:hanging="426"/>
      </w:pPr>
      <w:bookmarkStart w:id="28" w:name="_Toc137807594"/>
      <w:r>
        <w:t>Benefits/Limitations of APQP</w:t>
      </w:r>
      <w:bookmarkEnd w:id="28"/>
    </w:p>
    <w:p w14:paraId="7337253C" w14:textId="77777777" w:rsidR="004D4193" w:rsidRDefault="004D4193" w:rsidP="004D4193"/>
    <w:p w14:paraId="259C5706" w14:textId="77777777" w:rsidR="004D4193" w:rsidRDefault="004D4193" w:rsidP="007A5DF3">
      <w:pPr>
        <w:pStyle w:val="Heading3"/>
        <w:numPr>
          <w:ilvl w:val="2"/>
          <w:numId w:val="6"/>
        </w:numPr>
        <w:ind w:left="1276" w:hanging="567"/>
      </w:pPr>
      <w:bookmarkStart w:id="29" w:name="_Toc137807595"/>
      <w:r>
        <w:t>Benefits</w:t>
      </w:r>
      <w:bookmarkEnd w:id="29"/>
    </w:p>
    <w:p w14:paraId="79C34E21" w14:textId="77777777" w:rsidR="004D4193" w:rsidRDefault="004D4193" w:rsidP="004D4193"/>
    <w:p w14:paraId="5FBE040B" w14:textId="40D43EB4" w:rsidR="00B15F2E" w:rsidRDefault="002F3805" w:rsidP="007A5DF3">
      <w:pPr>
        <w:pStyle w:val="ListParagraph"/>
        <w:numPr>
          <w:ilvl w:val="0"/>
          <w:numId w:val="13"/>
        </w:numPr>
        <w:jc w:val="both"/>
      </w:pPr>
      <w:r w:rsidRPr="00B15F2E">
        <w:rPr>
          <w:b/>
          <w:bCs/>
        </w:rPr>
        <w:t>Increase in customer engagement</w:t>
      </w:r>
      <w:r>
        <w:t xml:space="preserve">: </w:t>
      </w:r>
      <w:r w:rsidR="004D4193">
        <w:t>APQP’s primary goal is to put the customer and their requirements at the centre of the development of a new product</w:t>
      </w:r>
      <w:r w:rsidR="008D0402">
        <w:t xml:space="preserve"> </w:t>
      </w:r>
      <w:r w:rsidR="008D0402">
        <w:fldChar w:fldCharType="begin" w:fldLock="1"/>
      </w:r>
      <w:r w:rsidR="00876241">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8D0402">
        <w:fldChar w:fldCharType="separate"/>
      </w:r>
      <w:r w:rsidR="008D0402" w:rsidRPr="008D0402">
        <w:rPr>
          <w:noProof/>
        </w:rPr>
        <w:t>(Titu and Cupsan, 2019)</w:t>
      </w:r>
      <w:r w:rsidR="008D0402">
        <w:fldChar w:fldCharType="end"/>
      </w:r>
      <w:r w:rsidR="008D0402">
        <w:t>.</w:t>
      </w:r>
      <w:r w:rsidR="003B3A3C">
        <w:t xml:space="preserve"> </w:t>
      </w:r>
      <w:r w:rsidR="00C03C6B">
        <w:t>This</w:t>
      </w:r>
      <w:r w:rsidR="004D4193">
        <w:t xml:space="preserve"> not only ensures a higher customer satisfaction with the completed product, but also increases brand loyalty by </w:t>
      </w:r>
      <w:r w:rsidR="00197D5D">
        <w:t xml:space="preserve">introducing enhanced collaborative design processes. By </w:t>
      </w:r>
      <w:r w:rsidR="0026309F">
        <w:t>being included</w:t>
      </w:r>
      <w:r w:rsidR="006D4A35">
        <w:t xml:space="preserve"> </w:t>
      </w:r>
      <w:r w:rsidR="00197D5D">
        <w:t>in</w:t>
      </w:r>
      <w:r w:rsidR="00B624CB">
        <w:t xml:space="preserve"> the</w:t>
      </w:r>
      <w:r w:rsidR="00197D5D">
        <w:t xml:space="preserve"> internal processes, </w:t>
      </w:r>
      <w:r w:rsidR="0026309F">
        <w:t xml:space="preserve">customers </w:t>
      </w:r>
      <w:r w:rsidR="00197D5D">
        <w:t>become more involved</w:t>
      </w:r>
      <w:r w:rsidR="00B15F2E">
        <w:t xml:space="preserve"> and engaged</w:t>
      </w:r>
      <w:r w:rsidR="00197D5D">
        <w:t xml:space="preserve"> with the development and more familiar with the company and the specific </w:t>
      </w:r>
      <w:r w:rsidR="00B624CB">
        <w:t xml:space="preserve">project </w:t>
      </w:r>
      <w:r w:rsidR="00197D5D">
        <w:t xml:space="preserve">team members. </w:t>
      </w:r>
    </w:p>
    <w:p w14:paraId="5BDB2481" w14:textId="77777777" w:rsidR="00225674" w:rsidRDefault="00225674" w:rsidP="00B15F2E">
      <w:pPr>
        <w:pStyle w:val="ListParagraph"/>
        <w:jc w:val="both"/>
      </w:pPr>
    </w:p>
    <w:p w14:paraId="799B7FDD" w14:textId="4492CD6E" w:rsidR="00225674" w:rsidRDefault="002F3805" w:rsidP="007A5DF3">
      <w:pPr>
        <w:pStyle w:val="ListParagraph"/>
        <w:numPr>
          <w:ilvl w:val="0"/>
          <w:numId w:val="13"/>
        </w:numPr>
        <w:jc w:val="both"/>
      </w:pPr>
      <w:r w:rsidRPr="007D138C">
        <w:rPr>
          <w:b/>
          <w:bCs/>
        </w:rPr>
        <w:t>Reduction in process variation</w:t>
      </w:r>
      <w:r>
        <w:t>: t</w:t>
      </w:r>
      <w:r w:rsidR="0047747D">
        <w:t>he product also benefits from the reduction of process variation, leading to a repeatable output from the production process throughout the life of the project</w:t>
      </w:r>
      <w:r>
        <w:t>, further</w:t>
      </w:r>
      <w:r w:rsidR="0047747D">
        <w:t xml:space="preserve"> </w:t>
      </w:r>
      <w:r>
        <w:t xml:space="preserve">leading to </w:t>
      </w:r>
      <w:r w:rsidR="0047747D">
        <w:t>increas</w:t>
      </w:r>
      <w:r>
        <w:t>ed</w:t>
      </w:r>
      <w:r w:rsidR="0047747D">
        <w:t xml:space="preserve"> customer satisfaction</w:t>
      </w:r>
      <w:r>
        <w:t xml:space="preserve">. </w:t>
      </w:r>
    </w:p>
    <w:p w14:paraId="158477F7" w14:textId="77777777" w:rsidR="00225674" w:rsidRDefault="00225674" w:rsidP="00842D7D">
      <w:pPr>
        <w:pStyle w:val="ListParagraph"/>
        <w:jc w:val="both"/>
      </w:pPr>
    </w:p>
    <w:p w14:paraId="029B1807" w14:textId="270C16DB" w:rsidR="00225674" w:rsidRDefault="002F3805" w:rsidP="007A5DF3">
      <w:pPr>
        <w:pStyle w:val="ListParagraph"/>
        <w:numPr>
          <w:ilvl w:val="0"/>
          <w:numId w:val="13"/>
        </w:numPr>
        <w:jc w:val="both"/>
      </w:pPr>
      <w:r w:rsidRPr="007D138C">
        <w:rPr>
          <w:b/>
        </w:rPr>
        <w:t>Improved capacity planning</w:t>
      </w:r>
      <w:r>
        <w:t xml:space="preserve">: </w:t>
      </w:r>
      <w:r w:rsidR="0047747D">
        <w:t xml:space="preserve">the company </w:t>
      </w:r>
      <w:r>
        <w:t xml:space="preserve">learns how </w:t>
      </w:r>
      <w:r w:rsidR="0047747D">
        <w:t>to better manage its capacity planning for other projects, as time does not have to be allocated for rework activities.</w:t>
      </w:r>
      <w:r w:rsidR="00F25D9C">
        <w:t xml:space="preserve"> </w:t>
      </w:r>
    </w:p>
    <w:p w14:paraId="494D8B2F" w14:textId="77777777" w:rsidR="00225674" w:rsidRDefault="00225674" w:rsidP="00842D7D">
      <w:pPr>
        <w:pStyle w:val="ListParagraph"/>
        <w:jc w:val="both"/>
      </w:pPr>
    </w:p>
    <w:p w14:paraId="311ACB1E" w14:textId="67847B1E" w:rsidR="00225674" w:rsidRDefault="002F3805" w:rsidP="007A5DF3">
      <w:pPr>
        <w:pStyle w:val="ListParagraph"/>
        <w:numPr>
          <w:ilvl w:val="0"/>
          <w:numId w:val="13"/>
        </w:numPr>
        <w:jc w:val="both"/>
      </w:pPr>
      <w:r w:rsidRPr="007D138C">
        <w:rPr>
          <w:b/>
          <w:bCs/>
        </w:rPr>
        <w:t>Accumulation of knowledge</w:t>
      </w:r>
      <w:r w:rsidR="00B959A6" w:rsidRPr="007D138C">
        <w:rPr>
          <w:b/>
          <w:bCs/>
        </w:rPr>
        <w:t xml:space="preserve"> </w:t>
      </w:r>
      <w:r w:rsidR="005012D0" w:rsidRPr="007D138C">
        <w:rPr>
          <w:b/>
          <w:bCs/>
        </w:rPr>
        <w:t>within the c</w:t>
      </w:r>
      <w:r w:rsidR="009877DD" w:rsidRPr="007D138C">
        <w:rPr>
          <w:b/>
          <w:bCs/>
        </w:rPr>
        <w:t>o</w:t>
      </w:r>
      <w:r w:rsidR="005012D0" w:rsidRPr="007D138C">
        <w:rPr>
          <w:b/>
          <w:bCs/>
        </w:rPr>
        <w:t>mpany</w:t>
      </w:r>
      <w:r>
        <w:t>: t</w:t>
      </w:r>
      <w:r w:rsidR="00F25D9C">
        <w:t>he product also benefits from the collective experience of previous projects in the form of Lessons Learnt, documenting previous issues and solutions that previous projects have experienced.</w:t>
      </w:r>
    </w:p>
    <w:p w14:paraId="08167650" w14:textId="77777777" w:rsidR="00225674" w:rsidRDefault="00225674" w:rsidP="00842D7D">
      <w:pPr>
        <w:pStyle w:val="ListParagraph"/>
        <w:jc w:val="both"/>
      </w:pPr>
    </w:p>
    <w:p w14:paraId="11D186DC" w14:textId="34C1ACCA" w:rsidR="003F469C" w:rsidRDefault="002F3805" w:rsidP="007A5DF3">
      <w:pPr>
        <w:pStyle w:val="ListParagraph"/>
        <w:numPr>
          <w:ilvl w:val="0"/>
          <w:numId w:val="13"/>
        </w:numPr>
        <w:jc w:val="both"/>
      </w:pPr>
      <w:r w:rsidRPr="007D138C">
        <w:rPr>
          <w:b/>
          <w:bCs/>
        </w:rPr>
        <w:t>Shortening of overall project length</w:t>
      </w:r>
      <w:r>
        <w:t xml:space="preserve">: </w:t>
      </w:r>
      <w:r w:rsidR="003F469C">
        <w:t>the phase</w:t>
      </w:r>
      <w:r>
        <w:t>s</w:t>
      </w:r>
      <w:r w:rsidR="003F469C">
        <w:t xml:space="preserve"> of an APQP project can overlap, allowing some of the</w:t>
      </w:r>
      <w:r>
        <w:t>m</w:t>
      </w:r>
      <w:r w:rsidR="003F469C">
        <w:t xml:space="preserve"> to take place concurrently rather than sequentially. This approach shortens the overall length of the project from the initial conception to the completion of the final product. The overlap of the phases </w:t>
      </w:r>
      <w:r w:rsidR="006F1F5F">
        <w:t xml:space="preserve">is </w:t>
      </w:r>
      <w:r w:rsidR="003F469C">
        <w:t xml:space="preserve">shown in </w:t>
      </w:r>
      <w:r w:rsidR="003F469C" w:rsidRPr="00D8478A">
        <w:fldChar w:fldCharType="begin"/>
      </w:r>
      <w:r w:rsidR="003F469C" w:rsidRPr="00D8478A">
        <w:instrText xml:space="preserve"> REF _Ref133585440 \h </w:instrText>
      </w:r>
      <w:r w:rsidR="003B3A3C" w:rsidRPr="00D8478A">
        <w:instrText xml:space="preserve"> \* MERGEFORMAT </w:instrText>
      </w:r>
      <w:r w:rsidR="003F469C" w:rsidRPr="00D8478A">
        <w:fldChar w:fldCharType="separate"/>
      </w:r>
      <w:r w:rsidR="008C301E" w:rsidRPr="008C301E">
        <w:t xml:space="preserve">Figure </w:t>
      </w:r>
      <w:r w:rsidR="008C301E" w:rsidRPr="008C301E">
        <w:rPr>
          <w:noProof/>
        </w:rPr>
        <w:t>10</w:t>
      </w:r>
      <w:r w:rsidR="003F469C" w:rsidRPr="00D8478A">
        <w:fldChar w:fldCharType="end"/>
      </w:r>
      <w:r w:rsidR="00DC59C7" w:rsidRPr="00D8478A">
        <w:t>.</w:t>
      </w:r>
      <w:r w:rsidR="003F469C" w:rsidRPr="00D8478A">
        <w:t xml:space="preserve"> </w:t>
      </w:r>
      <w:r>
        <w:t xml:space="preserve"> </w:t>
      </w:r>
      <w:r w:rsidR="003F469C">
        <w:t xml:space="preserve">By overlapping the phases, </w:t>
      </w:r>
      <w:r>
        <w:t>APQP</w:t>
      </w:r>
      <w:r w:rsidR="003F469C">
        <w:t xml:space="preserve"> allows validation of the deliverables and feedback of issues into the previous phase, whilst the activities of that phase are still ongoing. This approach maximises the performance of the team by utilising t</w:t>
      </w:r>
      <w:r w:rsidR="003B3A3C">
        <w:t>he feedback whilst the resources are still allocated to the activity.</w:t>
      </w:r>
      <w:r w:rsidR="003F469C">
        <w:t xml:space="preserve"> </w:t>
      </w:r>
    </w:p>
    <w:p w14:paraId="2E2F55A7" w14:textId="77777777" w:rsidR="004D4193" w:rsidRPr="004D4193" w:rsidRDefault="004D4193" w:rsidP="004D4193">
      <w:pPr>
        <w:pStyle w:val="ListParagraph"/>
        <w:ind w:left="284"/>
      </w:pPr>
    </w:p>
    <w:p w14:paraId="68F5B631" w14:textId="77777777" w:rsidR="003F469C" w:rsidRDefault="003F469C" w:rsidP="003F469C">
      <w:pPr>
        <w:keepNext/>
        <w:jc w:val="center"/>
      </w:pPr>
      <w:r w:rsidRPr="00946798">
        <w:rPr>
          <w:noProof/>
          <w:lang w:eastAsia="en-GB"/>
        </w:rPr>
        <w:lastRenderedPageBreak/>
        <w:drawing>
          <wp:inline distT="0" distB="0" distL="0" distR="0" wp14:anchorId="6F211185" wp14:editId="62AA0EDB">
            <wp:extent cx="4000500" cy="2681339"/>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11614" cy="2688788"/>
                    </a:xfrm>
                    <a:prstGeom prst="rect">
                      <a:avLst/>
                    </a:prstGeom>
                  </pic:spPr>
                </pic:pic>
              </a:graphicData>
            </a:graphic>
          </wp:inline>
        </w:drawing>
      </w:r>
    </w:p>
    <w:p w14:paraId="355B5D6D" w14:textId="5545A84E" w:rsidR="003F469C" w:rsidRDefault="003F469C" w:rsidP="003F469C">
      <w:pPr>
        <w:pStyle w:val="Caption"/>
        <w:jc w:val="center"/>
      </w:pPr>
      <w:bookmarkStart w:id="30" w:name="_Ref133585440"/>
      <w:bookmarkStart w:id="31" w:name="_Ref133585434"/>
      <w:bookmarkStart w:id="32" w:name="_Toc137807636"/>
      <w:r w:rsidRPr="00946798">
        <w:rPr>
          <w:b/>
        </w:rPr>
        <w:t xml:space="preserve">Figure </w:t>
      </w:r>
      <w:r w:rsidRPr="00946798">
        <w:rPr>
          <w:b/>
        </w:rPr>
        <w:fldChar w:fldCharType="begin"/>
      </w:r>
      <w:r w:rsidRPr="00946798">
        <w:rPr>
          <w:b/>
        </w:rPr>
        <w:instrText xml:space="preserve"> SEQ Figure \* ARABIC </w:instrText>
      </w:r>
      <w:r w:rsidRPr="00946798">
        <w:rPr>
          <w:b/>
        </w:rPr>
        <w:fldChar w:fldCharType="separate"/>
      </w:r>
      <w:r w:rsidR="008C301E">
        <w:rPr>
          <w:b/>
          <w:noProof/>
        </w:rPr>
        <w:t>10</w:t>
      </w:r>
      <w:r w:rsidRPr="00946798">
        <w:rPr>
          <w:b/>
        </w:rPr>
        <w:fldChar w:fldCharType="end"/>
      </w:r>
      <w:bookmarkEnd w:id="30"/>
      <w:r w:rsidRPr="00946798">
        <w:rPr>
          <w:b/>
        </w:rPr>
        <w:t>: APQP Phases</w:t>
      </w:r>
      <w:r>
        <w:t xml:space="preserve"> and timing of phases within an APQP project</w:t>
      </w:r>
      <w:bookmarkEnd w:id="31"/>
      <w:r w:rsidR="00876241">
        <w:t xml:space="preserve">. Diagram from </w:t>
      </w:r>
      <w:r w:rsidR="00876241">
        <w:fldChar w:fldCharType="begin" w:fldLock="1"/>
      </w:r>
      <w:r w:rsidR="00DC59C7">
        <w:instrText>ADDIN CSL_CITATION {"citationItems":[{"id":"ITEM-1","itemData":{"DOI":"10.1515/aucts-2015-0004","abstract":"Knowledge is an essential part of organizational competitiveness. This vital resource must be managed correctly within organizations in order to achieve desired performance levels within all undertakings. The process of managing knowledge is a very difficult one due to the illusive nature of the resource itself. Knowledge is stored within every aspect of an organization starting from people and ending with documents and processes. The Knowledge Management Platform is designed as a facilitator for managers and employees in all endeavours knowledge related within the Advanced Product Quality Planning Procedure","author":[{"dropping-particle":"","family":"Chiliban","given":"Bogdan","non-dropping-particle":"","parse-names":false,"suffix":""},{"dropping-particle":"","family":"Baral","given":"Lal Mohan","non-dropping-particle":"","parse-names":false,"suffix":""},{"dropping-particle":"","family":"Kifor","given":"Claudiu","non-dropping-particle":"","parse-names":false,"suffix":""}],"container-title":"ACTA Universitatis Cibiniensis","id":"ITEM-1","issue":"1","issued":{"date-parts":[["2014"]]},"page":"20-25","title":"Knowledge Management Platform in Advanced Product Quality Planning","type":"article-journal","volume":"65"},"uris":["http://www.mendeley.com/documents/?uuid=bba96814-26df-42be-9e65-92573de505b0"]}],"mendeley":{"formattedCitation":"(Chiliban, Baral and Kifor, 2014)","plainTextFormattedCitation":"(Chiliban, Baral and Kifor, 2014)","previouslyFormattedCitation":"(Chiliban, Baral and Kifor, 2014)"},"properties":{"noteIndex":0},"schema":"https://github.com/citation-style-language/schema/raw/master/csl-citation.json"}</w:instrText>
      </w:r>
      <w:r w:rsidR="00876241">
        <w:fldChar w:fldCharType="separate"/>
      </w:r>
      <w:r w:rsidR="00876241" w:rsidRPr="00876241">
        <w:rPr>
          <w:i w:val="0"/>
          <w:noProof/>
        </w:rPr>
        <w:t>(Chiliban, Baral and Kifor, 2014)</w:t>
      </w:r>
      <w:bookmarkEnd w:id="32"/>
      <w:r w:rsidR="00876241">
        <w:fldChar w:fldCharType="end"/>
      </w:r>
    </w:p>
    <w:p w14:paraId="0D1C0075" w14:textId="77777777" w:rsidR="003B3A3C" w:rsidRDefault="003B3A3C" w:rsidP="003B3A3C"/>
    <w:p w14:paraId="57061B7C" w14:textId="1F6911E3" w:rsidR="003B3A3C" w:rsidRDefault="00DC59C7" w:rsidP="007A5DF3">
      <w:pPr>
        <w:pStyle w:val="ListParagraph"/>
        <w:numPr>
          <w:ilvl w:val="0"/>
          <w:numId w:val="14"/>
        </w:numPr>
        <w:jc w:val="both"/>
      </w:pPr>
      <w:r w:rsidRPr="00936CB3">
        <w:rPr>
          <w:b/>
          <w:bCs/>
        </w:rPr>
        <w:t>Cost reduction in the production phase</w:t>
      </w:r>
      <w:r>
        <w:t xml:space="preserve">: </w:t>
      </w:r>
      <w:r w:rsidR="003B3A3C">
        <w:t xml:space="preserve">As APQP promotes risk-based changes to the product during the design phase, it reduces the risk of producing non-conforming </w:t>
      </w:r>
      <w:r>
        <w:t xml:space="preserve">(low quality) </w:t>
      </w:r>
      <w:r w:rsidR="003B3A3C">
        <w:t xml:space="preserve">parts against the original design specifications. Any defect that has been manufactured and requires the part to be reworked, scrapped and remade or </w:t>
      </w:r>
      <w:r w:rsidR="0003514C">
        <w:t xml:space="preserve">any issue that </w:t>
      </w:r>
      <w:r w:rsidR="003B3A3C">
        <w:t>escapes to customer increase</w:t>
      </w:r>
      <w:r>
        <w:t>s</w:t>
      </w:r>
      <w:r w:rsidR="003B3A3C">
        <w:t xml:space="preserve"> the amount of cost required to rectify the non-conformance. Changes to the design after production has started will also </w:t>
      </w:r>
      <w:r w:rsidR="00A86DDB">
        <w:t xml:space="preserve">require the allocation of resources outside of the development phase, leading to increased cost to the business and the potential knock-on effect to the </w:t>
      </w:r>
      <w:r>
        <w:t xml:space="preserve">resources available to be allocated to another </w:t>
      </w:r>
      <w:r w:rsidR="00A86DDB">
        <w:t xml:space="preserve">project. By investing in the development phase to support APQP activities, the company benefits from an increased return on investment and has the potential to reduce the cost of the product to their customers, further enhancing customer satisfaction and brand loyalty. </w:t>
      </w:r>
      <w:r w:rsidR="00A86DDB" w:rsidRPr="00C8351E">
        <w:fldChar w:fldCharType="begin"/>
      </w:r>
      <w:r w:rsidR="00A86DDB" w:rsidRPr="00C8351E">
        <w:instrText xml:space="preserve"> REF _Ref133586847 \h </w:instrText>
      </w:r>
      <w:r w:rsidR="00C8351E" w:rsidRPr="00CD37AA">
        <w:instrText xml:space="preserve"> \* MERGEFORMAT </w:instrText>
      </w:r>
      <w:r w:rsidR="00A86DDB" w:rsidRPr="00C8351E">
        <w:fldChar w:fldCharType="separate"/>
      </w:r>
      <w:r w:rsidR="008C301E" w:rsidRPr="008C301E">
        <w:t xml:space="preserve">Figure </w:t>
      </w:r>
      <w:r w:rsidR="008C301E" w:rsidRPr="008C301E">
        <w:rPr>
          <w:noProof/>
        </w:rPr>
        <w:t>11</w:t>
      </w:r>
      <w:r w:rsidR="00A86DDB" w:rsidRPr="00C8351E">
        <w:fldChar w:fldCharType="end"/>
      </w:r>
      <w:r w:rsidR="00A86DDB">
        <w:t xml:space="preserve"> demonstrates the potential savings APQP has on a new development project. </w:t>
      </w:r>
    </w:p>
    <w:p w14:paraId="2059369F" w14:textId="77777777" w:rsidR="003B3A3C" w:rsidRPr="003B3A3C" w:rsidRDefault="003B3A3C" w:rsidP="003B3A3C"/>
    <w:p w14:paraId="19912BAF" w14:textId="77777777" w:rsidR="003B3A3C" w:rsidRDefault="003B3A3C" w:rsidP="003B3A3C">
      <w:pPr>
        <w:keepNext/>
        <w:jc w:val="center"/>
      </w:pPr>
      <w:r w:rsidRPr="00D247E4">
        <w:rPr>
          <w:noProof/>
          <w:lang w:eastAsia="en-GB"/>
        </w:rPr>
        <w:lastRenderedPageBreak/>
        <w:drawing>
          <wp:inline distT="0" distB="0" distL="0" distR="0" wp14:anchorId="3108C4FF" wp14:editId="387A3185">
            <wp:extent cx="3147060" cy="255889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53480" cy="2564115"/>
                    </a:xfrm>
                    <a:prstGeom prst="rect">
                      <a:avLst/>
                    </a:prstGeom>
                  </pic:spPr>
                </pic:pic>
              </a:graphicData>
            </a:graphic>
          </wp:inline>
        </w:drawing>
      </w:r>
    </w:p>
    <w:p w14:paraId="71459BB5" w14:textId="6076EB40" w:rsidR="003B3A3C" w:rsidRDefault="003B3A3C" w:rsidP="00CC0C60">
      <w:pPr>
        <w:pStyle w:val="Caption"/>
        <w:jc w:val="center"/>
      </w:pPr>
      <w:bookmarkStart w:id="33" w:name="_Ref133586847"/>
      <w:bookmarkStart w:id="34" w:name="_Toc137807637"/>
      <w:r w:rsidRPr="00D247E4">
        <w:rPr>
          <w:b/>
        </w:rPr>
        <w:t xml:space="preserve">Figure </w:t>
      </w:r>
      <w:r w:rsidRPr="00D247E4">
        <w:rPr>
          <w:b/>
        </w:rPr>
        <w:fldChar w:fldCharType="begin"/>
      </w:r>
      <w:r w:rsidRPr="00D247E4">
        <w:rPr>
          <w:b/>
        </w:rPr>
        <w:instrText xml:space="preserve"> SEQ Figure \* ARABIC </w:instrText>
      </w:r>
      <w:r w:rsidRPr="00D247E4">
        <w:rPr>
          <w:b/>
        </w:rPr>
        <w:fldChar w:fldCharType="separate"/>
      </w:r>
      <w:r w:rsidR="008C301E">
        <w:rPr>
          <w:b/>
          <w:noProof/>
        </w:rPr>
        <w:t>11</w:t>
      </w:r>
      <w:r w:rsidRPr="00D247E4">
        <w:rPr>
          <w:b/>
        </w:rPr>
        <w:fldChar w:fldCharType="end"/>
      </w:r>
      <w:bookmarkEnd w:id="33"/>
      <w:r w:rsidRPr="00D247E4">
        <w:rPr>
          <w:b/>
        </w:rPr>
        <w:t>: APQP project savings</w:t>
      </w:r>
      <w:r>
        <w:t xml:space="preserve"> based on theoretical</w:t>
      </w:r>
      <w:r w:rsidR="00936CB3">
        <w:t xml:space="preserve"> financial</w:t>
      </w:r>
      <w:r>
        <w:t xml:space="preserve"> values</w:t>
      </w:r>
      <w:r w:rsidR="00876241">
        <w:t xml:space="preserve">. </w:t>
      </w:r>
      <w:r w:rsidR="00CC0C60">
        <w:t>Co</w:t>
      </w:r>
      <w:r w:rsidR="00936CB3">
        <w:t>mparison between current state (</w:t>
      </w:r>
      <w:r w:rsidR="00CC0C60">
        <w:t xml:space="preserve">area under red line) and APQP approach (area under green line), as a function Total Cost of Quality over Time. </w:t>
      </w:r>
      <w:r w:rsidR="00876241">
        <w:t xml:space="preserve">Figure from </w:t>
      </w:r>
      <w:r w:rsidR="00876241">
        <w:fldChar w:fldCharType="begin" w:fldLock="1"/>
      </w:r>
      <w:r w:rsidR="00876241">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876241">
        <w:fldChar w:fldCharType="separate"/>
      </w:r>
      <w:r w:rsidR="00876241" w:rsidRPr="00876241">
        <w:rPr>
          <w:i w:val="0"/>
          <w:noProof/>
        </w:rPr>
        <w:t>(Titu and Cupsan, 2019)</w:t>
      </w:r>
      <w:r w:rsidR="00876241">
        <w:fldChar w:fldCharType="end"/>
      </w:r>
      <w:r w:rsidR="001A7C46">
        <w:t xml:space="preserve">. </w:t>
      </w:r>
      <w:r w:rsidR="00DC59C7">
        <w:t xml:space="preserve">Due to the nature of a new product development, the graph </w:t>
      </w:r>
      <w:r w:rsidR="001A1BC0">
        <w:t>compares</w:t>
      </w:r>
      <w:r w:rsidR="00DC59C7">
        <w:t xml:space="preserve"> theoretical data as it would be impractical for a company to absorb the cost of running</w:t>
      </w:r>
      <w:r w:rsidR="00A516CD">
        <w:t xml:space="preserve"> in parallel</w:t>
      </w:r>
      <w:r w:rsidR="00DC59C7">
        <w:t xml:space="preserve"> two new product development projects, one aligned to APQP methodologies and one not, to gain a true reflection of any savings realised. It would also not be possible to compare two different products</w:t>
      </w:r>
      <w:r w:rsidR="001A1BC0">
        <w:t>’</w:t>
      </w:r>
      <w:r w:rsidR="00DC59C7">
        <w:t xml:space="preserve"> new development results as the products would be very different from one another, with different risks associated to each project.</w:t>
      </w:r>
      <w:bookmarkEnd w:id="34"/>
    </w:p>
    <w:p w14:paraId="1673655E" w14:textId="77777777" w:rsidR="004D4193" w:rsidRPr="004D4193" w:rsidRDefault="004D4193" w:rsidP="004D4193">
      <w:pPr>
        <w:pStyle w:val="Heading2"/>
      </w:pPr>
    </w:p>
    <w:p w14:paraId="64048F4D" w14:textId="77777777" w:rsidR="001C49BA" w:rsidRDefault="001C49BA" w:rsidP="004D4193">
      <w:pPr>
        <w:pStyle w:val="Heading2"/>
      </w:pPr>
    </w:p>
    <w:p w14:paraId="1DFA7A1B" w14:textId="77777777" w:rsidR="004D4193" w:rsidRDefault="004D4193" w:rsidP="004D4193">
      <w:pPr>
        <w:pStyle w:val="Heading3"/>
        <w:ind w:left="993" w:hanging="284"/>
      </w:pPr>
      <w:bookmarkStart w:id="35" w:name="_Toc137807596"/>
      <w:r>
        <w:t>4.3.2 Limitations</w:t>
      </w:r>
      <w:bookmarkEnd w:id="35"/>
    </w:p>
    <w:p w14:paraId="2D2B1E53" w14:textId="77777777" w:rsidR="004D4193" w:rsidRDefault="004D4193" w:rsidP="00242EE2">
      <w:pPr>
        <w:jc w:val="both"/>
      </w:pPr>
    </w:p>
    <w:p w14:paraId="7B642C7F" w14:textId="2BD7EDE9" w:rsidR="00343F46" w:rsidRDefault="004D4193" w:rsidP="00242EE2">
      <w:pPr>
        <w:jc w:val="both"/>
      </w:pPr>
      <w:r>
        <w:t xml:space="preserve">Although APQP is heralded as the method </w:t>
      </w:r>
      <w:r w:rsidR="002C7B82">
        <w:t>that ensures</w:t>
      </w:r>
      <w:r>
        <w:t xml:space="preserve"> </w:t>
      </w:r>
      <w:r w:rsidR="00242EE2">
        <w:t xml:space="preserve">that </w:t>
      </w:r>
      <w:r>
        <w:t>quality</w:t>
      </w:r>
      <w:r w:rsidR="00242EE2">
        <w:t xml:space="preserve"> is</w:t>
      </w:r>
      <w:r>
        <w:t xml:space="preserve"> built into a new product development program, there are limiting factors in </w:t>
      </w:r>
      <w:r w:rsidR="00164B0D">
        <w:t xml:space="preserve">its </w:t>
      </w:r>
      <w:r>
        <w:t>adoption into a business.</w:t>
      </w:r>
      <w:r w:rsidR="00242EE2">
        <w:t xml:space="preserve"> </w:t>
      </w:r>
      <w:r w:rsidR="002C7B82">
        <w:t xml:space="preserve">The main </w:t>
      </w:r>
      <w:r w:rsidR="00343F46">
        <w:t>limitations of APQP are:</w:t>
      </w:r>
    </w:p>
    <w:p w14:paraId="4D0C0B4F" w14:textId="630BD48D" w:rsidR="00343F46" w:rsidRDefault="00343F46" w:rsidP="007A5DF3">
      <w:pPr>
        <w:pStyle w:val="ListParagraph"/>
        <w:numPr>
          <w:ilvl w:val="0"/>
          <w:numId w:val="9"/>
        </w:numPr>
        <w:jc w:val="both"/>
      </w:pPr>
      <w:r w:rsidRPr="00343F46">
        <w:rPr>
          <w:b/>
        </w:rPr>
        <w:t>High</w:t>
      </w:r>
      <w:r w:rsidR="000A5387">
        <w:rPr>
          <w:b/>
        </w:rPr>
        <w:t>er</w:t>
      </w:r>
      <w:r w:rsidRPr="00343F46">
        <w:rPr>
          <w:b/>
        </w:rPr>
        <w:t xml:space="preserve"> </w:t>
      </w:r>
      <w:r>
        <w:rPr>
          <w:b/>
        </w:rPr>
        <w:t>resource costs</w:t>
      </w:r>
      <w:r>
        <w:t xml:space="preserve"> – due to the cost of carrying out APQP activities, any APQP company would have to invest significantly in new product development teams to support the cross-functional reviews within each phase</w:t>
      </w:r>
      <w:r w:rsidR="002C7B82">
        <w:t xml:space="preserve"> </w:t>
      </w:r>
      <w:r w:rsidR="002C7B82">
        <w:fldChar w:fldCharType="begin" w:fldLock="1"/>
      </w:r>
      <w:r w:rsidR="0063785B">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2C7B82">
        <w:fldChar w:fldCharType="separate"/>
      </w:r>
      <w:r w:rsidR="002C7B82" w:rsidRPr="002C7B82">
        <w:rPr>
          <w:noProof/>
        </w:rPr>
        <w:t>(Titu and Cupsan, 2019)</w:t>
      </w:r>
      <w:r w:rsidR="002C7B82">
        <w:fldChar w:fldCharType="end"/>
      </w:r>
      <w:r>
        <w:t>.</w:t>
      </w:r>
    </w:p>
    <w:p w14:paraId="621AA340" w14:textId="77777777" w:rsidR="000A5387" w:rsidRDefault="000A5387" w:rsidP="000A5387">
      <w:pPr>
        <w:pStyle w:val="ListParagraph"/>
        <w:jc w:val="both"/>
      </w:pPr>
    </w:p>
    <w:p w14:paraId="32F5A804" w14:textId="7D803992" w:rsidR="000A5387" w:rsidRDefault="00343F46" w:rsidP="007A5DF3">
      <w:pPr>
        <w:pStyle w:val="ListParagraph"/>
        <w:numPr>
          <w:ilvl w:val="0"/>
          <w:numId w:val="9"/>
        </w:numPr>
        <w:jc w:val="both"/>
      </w:pPr>
      <w:r w:rsidRPr="000A5387">
        <w:rPr>
          <w:b/>
        </w:rPr>
        <w:t>High</w:t>
      </w:r>
      <w:r w:rsidR="000A5387" w:rsidRPr="000A5387">
        <w:rPr>
          <w:b/>
        </w:rPr>
        <w:t>er</w:t>
      </w:r>
      <w:r w:rsidRPr="000A5387">
        <w:rPr>
          <w:b/>
        </w:rPr>
        <w:t xml:space="preserve"> equipment costs </w:t>
      </w:r>
      <w:r>
        <w:t>– to correctly identify any non-conforming product, more accurate and more sophisticated equipment may be required to prevent the inadvertent release of non-conforming product</w:t>
      </w:r>
      <w:r w:rsidR="005C0AA8">
        <w:t>s</w:t>
      </w:r>
      <w:r>
        <w:t>.</w:t>
      </w:r>
    </w:p>
    <w:p w14:paraId="153B6C29" w14:textId="77777777" w:rsidR="000A5387" w:rsidRDefault="000A5387" w:rsidP="000A5387">
      <w:pPr>
        <w:pStyle w:val="ListParagraph"/>
        <w:jc w:val="both"/>
      </w:pPr>
    </w:p>
    <w:p w14:paraId="23B1180B" w14:textId="15CED219" w:rsidR="000A5387" w:rsidRDefault="000A5387" w:rsidP="007A5DF3">
      <w:pPr>
        <w:pStyle w:val="ListParagraph"/>
        <w:numPr>
          <w:ilvl w:val="0"/>
          <w:numId w:val="9"/>
        </w:numPr>
        <w:jc w:val="both"/>
      </w:pPr>
      <w:r w:rsidRPr="000A5387">
        <w:rPr>
          <w:b/>
        </w:rPr>
        <w:t>Additional training costs</w:t>
      </w:r>
      <w:r>
        <w:t xml:space="preserve"> – as each activity requires a cross-functional team, implementing APQP would lead to an increased requirement to train each of the team members in each of the activities they are required to </w:t>
      </w:r>
      <w:r w:rsidR="00722C69">
        <w:t>contribute</w:t>
      </w:r>
      <w:r>
        <w:t xml:space="preserve"> to ensure the deliverable addresses the key points.</w:t>
      </w:r>
    </w:p>
    <w:p w14:paraId="5BF42BD8" w14:textId="77777777" w:rsidR="000A5387" w:rsidRDefault="000A5387" w:rsidP="000A5387">
      <w:pPr>
        <w:pStyle w:val="ListParagraph"/>
        <w:jc w:val="both"/>
      </w:pPr>
    </w:p>
    <w:p w14:paraId="4142F31B" w14:textId="4824D034" w:rsidR="000A5387" w:rsidRDefault="000A5387" w:rsidP="007A5DF3">
      <w:pPr>
        <w:pStyle w:val="ListParagraph"/>
        <w:numPr>
          <w:ilvl w:val="0"/>
          <w:numId w:val="9"/>
        </w:numPr>
        <w:jc w:val="both"/>
      </w:pPr>
      <w:r w:rsidRPr="000A5387">
        <w:rPr>
          <w:b/>
        </w:rPr>
        <w:lastRenderedPageBreak/>
        <w:t>Change management</w:t>
      </w:r>
      <w:r>
        <w:t xml:space="preserve"> – implementing APQP is a </w:t>
      </w:r>
      <w:r w:rsidR="00904B91">
        <w:t>substantial</w:t>
      </w:r>
      <w:r>
        <w:t xml:space="preserve"> business change, requiring the help and support of change management experts and their associated costs. It also places a requirement o</w:t>
      </w:r>
      <w:r w:rsidR="008646BC">
        <w:t>n</w:t>
      </w:r>
      <w:r>
        <w:t xml:space="preserve"> the executive team to support APQP to help drive the completion of </w:t>
      </w:r>
      <w:r w:rsidR="002E33B2">
        <w:t xml:space="preserve">its </w:t>
      </w:r>
      <w:r>
        <w:t>deliverables.</w:t>
      </w:r>
    </w:p>
    <w:p w14:paraId="40753364" w14:textId="77777777" w:rsidR="000A5387" w:rsidRDefault="000A5387" w:rsidP="000A5387">
      <w:pPr>
        <w:pStyle w:val="ListParagraph"/>
      </w:pPr>
    </w:p>
    <w:p w14:paraId="6B416256" w14:textId="3D0173E7" w:rsidR="000A5387" w:rsidRDefault="000A5387" w:rsidP="007A5DF3">
      <w:pPr>
        <w:pStyle w:val="ListParagraph"/>
        <w:numPr>
          <w:ilvl w:val="0"/>
          <w:numId w:val="9"/>
        </w:numPr>
        <w:jc w:val="both"/>
      </w:pPr>
      <w:r w:rsidRPr="000A5387">
        <w:rPr>
          <w:b/>
        </w:rPr>
        <w:t>Effective communication</w:t>
      </w:r>
      <w:r>
        <w:t xml:space="preserve"> – to ensure that APQP produces its potential results, </w:t>
      </w:r>
      <w:r w:rsidR="005E37E8">
        <w:t>continuous and effective</w:t>
      </w:r>
      <w:r>
        <w:t xml:space="preserve"> communication is require</w:t>
      </w:r>
      <w:r w:rsidR="00582029">
        <w:t>d</w:t>
      </w:r>
      <w:r>
        <w:t xml:space="preserve"> between departments to </w:t>
      </w:r>
      <w:r w:rsidR="002C7B82">
        <w:t xml:space="preserve">transmit </w:t>
      </w:r>
      <w:r>
        <w:t xml:space="preserve">the key information as an input to each activity and </w:t>
      </w:r>
      <w:r w:rsidR="002C7B82">
        <w:t xml:space="preserve">to guarantee </w:t>
      </w:r>
      <w:r>
        <w:t>that activities are aligned to occur when the information is available</w:t>
      </w:r>
      <w:r w:rsidR="00A4539B">
        <w:t xml:space="preserve"> </w:t>
      </w:r>
      <w:r w:rsidR="00A4539B">
        <w:fldChar w:fldCharType="begin" w:fldLock="1"/>
      </w:r>
      <w:r w:rsidR="00752FB1">
        <w:instrText>ADDIN CSL_CITATION {"citationItems":[{"id":"ITEM-1","itemData":{"DOI":"10.1080/1331677X.2020.1838312","ISSN":"1331677X","abstract":"This study analyses if the objectives of the EN 9100 framework, EN 9100 standard, and its certification schema developed by the International Aerospace Quality Group have been reached and if they have been beneficial for aerospace companies. Fewer studies have been conducted on the EN 9100 framework than on other standards, and studies on the compulsory component are also rare. This in-depth interview study aims to address that gap. Case selection is conducted by identifying experienced actors in the sector, high-level managers from all layers of the Spanish aerospace supply chain (Tiers 0, 1, and 2), and certified auditors. The results show that the framework has been beneficial for the companies, even though some of its objectives–such as sharing best practices and cutting additional customer requirements–have not been achieved. Opinions regarding the framework’s benefits vary according to the supply chain level. The most favourable view is found in larger companies, all of which highlighted company motivation as a prime factor. These firms consider that EN 9100 is not focused on innovation but on improving the effectiveness and efficiency of the established strategy.","author":[{"dropping-particle":"","family":"Grijalvo","given":"Mercedes","non-dropping-particle":"","parse-names":false,"suffix":""},{"dropping-particle":"","family":"Sanz-Samalea","given":"Bárbara","non-dropping-particle":"","parse-names":false,"suffix":""}],"container-title":"Economic Research-Ekonomska Istrazivanja ","id":"ITEM-1","issue":"1","issued":{"date-parts":[["2021"]]},"page":"2712-2728","publisher":"Routledge","title":"Exploring EN 9100: current key results and future opportunities–a study in the Spanish aerospace industry","type":"article-journal","volume":"34"},"uris":["http://www.mendeley.com/documents/?uuid=de01d2a1-e430-42f9-9064-056d7c4c2f29"]}],"mendeley":{"formattedCitation":"(Grijalvo and Sanz-Samalea, 2021)","plainTextFormattedCitation":"(Grijalvo and Sanz-Samalea, 2021)","previouslyFormattedCitation":"(Grijalvo and Sanz-Samalea, 2021)"},"properties":{"noteIndex":0},"schema":"https://github.com/citation-style-language/schema/raw/master/csl-citation.json"}</w:instrText>
      </w:r>
      <w:r w:rsidR="00A4539B">
        <w:fldChar w:fldCharType="separate"/>
      </w:r>
      <w:r w:rsidR="00A4539B" w:rsidRPr="00A4539B">
        <w:rPr>
          <w:noProof/>
        </w:rPr>
        <w:t>(Grijalvo and Sanz-Samalea, 2021)</w:t>
      </w:r>
      <w:r w:rsidR="00A4539B">
        <w:fldChar w:fldCharType="end"/>
      </w:r>
      <w:r>
        <w:t>.</w:t>
      </w:r>
    </w:p>
    <w:p w14:paraId="4666635F" w14:textId="77777777" w:rsidR="000A5387" w:rsidRDefault="000A5387" w:rsidP="000A5387">
      <w:pPr>
        <w:pStyle w:val="ListParagraph"/>
      </w:pPr>
    </w:p>
    <w:p w14:paraId="60FEFD2A" w14:textId="475424D8" w:rsidR="000A5387" w:rsidRDefault="000A5387" w:rsidP="007A5DF3">
      <w:pPr>
        <w:pStyle w:val="ListParagraph"/>
        <w:numPr>
          <w:ilvl w:val="0"/>
          <w:numId w:val="9"/>
        </w:numPr>
        <w:jc w:val="both"/>
      </w:pPr>
      <w:r w:rsidRPr="000A5387">
        <w:rPr>
          <w:b/>
        </w:rPr>
        <w:t>Supplier APQP support</w:t>
      </w:r>
      <w:r>
        <w:t xml:space="preserve"> – for any parts that are sourced outside of the company, the </w:t>
      </w:r>
      <w:r w:rsidR="00172CC4">
        <w:t xml:space="preserve">chosen </w:t>
      </w:r>
      <w:r>
        <w:t>suppliers must be able to support APQP activities that align to the compan</w:t>
      </w:r>
      <w:r w:rsidR="002C7B82">
        <w:t>y’s</w:t>
      </w:r>
      <w:r>
        <w:t xml:space="preserve"> master project schedule. As APQP is relatively new in the aerospace industry, this may mean allocating resource to support supplier</w:t>
      </w:r>
      <w:r w:rsidR="00FE4CC2">
        <w:t>’s</w:t>
      </w:r>
      <w:r>
        <w:t xml:space="preserve"> APQP implementation.</w:t>
      </w:r>
    </w:p>
    <w:p w14:paraId="57D43E3F" w14:textId="01BCE998" w:rsidR="00E96067" w:rsidRDefault="00662718" w:rsidP="00CD37AA">
      <w:pPr>
        <w:ind w:left="360"/>
      </w:pPr>
      <w:r>
        <w:t>As mentioned above (see caption of Figure 7), the true benefit of APQP is not currently directly quantifiable. As APQP has been persistently adopted in other industries, there is a perceived financial benefit. However, the amount of money invested in APQP activities must be kept under control to ensure that its costs do not exceed the potential benefits.</w:t>
      </w:r>
    </w:p>
    <w:p w14:paraId="3143234E" w14:textId="77777777" w:rsidR="001C49BA" w:rsidRPr="001C49BA" w:rsidRDefault="001C49BA" w:rsidP="001C49BA"/>
    <w:p w14:paraId="77AE2227" w14:textId="77777777" w:rsidR="00672C91" w:rsidRDefault="00672C91" w:rsidP="007A5DF3">
      <w:pPr>
        <w:pStyle w:val="Heading2"/>
        <w:numPr>
          <w:ilvl w:val="1"/>
          <w:numId w:val="6"/>
        </w:numPr>
        <w:ind w:left="993" w:hanging="426"/>
      </w:pPr>
      <w:bookmarkStart w:id="36" w:name="_Toc137807597"/>
      <w:r>
        <w:t>Aviation vs. Automotive Sector</w:t>
      </w:r>
      <w:bookmarkEnd w:id="36"/>
    </w:p>
    <w:p w14:paraId="6E61228F" w14:textId="77777777" w:rsidR="00724123" w:rsidRDefault="00724123" w:rsidP="00724123"/>
    <w:p w14:paraId="15B2409F" w14:textId="663CE7C9" w:rsidR="00DF1F01" w:rsidRDefault="00767FDA" w:rsidP="00C958FB">
      <w:pPr>
        <w:jc w:val="both"/>
      </w:pPr>
      <w:r>
        <w:t xml:space="preserve">APQP was </w:t>
      </w:r>
      <w:r w:rsidR="00752FB1">
        <w:t xml:space="preserve">initially </w:t>
      </w:r>
      <w:r>
        <w:t>developed for the requirements of the automotive industry, where the manufacture of a product is less formal than aviation, but still requires a product</w:t>
      </w:r>
      <w:r w:rsidR="00346B53">
        <w:t>-</w:t>
      </w:r>
      <w:r>
        <w:t>compliance focus</w:t>
      </w:r>
      <w:r w:rsidR="00752FB1">
        <w:t xml:space="preserve"> </w:t>
      </w:r>
      <w:r w:rsidR="00752FB1">
        <w:fldChar w:fldCharType="begin" w:fldLock="1"/>
      </w:r>
      <w:r w:rsidR="001770BC">
        <w:instrText>ADDIN CSL_CITATION {"citationItems":[{"id":"ITEM-1","itemData":{"DOI":"10.1051/matecconf/201817808013","ISSN":"2261236X","abstract":"To ensure customer satisfaction, the products made by aviation, space and defense organizations need to be continuously improved from the point of view of safety, security, reliability and maintainability. The improvement goal is to be at the customers' requirements and legislations level, if not even to overcome it. The occurring problem with the final products is the challenge to ensure their quality in a shorter time. In this research the importance of implementing the APQP concept in the aeronautical industry is highlighted. To achieve this purpose, the methodologies needed to ensure that the product development processes of the aviation, space and defense industry are fully integrated processes ranging from concept and design to planning, manufacturing and production, aiming the product good use, a quality service and finally getting a positive customer feedback. The final goal of this concept implementing is the Production Part Approval Process (PPAP), which is actually the main result of APQP confirming that the manufacturing process has demonstrated the potential to achieve products that consistently fulfil absolutely all the expressed and not expressed customer requirements.","author":[{"dropping-particle":"","family":"Pop","given":"Alina Bianca","non-dropping-particle":"","parse-names":false,"suffix":""},{"dropping-particle":"","family":"Ţîţu","given":"Mihail Aurel","non-dropping-particle":"","parse-names":false,"suffix":""},{"dropping-particle":"","family":"Oprean","given":"Constantin","non-dropping-particle":"","parse-names":false,"suffix":""},{"dropping-particle":"","family":"Ceocea","given":"Costel","non-dropping-particle":"","parse-names":false,"suffix":""},{"dropping-particle":"","family":"Sandu","given":"Andrei Victor","non-dropping-particle":"","parse-names":false,"suffix":""},{"dropping-particle":"","family":"Ţîţu","given":"Ştefan","non-dropping-particle":"","parse-names":false,"suffix":""}],"container-title":"MATEC Web of Conferences","id":"ITEM-1","issued":{"date-parts":[["2018"]]},"page":"1-6","title":"Contributions concerning the possibility of implementing the APQP concept in the aerospace industry","type":"article-journal","volume":"178"},"uris":["http://www.mendeley.com/documents/?uuid=f8ca7ac4-dc62-4b81-bd48-22b5ef6e917c"]}],"mendeley":{"formattedCitation":"(Pop &lt;i&gt;et al.&lt;/i&gt;, 2018)","plainTextFormattedCitation":"(Pop et al., 2018)","previouslyFormattedCitation":"(Pop &lt;i&gt;et al.&lt;/i&gt;, 2018)"},"properties":{"noteIndex":0},"schema":"https://github.com/citation-style-language/schema/raw/master/csl-citation.json"}</w:instrText>
      </w:r>
      <w:r w:rsidR="00752FB1">
        <w:fldChar w:fldCharType="separate"/>
      </w:r>
      <w:r w:rsidR="00752FB1" w:rsidRPr="00752FB1">
        <w:rPr>
          <w:noProof/>
        </w:rPr>
        <w:t xml:space="preserve">(Pop </w:t>
      </w:r>
      <w:r w:rsidR="00752FB1" w:rsidRPr="00752FB1">
        <w:rPr>
          <w:i/>
          <w:noProof/>
        </w:rPr>
        <w:t>et al.</w:t>
      </w:r>
      <w:r w:rsidR="00752FB1" w:rsidRPr="00752FB1">
        <w:rPr>
          <w:noProof/>
        </w:rPr>
        <w:t>, 2018)</w:t>
      </w:r>
      <w:r w:rsidR="00752FB1">
        <w:fldChar w:fldCharType="end"/>
      </w:r>
      <w:r>
        <w:t>. Although the automotive industry is more susceptible to economic shocks</w:t>
      </w:r>
      <w:r w:rsidR="00346B53">
        <w:t xml:space="preserve"> (</w:t>
      </w:r>
      <w:r w:rsidR="00752FB1">
        <w:t>given</w:t>
      </w:r>
      <w:r>
        <w:t xml:space="preserve"> their effect on consumer confidence to make expensive purchases</w:t>
      </w:r>
      <w:r w:rsidR="00346B53">
        <w:t>),</w:t>
      </w:r>
      <w:r>
        <w:t xml:space="preserve"> it has an advantage over aviation in the number of sales generated per product model</w:t>
      </w:r>
      <w:r w:rsidR="0020694E">
        <w:t xml:space="preserve"> design</w:t>
      </w:r>
      <w:r>
        <w:t xml:space="preserve">. </w:t>
      </w:r>
      <w:r w:rsidR="00DF1F01">
        <w:t xml:space="preserve">The higher global demand for automobiles relative to aircrafts is mainly due to </w:t>
      </w:r>
      <w:r w:rsidR="00817DA7">
        <w:t xml:space="preserve">the extensively </w:t>
      </w:r>
      <w:r w:rsidR="009339F6">
        <w:t>more common</w:t>
      </w:r>
      <w:r w:rsidR="00DF1F01">
        <w:t xml:space="preserve"> use of automobile vehicles, their much lower costs (e.g. purchase, storage, maintenance)</w:t>
      </w:r>
      <w:r w:rsidR="00C84DB8">
        <w:t xml:space="preserve"> and</w:t>
      </w:r>
      <w:r w:rsidR="00DF1F01">
        <w:t xml:space="preserve"> the lower level of expertise they require to be </w:t>
      </w:r>
      <w:r w:rsidR="00C84DB8">
        <w:t>used.</w:t>
      </w:r>
    </w:p>
    <w:p w14:paraId="4E2CF59C" w14:textId="77777777" w:rsidR="00C958FB" w:rsidRDefault="00C958FB" w:rsidP="00C958FB">
      <w:pPr>
        <w:jc w:val="both"/>
      </w:pPr>
    </w:p>
    <w:p w14:paraId="2DD7348B" w14:textId="31293FF7" w:rsidR="00C958FB" w:rsidRDefault="00C958FB" w:rsidP="00C958FB">
      <w:pPr>
        <w:jc w:val="both"/>
      </w:pPr>
      <w:r>
        <w:t>The automotive industry also has a different business model</w:t>
      </w:r>
      <w:r w:rsidR="00CB4EA8">
        <w:t xml:space="preserve"> for their products</w:t>
      </w:r>
      <w:r>
        <w:t xml:space="preserve">, requiring a shorter development cycle and working life than a typical aircraft. </w:t>
      </w:r>
      <w:r w:rsidR="00752FB1">
        <w:t>APQP was created t</w:t>
      </w:r>
      <w:r w:rsidR="0020694E">
        <w:t>o meet the requirements of shorter design phases and improved manufacturing variation control through large production sets</w:t>
      </w:r>
      <w:r w:rsidR="00FF06B6">
        <w:t>.</w:t>
      </w:r>
      <w:r w:rsidR="0020694E">
        <w:t xml:space="preserve"> The APQP standard for the automotive industry is ISO/TS 16949:2009 coupled with the main manufacturing standard ISO 9001 for automotive companies</w:t>
      </w:r>
      <w:r w:rsidR="001770BC">
        <w:t xml:space="preserve"> </w:t>
      </w:r>
      <w:r w:rsidR="001770BC">
        <w:fldChar w:fldCharType="begin" w:fldLock="1"/>
      </w:r>
      <w:r w:rsidR="001770BC">
        <w:instrText>ADDIN CSL_CITATION {"citationItems":[{"id":"ITEM-1","itemData":{"DOI":"10.1016/j.procir.2019.04.326","ISSN":"22128271","abstract":"Process and quality planning are prerequisites for the production of qualified products at competitive cost. Today´s document-based work methods are not effective as valuable time is spent on document creation and document management instead of being spent on innovation and process improvements. Information duplication is an inevitable consequence with current document-based work methods where the same information is described in different ways, at many places, across many different documents. This paper presents a model-driven approach where vital manufacturing information is described once, at one place, and in one way, enabling improved work methods for cross-organizational process and quality planning.","author":[{"dropping-particle":"","family":"Lundgren","given":"Magnus","non-dropping-particle":"","parse-names":false,"suffix":""},{"dropping-particle":"","family":"Hedlind","given":"Mikael","non-dropping-particle":"","parse-names":false,"suffix":""},{"dropping-particle":"","family":"Li","given":"Yujiang","non-dropping-particle":"","parse-names":false,"suffix":""},{"dropping-particle":"","family":"Kjellberg","given":"Torsten","non-dropping-particle":"","parse-names":false,"suffix":""}],"container-title":"Procedia CIRP","id":"ITEM-1","issue":"March","issued":{"date-parts":[["2019"]]},"page":"362-367","publisher":"Elsevier B.V.","title":"Human-Centered Model-driven Process and Quality Planning","type":"article-journal","volume":"84"},"uris":["http://www.mendeley.com/documents/?uuid=df6ab4b7-6f58-45ed-86d0-5b4518e8cea3"]}],"mendeley":{"formattedCitation":"(Lundgren &lt;i&gt;et al.&lt;/i&gt;, 2019)","plainTextFormattedCitation":"(Lundgren et al., 2019)","previouslyFormattedCitation":"(Lundgren &lt;i&gt;et al.&lt;/i&gt;, 2019)"},"properties":{"noteIndex":0},"schema":"https://github.com/citation-style-language/schema/raw/master/csl-citation.json"}</w:instrText>
      </w:r>
      <w:r w:rsidR="001770BC">
        <w:fldChar w:fldCharType="separate"/>
      </w:r>
      <w:r w:rsidR="001770BC" w:rsidRPr="001770BC">
        <w:rPr>
          <w:noProof/>
        </w:rPr>
        <w:t xml:space="preserve">(Lundgren </w:t>
      </w:r>
      <w:r w:rsidR="001770BC" w:rsidRPr="001770BC">
        <w:rPr>
          <w:i/>
          <w:noProof/>
        </w:rPr>
        <w:t>et al.</w:t>
      </w:r>
      <w:r w:rsidR="001770BC" w:rsidRPr="001770BC">
        <w:rPr>
          <w:noProof/>
        </w:rPr>
        <w:t>, 2019)</w:t>
      </w:r>
      <w:r w:rsidR="001770BC">
        <w:fldChar w:fldCharType="end"/>
      </w:r>
      <w:r w:rsidR="0020694E">
        <w:t xml:space="preserve"> and is currently mandatory for all sub-tier suppliers into the founding APQP organisations</w:t>
      </w:r>
      <w:r w:rsidR="001770BC">
        <w:t xml:space="preserve"> </w:t>
      </w:r>
      <w:r w:rsidR="001770BC">
        <w:fldChar w:fldCharType="begin" w:fldLock="1"/>
      </w:r>
      <w:r w:rsidR="0093195C">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1770BC">
        <w:fldChar w:fldCharType="separate"/>
      </w:r>
      <w:r w:rsidR="001770BC" w:rsidRPr="001770BC">
        <w:rPr>
          <w:noProof/>
        </w:rPr>
        <w:t>(Țîțu and Pop, 2021)</w:t>
      </w:r>
      <w:r w:rsidR="001770BC">
        <w:fldChar w:fldCharType="end"/>
      </w:r>
      <w:r w:rsidR="0020694E">
        <w:t>.</w:t>
      </w:r>
    </w:p>
    <w:p w14:paraId="7D4F3EDD" w14:textId="77777777" w:rsidR="008F5909" w:rsidRDefault="008F5909" w:rsidP="00C958FB">
      <w:pPr>
        <w:jc w:val="both"/>
      </w:pPr>
    </w:p>
    <w:p w14:paraId="34078E4A" w14:textId="1C3EB897" w:rsidR="00E15DBA" w:rsidRDefault="00E15DBA" w:rsidP="00C958FB">
      <w:pPr>
        <w:jc w:val="both"/>
      </w:pPr>
      <w:r>
        <w:t>The aviation industry</w:t>
      </w:r>
      <w:r w:rsidR="0084600B">
        <w:t xml:space="preserve"> instead</w:t>
      </w:r>
      <w:r>
        <w:t xml:space="preserve"> has a</w:t>
      </w:r>
      <w:r w:rsidR="0084600B">
        <w:t xml:space="preserve"> focus on the airworthiness certification of the completed product, along with a requirement for compliance. Where the automotive industry uses APQP and SPC for their requirements, </w:t>
      </w:r>
      <w:r w:rsidR="008F5909">
        <w:t xml:space="preserve">the aviation industry relies on the completion of the FAI for the final product and all the lower level piece parts to prove the design, materials and processes are capable of producing a conforming product </w:t>
      </w:r>
      <w:r w:rsidR="0093195C">
        <w:fldChar w:fldCharType="begin" w:fldLock="1"/>
      </w:r>
      <w:r w:rsidR="005E279A">
        <w:instrText>ADDIN CSL_CITATION {"citationItems":[{"id":"ITEM-1","itemData":{"DOI":"10.1051/matecconf/201817808013","ISSN":"2261236X","abstract":"To ensure customer satisfaction, the products made by aviation, space and defense organizations need to be continuously improved from the point of view of safety, security, reliability and maintainability. The improvement goal is to be at the customers' requirements and legislations level, if not even to overcome it. The occurring problem with the final products is the challenge to ensure their quality in a shorter time. In this research the importance of implementing the APQP concept in the aeronautical industry is highlighted. To achieve this purpose, the methodologies needed to ensure that the product development processes of the aviation, space and defense industry are fully integrated processes ranging from concept and design to planning, manufacturing and production, aiming the product good use, a quality service and finally getting a positive customer feedback. The final goal of this concept implementing is the Production Part Approval Process (PPAP), which is actually the main result of APQP confirming that the manufacturing process has demonstrated the potential to achieve products that consistently fulfil absolutely all the expressed and not expressed customer requirements.","author":[{"dropping-particle":"","family":"Pop","given":"Alina Bianca","non-dropping-particle":"","parse-names":false,"suffix":""},{"dropping-particle":"","family":"Ţîţu","given":"Mihail Aurel","non-dropping-particle":"","parse-names":false,"suffix":""},{"dropping-particle":"","family":"Oprean","given":"Constantin","non-dropping-particle":"","parse-names":false,"suffix":""},{"dropping-particle":"","family":"Ceocea","given":"Costel","non-dropping-particle":"","parse-names":false,"suffix":""},{"dropping-particle":"","family":"Sandu","given":"Andrei Victor","non-dropping-particle":"","parse-names":false,"suffix":""},{"dropping-particle":"","family":"Ţîţu","given":"Ştefan","non-dropping-particle":"","parse-names":false,"suffix":""}],"container-title":"MATEC Web of Conferences","id":"ITEM-1","issued":{"date-parts":[["2018"]]},"page":"1-6","title":"Contributions concerning the possibility of implementing the APQP concept in the aerospace industry","type":"article-journal","volume":"178"},"uris":["http://www.mendeley.com/documents/?uuid=f8ca7ac4-dc62-4b81-bd48-22b5ef6e917c"]}],"mendeley":{"formattedCitation":"(Pop &lt;i&gt;et al.&lt;/i&gt;, 2018)","plainTextFormattedCitation":"(Pop et al., 2018)","previouslyFormattedCitation":"(Pop &lt;i&gt;et al.&lt;/i&gt;, 2018)"},"properties":{"noteIndex":0},"schema":"https://github.com/citation-style-language/schema/raw/master/csl-citation.json"}</w:instrText>
      </w:r>
      <w:r w:rsidR="0093195C">
        <w:fldChar w:fldCharType="separate"/>
      </w:r>
      <w:r w:rsidR="0093195C" w:rsidRPr="0093195C">
        <w:rPr>
          <w:noProof/>
        </w:rPr>
        <w:t xml:space="preserve">(Pop </w:t>
      </w:r>
      <w:r w:rsidR="0093195C" w:rsidRPr="0093195C">
        <w:rPr>
          <w:i/>
          <w:noProof/>
        </w:rPr>
        <w:t>et al.</w:t>
      </w:r>
      <w:r w:rsidR="0093195C" w:rsidRPr="0093195C">
        <w:rPr>
          <w:noProof/>
        </w:rPr>
        <w:t>, 2018)</w:t>
      </w:r>
      <w:r w:rsidR="0093195C">
        <w:fldChar w:fldCharType="end"/>
      </w:r>
      <w:r w:rsidR="0084600B">
        <w:t>.</w:t>
      </w:r>
      <w:r w:rsidR="007A0E73">
        <w:t xml:space="preserve"> There is an element of risk to this approach, as certifying that a single unit is correct to the engineering definition does not guarantee that any other parts produced will conform. </w:t>
      </w:r>
    </w:p>
    <w:p w14:paraId="20EA85E6" w14:textId="77777777" w:rsidR="00C075D0" w:rsidRDefault="00C075D0" w:rsidP="00C958FB">
      <w:pPr>
        <w:jc w:val="both"/>
      </w:pPr>
    </w:p>
    <w:p w14:paraId="601F9A4D" w14:textId="3CD2C1B7" w:rsidR="00C075D0" w:rsidRDefault="00C075D0" w:rsidP="00C958FB">
      <w:pPr>
        <w:jc w:val="both"/>
      </w:pPr>
      <w:r>
        <w:t>To overcome the heavy reliance on the FAI, aviation chose to adopt a similar approach to the automotive sector by bringing in APQP. Due to different requirements for aviation, APQP was expanded to contain more elements with a higher degree of complexity compared to the automotive APQP. This required the creation of controls for the following additional sub-categories</w:t>
      </w:r>
      <w:r w:rsidR="005E279A">
        <w:t xml:space="preserve"> </w:t>
      </w:r>
      <w:r w:rsidR="005E279A">
        <w:fldChar w:fldCharType="begin" w:fldLock="1"/>
      </w:r>
      <w:r w:rsidR="00DF1F01">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5E279A">
        <w:fldChar w:fldCharType="separate"/>
      </w:r>
      <w:r w:rsidR="005E279A" w:rsidRPr="005E279A">
        <w:rPr>
          <w:noProof/>
        </w:rPr>
        <w:t>(Titu and Cupsan, 2019)</w:t>
      </w:r>
      <w:r w:rsidR="005E279A">
        <w:fldChar w:fldCharType="end"/>
      </w:r>
      <w:r>
        <w:t>:</w:t>
      </w:r>
    </w:p>
    <w:p w14:paraId="376F5C55" w14:textId="77777777" w:rsidR="00C075D0" w:rsidRDefault="00C075D0" w:rsidP="00C958FB">
      <w:pPr>
        <w:jc w:val="both"/>
      </w:pPr>
    </w:p>
    <w:p w14:paraId="4635F2FC" w14:textId="1687A419" w:rsidR="00C075D0" w:rsidRPr="00021E8B" w:rsidRDefault="00C075D0" w:rsidP="007A5DF3">
      <w:pPr>
        <w:pStyle w:val="ListParagraph"/>
        <w:numPr>
          <w:ilvl w:val="0"/>
          <w:numId w:val="11"/>
        </w:numPr>
        <w:jc w:val="both"/>
        <w:rPr>
          <w:bCs/>
        </w:rPr>
      </w:pPr>
      <w:r w:rsidRPr="00CD37AA">
        <w:rPr>
          <w:bCs/>
        </w:rPr>
        <w:t>Requirement identification</w:t>
      </w:r>
      <w:r w:rsidRPr="00021E8B">
        <w:rPr>
          <w:bCs/>
        </w:rPr>
        <w:t xml:space="preserve"> – </w:t>
      </w:r>
      <w:r w:rsidR="00814217">
        <w:rPr>
          <w:bCs/>
        </w:rPr>
        <w:t xml:space="preserve">to </w:t>
      </w:r>
      <w:r w:rsidRPr="00021E8B">
        <w:rPr>
          <w:bCs/>
        </w:rPr>
        <w:t>determin</w:t>
      </w:r>
      <w:r w:rsidR="00814217">
        <w:rPr>
          <w:bCs/>
        </w:rPr>
        <w:t>e</w:t>
      </w:r>
      <w:r w:rsidRPr="00021E8B">
        <w:rPr>
          <w:bCs/>
        </w:rPr>
        <w:t xml:space="preserve"> the high-risk elements of the initial concept design to build APQP around.</w:t>
      </w:r>
    </w:p>
    <w:p w14:paraId="1EB779AD" w14:textId="77777777" w:rsidR="00C075D0" w:rsidRPr="00021E8B" w:rsidRDefault="00C075D0" w:rsidP="00C075D0">
      <w:pPr>
        <w:pStyle w:val="ListParagraph"/>
        <w:jc w:val="both"/>
        <w:rPr>
          <w:bCs/>
        </w:rPr>
      </w:pPr>
    </w:p>
    <w:p w14:paraId="7FC3AA4D" w14:textId="6CAF23DA" w:rsidR="00C075D0" w:rsidRDefault="00C075D0" w:rsidP="007A5DF3">
      <w:pPr>
        <w:pStyle w:val="ListParagraph"/>
        <w:numPr>
          <w:ilvl w:val="0"/>
          <w:numId w:val="11"/>
        </w:numPr>
        <w:jc w:val="both"/>
      </w:pPr>
      <w:r w:rsidRPr="00CD37AA">
        <w:rPr>
          <w:bCs/>
        </w:rPr>
        <w:t>Packaging specification</w:t>
      </w:r>
      <w:r w:rsidRPr="00021E8B">
        <w:rPr>
          <w:bCs/>
        </w:rPr>
        <w:t xml:space="preserve"> –</w:t>
      </w:r>
      <w:r w:rsidR="00B02CF4">
        <w:rPr>
          <w:bCs/>
        </w:rPr>
        <w:t xml:space="preserve"> </w:t>
      </w:r>
      <w:r>
        <w:t>to ensure that the product reaches the customer in a satisfactory condition post completion.</w:t>
      </w:r>
    </w:p>
    <w:p w14:paraId="0F7F6A0E" w14:textId="77777777" w:rsidR="00F87C98" w:rsidRDefault="00F87C98" w:rsidP="00F87C98">
      <w:pPr>
        <w:pStyle w:val="ListParagraph"/>
      </w:pPr>
    </w:p>
    <w:p w14:paraId="74AE0364" w14:textId="760ABDB9" w:rsidR="00F87C98" w:rsidRDefault="00F87C98" w:rsidP="00F87C98">
      <w:pPr>
        <w:jc w:val="both"/>
      </w:pPr>
      <w:r>
        <w:t>APQP is also required in aviation as the industry continues to expand at ever increasing speed. Current predictions</w:t>
      </w:r>
      <w:r w:rsidR="00D02ECF">
        <w:t xml:space="preserve"> </w:t>
      </w:r>
      <w:r w:rsidR="00D02ECF">
        <w:fldChar w:fldCharType="begin" w:fldLock="1"/>
      </w:r>
      <w:r w:rsidR="00D02ECF">
        <w:instrText>ADDIN CSL_CITATION {"citationItems":[{"id":"ITEM-1","itemData":{"abstract":"This paper provides an image how and why the methodology \"Advanced Product Quality Planning\" (APQP) has become more used in the Aerospace industry. It presents the current context regarding markets and industries, as well as the history of APQP, starting with discrete usage of some APQP elements, as well as the beginning of APQP in general and in aerospace. A general presentation of APQP is given, that includes definition, main benefits and output (Production Part Approval Process), including a view in the current Aerospace Industry, to give an idea of the current context. General considerations are generated based on the exposed information, to establish if APQP and the Aerospace Industry are a suitable match. It serves as an information pool for any aerospace producer researching into the implementation of APQP in aerospace.","author":[{"dropping-particle":"","family":"Titu","given":"Mihail Aurel","non-dropping-particle":"","parse-names":false,"suffix":""},{"dropping-particle":"","family":"Cupsan","given":"Vlad Ciprian","non-dropping-particle":"","parse-names":false,"suffix":""}],"id":"ITEM-1","issued":{"date-parts":[["2019"]]},"page":"77-82","title":"Review of Advanced Product Quality Planning (APQP) in the Aerospace Industry","type":"article-journal"},"uris":["http://www.mendeley.com/documents/?uuid=8622886f-7631-42e3-94e2-4ccfa24b0212"]}],"mendeley":{"formattedCitation":"(Titu and Cupsan, 2019)","plainTextFormattedCitation":"(Titu and Cupsan, 2019)","previouslyFormattedCitation":"(Titu and Cupsan, 2019)"},"properties":{"noteIndex":0},"schema":"https://github.com/citation-style-language/schema/raw/master/csl-citation.json"}</w:instrText>
      </w:r>
      <w:r w:rsidR="00D02ECF">
        <w:fldChar w:fldCharType="separate"/>
      </w:r>
      <w:r w:rsidR="00D02ECF" w:rsidRPr="00F26CA6">
        <w:rPr>
          <w:noProof/>
        </w:rPr>
        <w:t>(Titu and Cupsan, 2019)</w:t>
      </w:r>
      <w:r w:rsidR="00D02ECF">
        <w:fldChar w:fldCharType="end"/>
      </w:r>
      <w:r>
        <w:t xml:space="preserve"> indicate that the aerospace industry has the potential to grow by 36,500 new passenger</w:t>
      </w:r>
      <w:r w:rsidR="0052329A">
        <w:t>-</w:t>
      </w:r>
      <w:r>
        <w:t>aircraft</w:t>
      </w:r>
      <w:r w:rsidR="00555271">
        <w:t>s</w:t>
      </w:r>
      <w:r>
        <w:t xml:space="preserve"> between 2018-2037. This is the equivalent of an average of</w:t>
      </w:r>
      <w:r w:rsidR="00427F24">
        <w:t xml:space="preserve"> almost</w:t>
      </w:r>
      <w:r>
        <w:t xml:space="preserve"> 2,000 new passenger</w:t>
      </w:r>
      <w:r w:rsidR="0052329A">
        <w:t>-</w:t>
      </w:r>
      <w:r>
        <w:t>aircraft</w:t>
      </w:r>
      <w:r w:rsidR="00B07189">
        <w:t>s</w:t>
      </w:r>
      <w:r>
        <w:t xml:space="preserve"> per year to satisfy the demand</w:t>
      </w:r>
      <w:r w:rsidR="00F26CA6">
        <w:t>.</w:t>
      </w:r>
      <w:r>
        <w:t xml:space="preserve"> With an increase in the number of products per design, the application of APQP becomes more cost-effective. </w:t>
      </w:r>
    </w:p>
    <w:p w14:paraId="06C5DF54" w14:textId="25C4D406" w:rsidR="007F3C38" w:rsidRDefault="007F3C38" w:rsidP="00F87C98">
      <w:pPr>
        <w:jc w:val="both"/>
      </w:pPr>
    </w:p>
    <w:p w14:paraId="0B06B27D" w14:textId="38EEB5D5" w:rsidR="007F3C38" w:rsidRDefault="007F3C38" w:rsidP="00F87C98">
      <w:pPr>
        <w:jc w:val="both"/>
      </w:pPr>
      <w:r>
        <w:t xml:space="preserve">As APQP is relatively new to the aviation industry, several </w:t>
      </w:r>
      <w:r w:rsidR="0095306E">
        <w:t>organisations within the aviation sector produced supporting documentation for APQP. These included:</w:t>
      </w:r>
    </w:p>
    <w:p w14:paraId="38C279DB" w14:textId="209AA73F" w:rsidR="0095306E" w:rsidRDefault="0095306E" w:rsidP="007A5DF3">
      <w:pPr>
        <w:pStyle w:val="ListParagraph"/>
        <w:numPr>
          <w:ilvl w:val="0"/>
          <w:numId w:val="16"/>
        </w:numPr>
        <w:spacing w:before="240"/>
        <w:jc w:val="both"/>
      </w:pPr>
      <w:r>
        <w:t>International Aerospace Quality Group (IAQG) – published the APQP/PPAP manual, explaining the different deliverables for the basic PPAP and their core requirements</w:t>
      </w:r>
      <w:r w:rsidR="0080117D">
        <w:t xml:space="preserve"> </w:t>
      </w:r>
      <w:r w:rsidR="0080117D">
        <w:fldChar w:fldCharType="begin" w:fldLock="1"/>
      </w:r>
      <w:r w:rsidR="00F664E0">
        <w:instrText>ADDIN CSL_CITATION {"citationItems":[{"id":"ITEM-1","itemData":{"author":[{"dropping-particle":"","family":"IAQG","given":"","non-dropping-particle":"","parse-names":false,"suffix":""}],"id":"ITEM-1","issued":{"date-parts":[["2017"]]},"title":"Aerospace APQP/PPAP Manual Guidance material for International Aerospace Standard 9145","type":"report"},"uris":["http://www.mendeley.com/documents/?uuid=3e928d20-03a0-4d13-8b58-2b9cdee27099"]}],"mendeley":{"formattedCitation":"(IAQG, 2017)","plainTextFormattedCitation":"(IAQG, 2017)","previouslyFormattedCitation":"(IAQG, 2017)"},"properties":{"noteIndex":0},"schema":"https://github.com/citation-style-language/schema/raw/master/csl-citation.json"}</w:instrText>
      </w:r>
      <w:r w:rsidR="0080117D">
        <w:fldChar w:fldCharType="separate"/>
      </w:r>
      <w:r w:rsidR="0080117D" w:rsidRPr="0080117D">
        <w:rPr>
          <w:noProof/>
        </w:rPr>
        <w:t>(IAQG, 2017)</w:t>
      </w:r>
      <w:r w:rsidR="0080117D">
        <w:fldChar w:fldCharType="end"/>
      </w:r>
      <w:r>
        <w:t xml:space="preserve"> </w:t>
      </w:r>
    </w:p>
    <w:p w14:paraId="23BC2167" w14:textId="62FBA09B" w:rsidR="0095306E" w:rsidRDefault="0095306E" w:rsidP="007A5DF3">
      <w:pPr>
        <w:pStyle w:val="ListParagraph"/>
        <w:numPr>
          <w:ilvl w:val="0"/>
          <w:numId w:val="16"/>
        </w:numPr>
        <w:jc w:val="both"/>
      </w:pPr>
      <w:r>
        <w:t>SAE International</w:t>
      </w:r>
      <w:r w:rsidR="00776EC2">
        <w:t xml:space="preserve"> – responsible for the main quality standard in aviation (AS9100)</w:t>
      </w:r>
      <w:r w:rsidR="0048380E">
        <w:t>.</w:t>
      </w:r>
      <w:r w:rsidR="00776EC2">
        <w:t xml:space="preserve"> </w:t>
      </w:r>
      <w:r w:rsidR="0048380E">
        <w:t>I</w:t>
      </w:r>
      <w:r w:rsidR="00776EC2">
        <w:t>n November 2016 they added the APQP for aerospace standard AS9145</w:t>
      </w:r>
      <w:r w:rsidR="006A329B">
        <w:t xml:space="preserve"> </w:t>
      </w:r>
      <w:r w:rsidR="006A329B">
        <w:fldChar w:fldCharType="begin" w:fldLock="1"/>
      </w:r>
      <w:r w:rsidR="0069173E">
        <w:instrText>ADDIN CSL_CITATION {"citationItems":[{"id":"ITEM-1","itemData":{"author":[{"dropping-particle":"","family":"SAE International","given":"","non-dropping-particle":"","parse-names":false,"suffix":""}],"id":"ITEM-1","issued":{"date-parts":[["2016"]]},"title":"Aerospace Standard AS9145","type":"article"},"uris":["http://www.mendeley.com/documents/?uuid=df5ffcd1-eb52-4a2b-a28a-fea2d782ca5c"]}],"mendeley":{"formattedCitation":"(SAE International, 2016)","plainTextFormattedCitation":"(SAE International, 2016)","previouslyFormattedCitation":"(SAE International, 2016)"},"properties":{"noteIndex":0},"schema":"https://github.com/citation-style-language/schema/raw/master/csl-citation.json"}</w:instrText>
      </w:r>
      <w:r w:rsidR="006A329B">
        <w:fldChar w:fldCharType="separate"/>
      </w:r>
      <w:r w:rsidR="006A329B" w:rsidRPr="006A329B">
        <w:rPr>
          <w:noProof/>
        </w:rPr>
        <w:t>(SAE International, 2016)</w:t>
      </w:r>
      <w:r w:rsidR="006A329B">
        <w:fldChar w:fldCharType="end"/>
      </w:r>
      <w:r w:rsidR="00776EC2">
        <w:t>, with the caveat that is would only be mandatory when a company is contractually obliged to implement the standard by a customer. The AS9100 standard family</w:t>
      </w:r>
      <w:r w:rsidR="0027386D">
        <w:t xml:space="preserve"> (including AS9145)</w:t>
      </w:r>
      <w:r w:rsidR="00776EC2">
        <w:t xml:space="preserve"> is shown in </w:t>
      </w:r>
      <w:r w:rsidR="00776EC2" w:rsidRPr="00687217">
        <w:fldChar w:fldCharType="begin"/>
      </w:r>
      <w:r w:rsidR="00776EC2" w:rsidRPr="00687217">
        <w:instrText xml:space="preserve"> REF _Ref133825238 \h </w:instrText>
      </w:r>
      <w:r w:rsidR="00687217" w:rsidRPr="00CD37AA">
        <w:instrText xml:space="preserve"> \* MERGEFORMAT </w:instrText>
      </w:r>
      <w:r w:rsidR="00776EC2" w:rsidRPr="00687217">
        <w:fldChar w:fldCharType="separate"/>
      </w:r>
      <w:r w:rsidR="008C301E" w:rsidRPr="008C301E">
        <w:t xml:space="preserve">Figure </w:t>
      </w:r>
      <w:r w:rsidR="008C301E" w:rsidRPr="008C301E">
        <w:rPr>
          <w:noProof/>
        </w:rPr>
        <w:t>12</w:t>
      </w:r>
      <w:r w:rsidR="00776EC2" w:rsidRPr="00687217">
        <w:fldChar w:fldCharType="end"/>
      </w:r>
      <w:r w:rsidR="00776EC2" w:rsidRPr="00687217">
        <w:t>.</w:t>
      </w:r>
    </w:p>
    <w:p w14:paraId="3916B417" w14:textId="77777777" w:rsidR="00E96067" w:rsidRDefault="00E96067" w:rsidP="00E96067">
      <w:pPr>
        <w:pStyle w:val="ListParagraph"/>
      </w:pPr>
    </w:p>
    <w:p w14:paraId="10693E9E" w14:textId="77777777" w:rsidR="00C075D0" w:rsidRDefault="00C075D0" w:rsidP="00C075D0">
      <w:pPr>
        <w:pStyle w:val="ListParagraph"/>
      </w:pPr>
    </w:p>
    <w:p w14:paraId="3093E394" w14:textId="77777777" w:rsidR="00C075D0" w:rsidRDefault="00C075D0" w:rsidP="00C075D0">
      <w:pPr>
        <w:jc w:val="both"/>
      </w:pPr>
    </w:p>
    <w:p w14:paraId="348E76BD" w14:textId="77777777" w:rsidR="00E15DBA" w:rsidRDefault="00E15DBA" w:rsidP="00C958FB">
      <w:pPr>
        <w:jc w:val="both"/>
      </w:pPr>
    </w:p>
    <w:p w14:paraId="586DFF8F" w14:textId="77777777" w:rsidR="00724123" w:rsidRDefault="00724123" w:rsidP="00D247E4">
      <w:pPr>
        <w:keepNext/>
        <w:jc w:val="center"/>
      </w:pPr>
      <w:r w:rsidRPr="00724123">
        <w:rPr>
          <w:noProof/>
          <w:lang w:eastAsia="en-GB"/>
        </w:rPr>
        <w:drawing>
          <wp:inline distT="0" distB="0" distL="0" distR="0" wp14:anchorId="42CA8EB6" wp14:editId="6FD1BC53">
            <wp:extent cx="5791200" cy="3479264"/>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02026" cy="3485768"/>
                    </a:xfrm>
                    <a:prstGeom prst="rect">
                      <a:avLst/>
                    </a:prstGeom>
                  </pic:spPr>
                </pic:pic>
              </a:graphicData>
            </a:graphic>
          </wp:inline>
        </w:drawing>
      </w:r>
    </w:p>
    <w:p w14:paraId="0EF1F50F" w14:textId="0BDE9F34" w:rsidR="00724123" w:rsidRPr="00724123" w:rsidRDefault="00724123" w:rsidP="00724123">
      <w:pPr>
        <w:pStyle w:val="Caption"/>
      </w:pPr>
      <w:bookmarkStart w:id="37" w:name="_Ref133825238"/>
      <w:bookmarkStart w:id="38" w:name="_Toc137807638"/>
      <w:r w:rsidRPr="00724123">
        <w:rPr>
          <w:b/>
        </w:rPr>
        <w:t xml:space="preserve">Figure </w:t>
      </w:r>
      <w:r w:rsidRPr="00724123">
        <w:rPr>
          <w:b/>
        </w:rPr>
        <w:fldChar w:fldCharType="begin"/>
      </w:r>
      <w:r w:rsidRPr="00724123">
        <w:rPr>
          <w:b/>
        </w:rPr>
        <w:instrText xml:space="preserve"> SEQ Figure \* ARABIC </w:instrText>
      </w:r>
      <w:r w:rsidRPr="00724123">
        <w:rPr>
          <w:b/>
        </w:rPr>
        <w:fldChar w:fldCharType="separate"/>
      </w:r>
      <w:r w:rsidR="008C301E">
        <w:rPr>
          <w:b/>
          <w:noProof/>
        </w:rPr>
        <w:t>12</w:t>
      </w:r>
      <w:r w:rsidRPr="00724123">
        <w:rPr>
          <w:b/>
        </w:rPr>
        <w:fldChar w:fldCharType="end"/>
      </w:r>
      <w:bookmarkEnd w:id="37"/>
      <w:r w:rsidRPr="00724123">
        <w:rPr>
          <w:b/>
        </w:rPr>
        <w:t>: A</w:t>
      </w:r>
      <w:r w:rsidR="008A6F8C">
        <w:rPr>
          <w:b/>
        </w:rPr>
        <w:t>viation</w:t>
      </w:r>
      <w:r w:rsidRPr="00724123">
        <w:rPr>
          <w:b/>
        </w:rPr>
        <w:t xml:space="preserve"> Standards (AS) diagram</w:t>
      </w:r>
      <w:r>
        <w:t xml:space="preserve"> demonstrating the central AS9100 accreditation and the other underlying AS standards</w:t>
      </w:r>
      <w:r w:rsidR="00DF1F01">
        <w:t xml:space="preserve">. Figure from </w:t>
      </w:r>
      <w:r w:rsidR="00DF1F01">
        <w:fldChar w:fldCharType="begin" w:fldLock="1"/>
      </w:r>
      <w:r w:rsidR="008D0402">
        <w:instrText>ADDIN CSL_CITATION {"citationItems":[{"id":"ITEM-1","itemData":{"DOI":"10.1051/matecconf/201817808013","ISSN":"2261236X","abstract":"To ensure customer satisfaction, the products made by aviation, space and defense organizations need to be continuously improved from the point of view of safety, security, reliability and maintainability. The improvement goal is to be at the customers' requirements and legislations level, if not even to overcome it. The occurring problem with the final products is the challenge to ensure their quality in a shorter time. In this research the importance of implementing the APQP concept in the aeronautical industry is highlighted. To achieve this purpose, the methodologies needed to ensure that the product development processes of the aviation, space and defense industry are fully integrated processes ranging from concept and design to planning, manufacturing and production, aiming the product good use, a quality service and finally getting a positive customer feedback. The final goal of this concept implementing is the Production Part Approval Process (PPAP), which is actually the main result of APQP confirming that the manufacturing process has demonstrated the potential to achieve products that consistently fulfil absolutely all the expressed and not expressed customer requirements.","author":[{"dropping-particle":"","family":"Pop","given":"Alina Bianca","non-dropping-particle":"","parse-names":false,"suffix":""},{"dropping-particle":"","family":"Ţîţu","given":"Mihail Aurel","non-dropping-particle":"","parse-names":false,"suffix":""},{"dropping-particle":"","family":"Oprean","given":"Constantin","non-dropping-particle":"","parse-names":false,"suffix":""},{"dropping-particle":"","family":"Ceocea","given":"Costel","non-dropping-particle":"","parse-names":false,"suffix":""},{"dropping-particle":"","family":"Sandu","given":"Andrei Victor","non-dropping-particle":"","parse-names":false,"suffix":""},{"dropping-particle":"","family":"Ţîţu","given":"Ştefan","non-dropping-particle":"","parse-names":false,"suffix":""}],"container-title":"MATEC Web of Conferences","id":"ITEM-1","issued":{"date-parts":[["2018"]]},"page":"1-6","title":"Contributions concerning the possibility of implementing the APQP concept in the aerospace industry","type":"article-journal","volume":"178"},"uris":["http://www.mendeley.com/documents/?uuid=f8ca7ac4-dc62-4b81-bd48-22b5ef6e917c"]}],"mendeley":{"formattedCitation":"(Pop &lt;i&gt;et al.&lt;/i&gt;, 2018)","plainTextFormattedCitation":"(Pop et al., 2018)","previouslyFormattedCitation":"(Pop &lt;i&gt;et al.&lt;/i&gt;, 2018)"},"properties":{"noteIndex":0},"schema":"https://github.com/citation-style-language/schema/raw/master/csl-citation.json"}</w:instrText>
      </w:r>
      <w:r w:rsidR="00DF1F01">
        <w:fldChar w:fldCharType="separate"/>
      </w:r>
      <w:r w:rsidR="00DF1F01" w:rsidRPr="00DF1F01">
        <w:rPr>
          <w:i w:val="0"/>
          <w:noProof/>
        </w:rPr>
        <w:t xml:space="preserve">(Pop </w:t>
      </w:r>
      <w:r w:rsidR="00DF1F01" w:rsidRPr="00DF1F01">
        <w:rPr>
          <w:noProof/>
        </w:rPr>
        <w:t>et al.</w:t>
      </w:r>
      <w:r w:rsidR="00DF1F01" w:rsidRPr="00DF1F01">
        <w:rPr>
          <w:i w:val="0"/>
          <w:noProof/>
        </w:rPr>
        <w:t>, 2018)</w:t>
      </w:r>
      <w:bookmarkEnd w:id="38"/>
      <w:r w:rsidR="00DF1F01">
        <w:fldChar w:fldCharType="end"/>
      </w:r>
    </w:p>
    <w:p w14:paraId="7352E756" w14:textId="77777777" w:rsidR="00672C91" w:rsidRDefault="00672C91" w:rsidP="00672C91"/>
    <w:p w14:paraId="4E81B27F" w14:textId="77777777" w:rsidR="00672C91" w:rsidRPr="00672C91" w:rsidRDefault="00672C91" w:rsidP="00672C91"/>
    <w:p w14:paraId="60A98D79" w14:textId="77777777" w:rsidR="00672C91" w:rsidRDefault="00672C91" w:rsidP="007A5DF3">
      <w:pPr>
        <w:pStyle w:val="Heading2"/>
        <w:numPr>
          <w:ilvl w:val="1"/>
          <w:numId w:val="6"/>
        </w:numPr>
        <w:ind w:left="993" w:hanging="426"/>
      </w:pPr>
      <w:bookmarkStart w:id="39" w:name="_Toc137807598"/>
      <w:r>
        <w:t>APQP vs. Total Quality Management (TQM)</w:t>
      </w:r>
      <w:bookmarkEnd w:id="39"/>
    </w:p>
    <w:p w14:paraId="63A544E7" w14:textId="77777777" w:rsidR="008417BA" w:rsidRDefault="008417BA" w:rsidP="008417BA"/>
    <w:p w14:paraId="56514BFA" w14:textId="264F3D7F" w:rsidR="001965D0" w:rsidRDefault="001965D0" w:rsidP="001965D0">
      <w:pPr>
        <w:jc w:val="both"/>
      </w:pPr>
      <w:r>
        <w:t>As APQP is an emerging Quality methodology in the aviation sector, other approaches to Quality management have been adopted within aviation manufacturing companies. One such methodology is TQM</w:t>
      </w:r>
      <w:r w:rsidR="00DE240D">
        <w:t>,</w:t>
      </w:r>
      <w:r>
        <w:t xml:space="preserve"> an established method to improve quality in products and services provided to a customer. The </w:t>
      </w:r>
      <w:r w:rsidR="0088607F">
        <w:t>eight</w:t>
      </w:r>
      <w:r>
        <w:t xml:space="preserve"> guiding principles of TQM are shown </w:t>
      </w:r>
      <w:r w:rsidRPr="001965D0">
        <w:t xml:space="preserve">in </w:t>
      </w:r>
      <w:r w:rsidRPr="00687217">
        <w:fldChar w:fldCharType="begin"/>
      </w:r>
      <w:r w:rsidRPr="00687217">
        <w:instrText xml:space="preserve"> REF _Ref132544354 \h </w:instrText>
      </w:r>
      <w:r w:rsidR="00687217" w:rsidRPr="00CD37AA">
        <w:instrText xml:space="preserve"> \* MERGEFORMAT </w:instrText>
      </w:r>
      <w:r w:rsidRPr="00687217">
        <w:fldChar w:fldCharType="separate"/>
      </w:r>
      <w:r w:rsidR="008C301E" w:rsidRPr="008C301E">
        <w:t xml:space="preserve">Figure </w:t>
      </w:r>
      <w:r w:rsidR="008C301E" w:rsidRPr="008C301E">
        <w:rPr>
          <w:noProof/>
        </w:rPr>
        <w:t>13</w:t>
      </w:r>
      <w:r w:rsidRPr="00687217">
        <w:fldChar w:fldCharType="end"/>
      </w:r>
      <w:r w:rsidRPr="00687217">
        <w:t>.</w:t>
      </w:r>
      <w:r>
        <w:t xml:space="preserve"> </w:t>
      </w:r>
    </w:p>
    <w:p w14:paraId="07DC8B8B" w14:textId="77777777" w:rsidR="001965D0" w:rsidRDefault="001965D0" w:rsidP="008417BA"/>
    <w:p w14:paraId="32E1FF2E" w14:textId="77777777" w:rsidR="001965D0" w:rsidRDefault="008417BA" w:rsidP="001965D0">
      <w:pPr>
        <w:keepNext/>
        <w:jc w:val="center"/>
      </w:pPr>
      <w:r w:rsidRPr="008417BA">
        <w:rPr>
          <w:noProof/>
          <w:lang w:eastAsia="en-GB"/>
        </w:rPr>
        <w:lastRenderedPageBreak/>
        <w:drawing>
          <wp:inline distT="0" distB="0" distL="0" distR="0" wp14:anchorId="5C329EAF" wp14:editId="1CFE7405">
            <wp:extent cx="3562350" cy="2889151"/>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74490" cy="2898997"/>
                    </a:xfrm>
                    <a:prstGeom prst="rect">
                      <a:avLst/>
                    </a:prstGeom>
                  </pic:spPr>
                </pic:pic>
              </a:graphicData>
            </a:graphic>
          </wp:inline>
        </w:drawing>
      </w:r>
    </w:p>
    <w:p w14:paraId="23075D95" w14:textId="7A72A023" w:rsidR="008417BA" w:rsidRDefault="001965D0" w:rsidP="001965D0">
      <w:pPr>
        <w:pStyle w:val="Caption"/>
        <w:jc w:val="center"/>
      </w:pPr>
      <w:bookmarkStart w:id="40" w:name="_Ref132544354"/>
      <w:bookmarkStart w:id="41" w:name="_Ref132544349"/>
      <w:bookmarkStart w:id="42" w:name="_Toc137807639"/>
      <w:r w:rsidRPr="001965D0">
        <w:rPr>
          <w:b/>
        </w:rPr>
        <w:t xml:space="preserve">Figure </w:t>
      </w:r>
      <w:r w:rsidRPr="001965D0">
        <w:rPr>
          <w:b/>
        </w:rPr>
        <w:fldChar w:fldCharType="begin"/>
      </w:r>
      <w:r w:rsidRPr="001965D0">
        <w:rPr>
          <w:b/>
        </w:rPr>
        <w:instrText xml:space="preserve"> SEQ Figure \* ARABIC </w:instrText>
      </w:r>
      <w:r w:rsidRPr="001965D0">
        <w:rPr>
          <w:b/>
        </w:rPr>
        <w:fldChar w:fldCharType="separate"/>
      </w:r>
      <w:r w:rsidR="008C301E">
        <w:rPr>
          <w:b/>
          <w:noProof/>
        </w:rPr>
        <w:t>13</w:t>
      </w:r>
      <w:r w:rsidRPr="001965D0">
        <w:rPr>
          <w:b/>
        </w:rPr>
        <w:fldChar w:fldCharType="end"/>
      </w:r>
      <w:bookmarkEnd w:id="40"/>
      <w:r w:rsidRPr="001965D0">
        <w:rPr>
          <w:b/>
        </w:rPr>
        <w:t>: Total Quality Management (TQM)</w:t>
      </w:r>
      <w:r>
        <w:t xml:space="preserve"> principles</w:t>
      </w:r>
      <w:bookmarkEnd w:id="41"/>
      <w:bookmarkEnd w:id="42"/>
    </w:p>
    <w:p w14:paraId="6C9DD6BF" w14:textId="77777777" w:rsidR="001965D0" w:rsidRDefault="001965D0" w:rsidP="001965D0"/>
    <w:p w14:paraId="55FCA1B3" w14:textId="19A9F468" w:rsidR="00E96067" w:rsidRDefault="001965D0" w:rsidP="001965D0">
      <w:pPr>
        <w:jc w:val="both"/>
      </w:pPr>
      <w:r>
        <w:t>There are similarities between APQP and TQM methodologies</w:t>
      </w:r>
      <w:r w:rsidR="00E96067">
        <w:t>:</w:t>
      </w:r>
      <w:r>
        <w:t xml:space="preserve"> </w:t>
      </w:r>
    </w:p>
    <w:p w14:paraId="29BE74B5" w14:textId="4CD95832" w:rsidR="00C06781" w:rsidRDefault="00D502BA" w:rsidP="007A5DF3">
      <w:pPr>
        <w:pStyle w:val="ListParagraph"/>
        <w:numPr>
          <w:ilvl w:val="0"/>
          <w:numId w:val="15"/>
        </w:numPr>
        <w:jc w:val="both"/>
      </w:pPr>
      <w:r w:rsidRPr="004A3EBE">
        <w:rPr>
          <w:b/>
          <w:bCs/>
        </w:rPr>
        <w:t>Customer-orientation</w:t>
      </w:r>
      <w:r>
        <w:t>: b</w:t>
      </w:r>
      <w:r w:rsidR="001965D0">
        <w:t>oth approaches have a strong, underpinning foundation of being customer-orientated</w:t>
      </w:r>
      <w:r w:rsidR="0063785B">
        <w:t xml:space="preserve"> </w:t>
      </w:r>
      <w:r w:rsidR="0063785B">
        <w:fldChar w:fldCharType="begin" w:fldLock="1"/>
      </w:r>
      <w:r w:rsidR="009827BA">
        <w:instrText>ADDIN CSL_CITATION {"citationItems":[{"id":"ITEM-1","itemData":{"author":[{"dropping-particle":"","family":"Sonawane","given":"Pooja","non-dropping-particle":"","parse-names":false,"suffix":""},{"dropping-particle":"","family":"Bewoor","given":"Anand","non-dropping-particle":"","parse-names":false,"suffix":""}],"id":"ITEM-1","issue":"December","issued":{"date-parts":[["2020"]]},"title":"Understanding company ' s readiness to establish APQP as a standard QMS procedure","type":"article-journal"},"uris":["http://www.mendeley.com/documents/?uuid=9b48f4b9-b948-4fbe-a458-2c356b4ca660"]},{"id":"ITEM-2","itemData":{"DOI":"10.1108/02656710810908070","ISSN":"0265671X","abstract":"Purpose - Aims to examine the role of total quality management (TQM) towards enhancing customer satisfaction. Design/methodology/approach - Using meta-analysis, existing research studies on TQM and customer satisfaction were quantified, summarized, and tested for moderators to clarify TQM impact. Findings - It is found that TQM substantially increases customer satisfaction across diverse industrial and cultural settings. Originality/value - This research broadens the scope of TQM applicability across varied industrial and cultural settings to achieve higher customer focus, increased customer satisfaction, and stresses the need for more meta-analytic studies on the subject. © Emerald Group Publishing Limited.","author":[{"dropping-particle":"","family":"Mehra","given":"Satish","non-dropping-particle":"","parse-names":false,"suffix":""},{"dropping-particle":"","family":"Ranganathan","given":"Sampath","non-dropping-particle":"","parse-names":false,"suffix":""}],"container-title":"International Journal of Quality and Reliability Management","id":"ITEM-2","issue":"9","issued":{"date-parts":[["2008"]]},"page":"913-927","title":"Implementing total quality management with a focus on enhancing customer satisfaction","type":"article-journal","volume":"25"},"uris":["http://www.mendeley.com/documents/?uuid=28482287-cf92-458f-b74c-0fa73cd65f16"]}],"mendeley":{"formattedCitation":"(Mehra and Ranganathan, 2008; Sonawane and Bewoor, 2020)","plainTextFormattedCitation":"(Mehra and Ranganathan, 2008; Sonawane and Bewoor, 2020)","previouslyFormattedCitation":"(Mehra and Ranganathan, 2008; Sonawane and Bewoor, 2020)"},"properties":{"noteIndex":0},"schema":"https://github.com/citation-style-language/schema/raw/master/csl-citation.json"}</w:instrText>
      </w:r>
      <w:r w:rsidR="0063785B">
        <w:fldChar w:fldCharType="separate"/>
      </w:r>
      <w:r w:rsidR="00C06781" w:rsidRPr="00C06781">
        <w:rPr>
          <w:noProof/>
        </w:rPr>
        <w:t>(Mehra and Ranganathan, 2008; Sonawane and Bewoor, 2020)</w:t>
      </w:r>
      <w:r w:rsidR="0063785B">
        <w:fldChar w:fldCharType="end"/>
      </w:r>
      <w:r w:rsidR="0063785B">
        <w:t>.</w:t>
      </w:r>
      <w:r w:rsidR="001965D0">
        <w:t xml:space="preserve"> In APQP, the customer </w:t>
      </w:r>
      <w:r w:rsidR="00E96067">
        <w:t>share</w:t>
      </w:r>
      <w:r w:rsidR="005775B8">
        <w:t>s</w:t>
      </w:r>
      <w:r w:rsidR="001965D0">
        <w:t xml:space="preserve"> their requirements in to the PPAP folder</w:t>
      </w:r>
      <w:r w:rsidR="00E96067">
        <w:t>s so that</w:t>
      </w:r>
      <w:r w:rsidR="001965D0">
        <w:t xml:space="preserve"> </w:t>
      </w:r>
      <w:r w:rsidR="00E96067">
        <w:t>t</w:t>
      </w:r>
      <w:r w:rsidR="001965D0">
        <w:t xml:space="preserve">he supplier </w:t>
      </w:r>
      <w:r w:rsidR="00E96067">
        <w:t xml:space="preserve">can </w:t>
      </w:r>
      <w:r w:rsidR="001965D0">
        <w:t>evidence the</w:t>
      </w:r>
      <w:r w:rsidR="00E96067">
        <w:t>ir</w:t>
      </w:r>
      <w:r w:rsidR="001965D0">
        <w:t xml:space="preserve"> successful integration into the product. The customer is also the final approver of the PPAP and must be provided with an updated PPAP submittal for any manufacturing changes that will have an impact on the completed product. In TQM, </w:t>
      </w:r>
      <w:r w:rsidR="00901351">
        <w:t>continuous improvement strategies are used to ameliorate</w:t>
      </w:r>
      <w:r w:rsidR="001965D0">
        <w:t xml:space="preserve"> the product </w:t>
      </w:r>
      <w:r w:rsidR="00901351">
        <w:t>and increase</w:t>
      </w:r>
      <w:r w:rsidR="001965D0">
        <w:t xml:space="preserve"> customer satisfaction. </w:t>
      </w:r>
    </w:p>
    <w:p w14:paraId="026E1755" w14:textId="4230CAE4" w:rsidR="001965D0" w:rsidRDefault="00D502BA" w:rsidP="007A5DF3">
      <w:pPr>
        <w:pStyle w:val="ListParagraph"/>
        <w:numPr>
          <w:ilvl w:val="0"/>
          <w:numId w:val="15"/>
        </w:numPr>
        <w:jc w:val="both"/>
      </w:pPr>
      <w:r w:rsidRPr="004A3EBE">
        <w:rPr>
          <w:b/>
          <w:bCs/>
        </w:rPr>
        <w:t>Employees’ support and contribution</w:t>
      </w:r>
      <w:r>
        <w:t>: b</w:t>
      </w:r>
      <w:r w:rsidR="001965D0">
        <w:t>oth APQP and TQM rely on employees to contribute towards product quality, communicating efficiently and effectively to address any concerns, using a system</w:t>
      </w:r>
      <w:r w:rsidR="007C2479">
        <w:t>-</w:t>
      </w:r>
      <w:r w:rsidR="001965D0">
        <w:t>based approach</w:t>
      </w:r>
      <w:r w:rsidR="00556C27">
        <w:t xml:space="preserve"> </w:t>
      </w:r>
      <w:r w:rsidR="00556C27">
        <w:fldChar w:fldCharType="begin" w:fldLock="1"/>
      </w:r>
      <w:r w:rsidR="00617BAA">
        <w:instrText>ADDIN CSL_CITATION {"citationItems":[{"id":"ITEM-1","itemData":{"DOI":"10.18178/joebm.2020.8.2.619","ISSN":"23013567","abstract":"… The successful implementation of creative ideas … the organization‟s type of business [20]. Literature on innovation often mentioned that innovation is one of firms‟ key success factors …","author":[{"dropping-particle":"","family":"Suebsook","given":"Sasiwimon","non-dropping-particle":"","parse-names":false,"suffix":""},{"dropping-particle":"","family":"Chaveesuk","given":"Singha","non-dropping-particle":"","parse-names":false,"suffix":""}],"container-title":"Journal of Economics, Business and Management","id":"ITEM-1","issue":"2","issued":{"date-parts":[["2020"]]},"page":"91-95","title":"Innovation, Cross-Functional Team Effectiveness and Firm Performance: An Integrated Framework for Thai Automotive Industry","type":"article-journal","volume":"8"},"uris":["http://www.mendeley.com/documents/?uuid=78db328d-4b66-4976-b276-42b5a6330e65"]},{"id":"ITEM-2","itemData":{"DOI":"10.1080/09544129650035034","ISSN":"0954-4127","abstract":"We present in this paper a number of propositions regarding the implementation of total quality management (TQM). These propositions are derived from a study of Malcolm Baldrige National Quality Award winners. The propositions are structured into four groups dealing with cultural change, focus, employee ownership of the processes, and strategic partnering with customers and suppliers. Each of these issues is critical to the implementation or sustainability of TQM in organizations. It is not our intention from the discussion of these propositions to present answers, but instead to generate meaningful and interesting research questions on the implementation of TQM.","author":[{"dropping-particle":"","family":"Matta","given":"Khalil","non-dropping-particle":"","parse-names":false,"suffix":""}],"container-title":"Total Quality Management","id":"ITEM-2","issue":"1","issued":{"date-parts":[["1996","2","25"]]},"page":"39-50","publisher":"Routledge","title":"Research questions on the implementation of total quality management","type":"article-journal","volume":"7"},"uris":["http://www.mendeley.com/documents/?uuid=2a2739b5-da4b-33d2-ba31-54f50b9bd025"]}],"mendeley":{"formattedCitation":"(Matta, 1996; Suebsook and Chaveesuk, 2020)","plainTextFormattedCitation":"(Matta, 1996; Suebsook and Chaveesuk, 2020)","previouslyFormattedCitation":"(Matta, 1996; Suebsook and Chaveesuk, 2020)"},"properties":{"noteIndex":0},"schema":"https://github.com/citation-style-language/schema/raw/master/csl-citation.json"}</w:instrText>
      </w:r>
      <w:r w:rsidR="00556C27">
        <w:fldChar w:fldCharType="separate"/>
      </w:r>
      <w:r w:rsidR="00556C27" w:rsidRPr="00556C27">
        <w:rPr>
          <w:noProof/>
        </w:rPr>
        <w:t>(Matta, 1996; Suebsook and Chaveesuk, 2020)</w:t>
      </w:r>
      <w:r w:rsidR="00556C27">
        <w:fldChar w:fldCharType="end"/>
      </w:r>
      <w:r w:rsidR="001965D0">
        <w:t xml:space="preserve">. APQP </w:t>
      </w:r>
      <w:r w:rsidR="007C2479">
        <w:t>requires</w:t>
      </w:r>
      <w:r w:rsidR="001965D0">
        <w:t xml:space="preserve"> cross-functional group dynamic</w:t>
      </w:r>
      <w:r w:rsidR="007C2479">
        <w:t>s</w:t>
      </w:r>
      <w:r w:rsidR="001965D0">
        <w:t xml:space="preserve"> for most deliverables to gain advantages from the </w:t>
      </w:r>
      <w:r w:rsidR="007C2479">
        <w:t>different perspectives of the product matured by different groups involved in the project</w:t>
      </w:r>
      <w:r w:rsidR="009827BA">
        <w:t>.</w:t>
      </w:r>
      <w:r w:rsidR="001965D0">
        <w:t xml:space="preserve"> In TQM, the employees are expected to monitor the manufacture of the parts</w:t>
      </w:r>
      <w:r w:rsidR="007C2479">
        <w:t>/</w:t>
      </w:r>
      <w:r w:rsidR="001965D0">
        <w:t xml:space="preserve">products and identify when variation occurs within the process that could </w:t>
      </w:r>
      <w:r w:rsidR="007C2479">
        <w:t>lead to</w:t>
      </w:r>
      <w:r w:rsidR="001965D0">
        <w:t xml:space="preserve"> a non-conformance </w:t>
      </w:r>
      <w:r w:rsidR="007C2479">
        <w:t>in the final product</w:t>
      </w:r>
      <w:r w:rsidR="00556C27">
        <w:t>.</w:t>
      </w:r>
    </w:p>
    <w:p w14:paraId="5481D65E" w14:textId="77777777" w:rsidR="001965D0" w:rsidRDefault="001965D0" w:rsidP="001965D0">
      <w:pPr>
        <w:jc w:val="both"/>
      </w:pPr>
    </w:p>
    <w:p w14:paraId="1409C0BA" w14:textId="77777777" w:rsidR="001965D0" w:rsidRDefault="001965D0" w:rsidP="001965D0">
      <w:pPr>
        <w:jc w:val="both"/>
      </w:pPr>
      <w:r>
        <w:t>Although these two approaches seem interchangeable, there are significant differences in their application:</w:t>
      </w:r>
    </w:p>
    <w:p w14:paraId="55334B41" w14:textId="77777777" w:rsidR="001965D0" w:rsidRDefault="001965D0" w:rsidP="001965D0">
      <w:pPr>
        <w:jc w:val="both"/>
      </w:pPr>
    </w:p>
    <w:p w14:paraId="2BDAD27C" w14:textId="6630F645" w:rsidR="001965D0" w:rsidRDefault="001965D0" w:rsidP="007A5DF3">
      <w:pPr>
        <w:pStyle w:val="ListParagraph"/>
        <w:numPr>
          <w:ilvl w:val="0"/>
          <w:numId w:val="7"/>
        </w:numPr>
        <w:jc w:val="both"/>
      </w:pPr>
      <w:r w:rsidRPr="0088607F">
        <w:rPr>
          <w:b/>
        </w:rPr>
        <w:lastRenderedPageBreak/>
        <w:t>Focus</w:t>
      </w:r>
      <w:r w:rsidR="00D502BA">
        <w:t xml:space="preserve">: </w:t>
      </w:r>
      <w:r>
        <w:t>APQP is focussed on new product development</w:t>
      </w:r>
      <w:r w:rsidR="00A25120">
        <w:t xml:space="preserve"> and</w:t>
      </w:r>
      <w:r>
        <w:t xml:space="preserve"> prevent</w:t>
      </w:r>
      <w:r w:rsidR="00964527">
        <w:t>i</w:t>
      </w:r>
      <w:r w:rsidR="00A25120">
        <w:t>on of</w:t>
      </w:r>
      <w:r>
        <w:t xml:space="preserve"> manufacturing non-conformances from occurring by designing them out. TQM focus is on improving quality of products and services throughout a business </w:t>
      </w:r>
    </w:p>
    <w:p w14:paraId="04C998AC" w14:textId="77777777" w:rsidR="00C83480" w:rsidRDefault="00C83480" w:rsidP="00C83480">
      <w:pPr>
        <w:pStyle w:val="ListParagraph"/>
        <w:jc w:val="both"/>
      </w:pPr>
    </w:p>
    <w:p w14:paraId="44F2A5BF" w14:textId="76359883" w:rsidR="00C83480" w:rsidRDefault="001965D0" w:rsidP="007A5DF3">
      <w:pPr>
        <w:pStyle w:val="ListParagraph"/>
        <w:numPr>
          <w:ilvl w:val="0"/>
          <w:numId w:val="7"/>
        </w:numPr>
        <w:jc w:val="both"/>
      </w:pPr>
      <w:r w:rsidRPr="0088607F">
        <w:rPr>
          <w:b/>
        </w:rPr>
        <w:t>Scope</w:t>
      </w:r>
      <w:r w:rsidR="00D502BA">
        <w:t>:</w:t>
      </w:r>
      <w:r>
        <w:t xml:space="preserve"> Whilst APQP is limited to new product development, TQM can be applied to any area of the business, including IT and service departments</w:t>
      </w:r>
    </w:p>
    <w:p w14:paraId="2BCD711F" w14:textId="77777777" w:rsidR="00C83480" w:rsidRDefault="00C83480" w:rsidP="00C83480">
      <w:pPr>
        <w:pStyle w:val="ListParagraph"/>
        <w:jc w:val="both"/>
      </w:pPr>
    </w:p>
    <w:p w14:paraId="037978D9" w14:textId="679C7884" w:rsidR="001965D0" w:rsidRDefault="001965D0" w:rsidP="007A5DF3">
      <w:pPr>
        <w:pStyle w:val="ListParagraph"/>
        <w:numPr>
          <w:ilvl w:val="0"/>
          <w:numId w:val="7"/>
        </w:numPr>
        <w:jc w:val="both"/>
      </w:pPr>
      <w:r w:rsidRPr="0088607F">
        <w:rPr>
          <w:b/>
        </w:rPr>
        <w:t>Methods</w:t>
      </w:r>
      <w:r w:rsidR="00D502BA">
        <w:t>:</w:t>
      </w:r>
      <w:r>
        <w:t xml:space="preserve"> APQP is a very structured process to create an evidence pack that demonstrate</w:t>
      </w:r>
      <w:r w:rsidR="00612D2D">
        <w:t>s</w:t>
      </w:r>
      <w:r>
        <w:t xml:space="preserve"> conformity to the customer</w:t>
      </w:r>
      <w:r w:rsidR="00BF15B1">
        <w:t>’s</w:t>
      </w:r>
      <w:r>
        <w:t xml:space="preserve"> requirements. The aim is to design out any potential non-conformities and deviation</w:t>
      </w:r>
      <w:r w:rsidR="004D19A7">
        <w:t>s</w:t>
      </w:r>
      <w:r>
        <w:t xml:space="preserve"> from contractual obligations through risk</w:t>
      </w:r>
      <w:r w:rsidR="004D19A7">
        <w:t>-</w:t>
      </w:r>
      <w:r>
        <w:t>based design, manufacturing and assembly assessment and mitigation. TQM uses a variety of quality tools, including but not limited to SPC, Control Plans and Continuous Improvement strategies</w:t>
      </w:r>
      <w:r w:rsidR="004A3EBE">
        <w:t>, but does not consider risk identification, instead focusing on existing process/product performance.</w:t>
      </w:r>
    </w:p>
    <w:p w14:paraId="661DD45A" w14:textId="77777777" w:rsidR="001965D0" w:rsidRDefault="001965D0" w:rsidP="001965D0">
      <w:pPr>
        <w:jc w:val="both"/>
      </w:pPr>
    </w:p>
    <w:p w14:paraId="483BC3C0" w14:textId="682EA433" w:rsidR="00CA4ABD" w:rsidRDefault="001965D0" w:rsidP="001965D0">
      <w:pPr>
        <w:jc w:val="both"/>
      </w:pPr>
      <w:r>
        <w:t xml:space="preserve">The differences between the two approaches allow both methodologies to co-exist together within the same organisation. </w:t>
      </w:r>
      <w:r w:rsidR="00A31C52">
        <w:t>Furthermore,</w:t>
      </w:r>
      <w:r>
        <w:t xml:space="preserve"> </w:t>
      </w:r>
      <w:r w:rsidR="00A31C52">
        <w:t xml:space="preserve">the two </w:t>
      </w:r>
      <w:r>
        <w:t xml:space="preserve">approaches </w:t>
      </w:r>
      <w:r w:rsidR="00A31C52">
        <w:t xml:space="preserve">can complement and reinforce each other, for example by improve a business’ relationship with its </w:t>
      </w:r>
      <w:r>
        <w:t>customer</w:t>
      </w:r>
      <w:r w:rsidR="00A31C52">
        <w:t>s.</w:t>
      </w:r>
      <w:r>
        <w:t xml:space="preserve"> APQP </w:t>
      </w:r>
      <w:r w:rsidR="000F4069">
        <w:t xml:space="preserve">can </w:t>
      </w:r>
      <w:r>
        <w:t>strengthe</w:t>
      </w:r>
      <w:r w:rsidR="000F4069">
        <w:t>n</w:t>
      </w:r>
      <w:r>
        <w:t xml:space="preserve"> the company-customer bond by involving the customer and their requirements into the design and development stages. </w:t>
      </w:r>
      <w:r w:rsidR="00CA4ABD">
        <w:t>The customer focus and positive customer rapport is then continued by adopting TQM in the production phase.</w:t>
      </w:r>
    </w:p>
    <w:p w14:paraId="4814E4B5" w14:textId="605E34C2" w:rsidR="00CA4ABD" w:rsidRDefault="001965D0" w:rsidP="001965D0">
      <w:pPr>
        <w:jc w:val="both"/>
      </w:pPr>
      <w:r>
        <w:t xml:space="preserve"> As APQP continues post-PPAP into the production phase (Phase 5</w:t>
      </w:r>
      <w:r w:rsidR="00D83B21">
        <w:t xml:space="preserve">, </w:t>
      </w:r>
      <w:r w:rsidR="00D83B21" w:rsidRPr="00A256CE">
        <w:t>see Table 1</w:t>
      </w:r>
      <w:r w:rsidR="00D83B21">
        <w:t xml:space="preserve"> above</w:t>
      </w:r>
      <w:r>
        <w:t xml:space="preserve">), TQM and APQP methodologies are relatively interchangeable, allowing a company to continue to operate TQM initiatives to satisfy the APQP production phase requirements, other than a PPAP resubmittal for design changes. </w:t>
      </w:r>
    </w:p>
    <w:p w14:paraId="55D709D0" w14:textId="77777777" w:rsidR="00CA4ABD" w:rsidRDefault="001965D0" w:rsidP="001965D0">
      <w:pPr>
        <w:jc w:val="both"/>
      </w:pPr>
      <w:r>
        <w:t>Furthermore, APQP supports TQM by utilising the output of TQM Continuous Improvement activities as feedback into new development programs in the form of Lesson</w:t>
      </w:r>
      <w:r w:rsidR="00553A23">
        <w:t>s</w:t>
      </w:r>
      <w:r>
        <w:t xml:space="preserve"> Learnt and the experience of the team members that form the cross-functional group dynamic for most APQP deliverables. </w:t>
      </w:r>
    </w:p>
    <w:p w14:paraId="21687164" w14:textId="191AD676" w:rsidR="001965D0" w:rsidRDefault="001965D0" w:rsidP="001965D0">
      <w:pPr>
        <w:jc w:val="both"/>
      </w:pPr>
      <w:r>
        <w:t>By incorporating APQP into a TQM company, the business benefits from better customer satisfaction, potentially leading to repeat custom, as well as incorporating the reduction in the Cost of Non-Quality (CoNQ) in active programs back into new development projects, compounding the TQM benefits.</w:t>
      </w:r>
    </w:p>
    <w:p w14:paraId="3ED2C3FF" w14:textId="77777777" w:rsidR="00672C91" w:rsidRPr="00672C91" w:rsidRDefault="00672C91" w:rsidP="00672C91"/>
    <w:p w14:paraId="36B5F018" w14:textId="77777777" w:rsidR="00672C91" w:rsidRPr="00672C91" w:rsidRDefault="00724123" w:rsidP="007A5DF3">
      <w:pPr>
        <w:pStyle w:val="Heading2"/>
        <w:numPr>
          <w:ilvl w:val="1"/>
          <w:numId w:val="6"/>
        </w:numPr>
        <w:ind w:left="993" w:hanging="426"/>
      </w:pPr>
      <w:bookmarkStart w:id="43" w:name="_Toc137807599"/>
      <w:r>
        <w:t xml:space="preserve">APQP </w:t>
      </w:r>
      <w:r w:rsidR="00672C91">
        <w:t>a</w:t>
      </w:r>
      <w:r>
        <w:t>t Safran</w:t>
      </w:r>
      <w:bookmarkEnd w:id="43"/>
    </w:p>
    <w:p w14:paraId="7CC8961E" w14:textId="77777777" w:rsidR="004B4685" w:rsidRDefault="004B4685" w:rsidP="00AD209D">
      <w:pPr>
        <w:rPr>
          <w:sz w:val="20"/>
        </w:rPr>
      </w:pPr>
    </w:p>
    <w:p w14:paraId="3633EF17" w14:textId="3AC7DA24" w:rsidR="00715E82" w:rsidRPr="00CD37AA" w:rsidRDefault="00715E82" w:rsidP="00AD209D">
      <w:r w:rsidRPr="00CD37AA">
        <w:lastRenderedPageBreak/>
        <w:t xml:space="preserve">Although there is currently no Safran entity within the </w:t>
      </w:r>
      <w:r w:rsidR="003D48AC">
        <w:t>S</w:t>
      </w:r>
      <w:r w:rsidRPr="00CD37AA">
        <w:t xml:space="preserve">eats group that has implemented APQP, Safran have produced a top-level document and training course on the </w:t>
      </w:r>
      <w:r w:rsidR="005C2FC1" w:rsidRPr="00CD37AA">
        <w:t xml:space="preserve">potential alignment of APQP within the group’s activities, </w:t>
      </w:r>
      <w:r w:rsidR="005C2FC1" w:rsidRPr="00CD37AA">
        <w:fldChar w:fldCharType="begin"/>
      </w:r>
      <w:r w:rsidR="005C2FC1" w:rsidRPr="00CD37AA">
        <w:instrText xml:space="preserve"> REF _Ref133590263 \h </w:instrText>
      </w:r>
      <w:r w:rsidR="005257E7" w:rsidRPr="005257E7">
        <w:instrText xml:space="preserve"> \* MERGEFORMAT </w:instrText>
      </w:r>
      <w:r w:rsidR="005C2FC1" w:rsidRPr="00CD37AA">
        <w:fldChar w:fldCharType="separate"/>
      </w:r>
      <w:r w:rsidR="008C301E" w:rsidRPr="008C301E">
        <w:t xml:space="preserve">Figure </w:t>
      </w:r>
      <w:r w:rsidR="008C301E" w:rsidRPr="008C301E">
        <w:rPr>
          <w:noProof/>
        </w:rPr>
        <w:t>14</w:t>
      </w:r>
      <w:r w:rsidR="005C2FC1" w:rsidRPr="00CD37AA">
        <w:fldChar w:fldCharType="end"/>
      </w:r>
      <w:r w:rsidR="00EE71D9">
        <w:t xml:space="preserve">, developed from </w:t>
      </w:r>
      <w:r w:rsidR="00EE71D9">
        <w:fldChar w:fldCharType="begin"/>
      </w:r>
      <w:r w:rsidR="00EE71D9">
        <w:instrText xml:space="preserve"> REF _Ref137802592 \h </w:instrText>
      </w:r>
      <w:r w:rsidR="00EE71D9">
        <w:fldChar w:fldCharType="separate"/>
      </w:r>
      <w:r w:rsidR="008C301E">
        <w:t xml:space="preserve">Appendix </w:t>
      </w:r>
      <w:r w:rsidR="008C301E">
        <w:rPr>
          <w:noProof/>
        </w:rPr>
        <w:t>3</w:t>
      </w:r>
      <w:r w:rsidR="00EE71D9">
        <w:fldChar w:fldCharType="end"/>
      </w:r>
      <w:r w:rsidR="00EE71D9">
        <w:t>.</w:t>
      </w:r>
    </w:p>
    <w:p w14:paraId="0168184E" w14:textId="77777777" w:rsidR="004E347C" w:rsidRDefault="004B4685" w:rsidP="004E347C">
      <w:pPr>
        <w:keepNext/>
        <w:jc w:val="center"/>
      </w:pPr>
      <w:r w:rsidRPr="004B4685">
        <w:rPr>
          <w:noProof/>
          <w:sz w:val="20"/>
          <w:lang w:eastAsia="en-GB"/>
        </w:rPr>
        <w:drawing>
          <wp:inline distT="0" distB="0" distL="0" distR="0" wp14:anchorId="68B5B27D" wp14:editId="1D8D5AFA">
            <wp:extent cx="5968538" cy="2900035"/>
            <wp:effectExtent l="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968538" cy="2900035"/>
                    </a:xfrm>
                    <a:prstGeom prst="rect">
                      <a:avLst/>
                    </a:prstGeom>
                  </pic:spPr>
                </pic:pic>
              </a:graphicData>
            </a:graphic>
          </wp:inline>
        </w:drawing>
      </w:r>
    </w:p>
    <w:p w14:paraId="11791EBD" w14:textId="6A4961FC" w:rsidR="004B4685" w:rsidRDefault="004E347C" w:rsidP="004E347C">
      <w:pPr>
        <w:pStyle w:val="Caption"/>
        <w:jc w:val="center"/>
      </w:pPr>
      <w:bookmarkStart w:id="44" w:name="_Ref133590263"/>
      <w:bookmarkStart w:id="45" w:name="_Toc137807640"/>
      <w:r w:rsidRPr="004E347C">
        <w:rPr>
          <w:b/>
        </w:rPr>
        <w:t xml:space="preserve">Figure </w:t>
      </w:r>
      <w:r w:rsidRPr="004E347C">
        <w:rPr>
          <w:b/>
        </w:rPr>
        <w:fldChar w:fldCharType="begin"/>
      </w:r>
      <w:r w:rsidRPr="004E347C">
        <w:rPr>
          <w:b/>
        </w:rPr>
        <w:instrText xml:space="preserve"> SEQ Figure \* ARABIC </w:instrText>
      </w:r>
      <w:r w:rsidRPr="004E347C">
        <w:rPr>
          <w:b/>
        </w:rPr>
        <w:fldChar w:fldCharType="separate"/>
      </w:r>
      <w:r w:rsidR="008C301E">
        <w:rPr>
          <w:b/>
          <w:noProof/>
        </w:rPr>
        <w:t>14</w:t>
      </w:r>
      <w:r w:rsidRPr="004E347C">
        <w:rPr>
          <w:b/>
        </w:rPr>
        <w:fldChar w:fldCharType="end"/>
      </w:r>
      <w:bookmarkEnd w:id="44"/>
      <w:r w:rsidRPr="004E347C">
        <w:rPr>
          <w:b/>
        </w:rPr>
        <w:t>: SGB APQP alignment against standard SGB industrialisation processes</w:t>
      </w:r>
      <w:r>
        <w:t>, including supplier management process (GRP-0087) &amp; Master Program Scheduling (PROMPT)</w:t>
      </w:r>
      <w:bookmarkEnd w:id="45"/>
    </w:p>
    <w:p w14:paraId="6E9CE730" w14:textId="77777777" w:rsidR="003706F4" w:rsidRDefault="003706F4" w:rsidP="003706F4"/>
    <w:p w14:paraId="145E206D" w14:textId="77777777" w:rsidR="005C2FC1" w:rsidRDefault="005C2FC1" w:rsidP="006A7370">
      <w:pPr>
        <w:jc w:val="both"/>
      </w:pPr>
      <w:r>
        <w:t>The figure demonstrates how the five phases of APQP should align to the following Safran activities:</w:t>
      </w:r>
    </w:p>
    <w:p w14:paraId="7A0EBAC1" w14:textId="77777777" w:rsidR="005C2FC1" w:rsidRDefault="005C2FC1" w:rsidP="006A7370">
      <w:pPr>
        <w:jc w:val="both"/>
      </w:pPr>
    </w:p>
    <w:p w14:paraId="221F710E" w14:textId="77777777" w:rsidR="005C2FC1" w:rsidRDefault="005C2FC1" w:rsidP="007A5DF3">
      <w:pPr>
        <w:pStyle w:val="ListParagraph"/>
        <w:numPr>
          <w:ilvl w:val="0"/>
          <w:numId w:val="10"/>
        </w:numPr>
        <w:jc w:val="both"/>
      </w:pPr>
      <w:r w:rsidRPr="005C2FC1">
        <w:rPr>
          <w:b/>
        </w:rPr>
        <w:t>Supplier tollgates</w:t>
      </w:r>
      <w:r>
        <w:t xml:space="preserve"> – the product development gates a supplier would have to follow. The gate process provides evidence that the maturity of their manufacturing is progressing in line with the master project schedule provided by SGB (GRP-0087/GRP-0165).  </w:t>
      </w:r>
    </w:p>
    <w:p w14:paraId="2B40F224" w14:textId="77777777" w:rsidR="005C2FC1" w:rsidRDefault="005C2FC1" w:rsidP="006A7370">
      <w:pPr>
        <w:pStyle w:val="ListParagraph"/>
        <w:jc w:val="both"/>
      </w:pPr>
    </w:p>
    <w:p w14:paraId="75961090" w14:textId="77777777" w:rsidR="005C2FC1" w:rsidRDefault="005C2FC1" w:rsidP="007A5DF3">
      <w:pPr>
        <w:pStyle w:val="ListParagraph"/>
        <w:numPr>
          <w:ilvl w:val="0"/>
          <w:numId w:val="10"/>
        </w:numPr>
        <w:jc w:val="both"/>
      </w:pPr>
      <w:r w:rsidRPr="005C2FC1">
        <w:rPr>
          <w:b/>
        </w:rPr>
        <w:t>PROMPT tollgates</w:t>
      </w:r>
      <w:r>
        <w:t xml:space="preserve"> – the SGB gates used to monitor the maturity of a project against the master schedule from an internal activity perspective.</w:t>
      </w:r>
    </w:p>
    <w:p w14:paraId="19065B14" w14:textId="77777777" w:rsidR="005C2FC1" w:rsidRDefault="005C2FC1" w:rsidP="006A7370">
      <w:pPr>
        <w:pStyle w:val="ListParagraph"/>
        <w:jc w:val="both"/>
      </w:pPr>
    </w:p>
    <w:p w14:paraId="23E0BDFF" w14:textId="4243BEEA" w:rsidR="005C2FC1" w:rsidRDefault="005C2FC1" w:rsidP="007A5DF3">
      <w:pPr>
        <w:pStyle w:val="ListParagraph"/>
        <w:numPr>
          <w:ilvl w:val="0"/>
          <w:numId w:val="10"/>
        </w:numPr>
        <w:jc w:val="both"/>
      </w:pPr>
      <w:r w:rsidRPr="005C2FC1">
        <w:rPr>
          <w:b/>
        </w:rPr>
        <w:t>One Safran</w:t>
      </w:r>
      <w:r>
        <w:t xml:space="preserve"> – the master engineering tollgates that create </w:t>
      </w:r>
      <w:r w:rsidR="00D83B21">
        <w:t>lower-level</w:t>
      </w:r>
      <w:r>
        <w:t xml:space="preserve"> activities to monitor the progression of the design maturity.</w:t>
      </w:r>
    </w:p>
    <w:p w14:paraId="7FE5AE28" w14:textId="77777777" w:rsidR="005C2FC1" w:rsidRDefault="005C2FC1" w:rsidP="006A7370">
      <w:pPr>
        <w:jc w:val="both"/>
      </w:pPr>
    </w:p>
    <w:p w14:paraId="29574286" w14:textId="77777777" w:rsidR="00E44F01" w:rsidRDefault="00E44F01" w:rsidP="006A7370">
      <w:pPr>
        <w:jc w:val="both"/>
      </w:pPr>
      <w:r>
        <w:t>By aligning the APQP activities to these gates, the PROMPT tollgate process will ensure that the APQP deliverables are completed according to the master program schedule.</w:t>
      </w:r>
    </w:p>
    <w:p w14:paraId="139FCA40" w14:textId="77777777" w:rsidR="00E44F01" w:rsidRDefault="00E44F01" w:rsidP="006A7370">
      <w:pPr>
        <w:jc w:val="both"/>
      </w:pPr>
    </w:p>
    <w:p w14:paraId="741EBC3C" w14:textId="30127F22" w:rsidR="00E44F01" w:rsidRDefault="00E44F01" w:rsidP="006A7370">
      <w:pPr>
        <w:jc w:val="both"/>
      </w:pPr>
      <w:r>
        <w:lastRenderedPageBreak/>
        <w:t xml:space="preserve">The elements of a new product design at SGB that do align with APQP methodology are monitored through the One Safran process. As part of the process, the new development team </w:t>
      </w:r>
      <w:r w:rsidR="004D18F6">
        <w:t>carry out periodic ‘Master Engineering Reviews (MER</w:t>
      </w:r>
      <w:r w:rsidR="003569A4">
        <w:t>s</w:t>
      </w:r>
      <w:r w:rsidR="004D18F6">
        <w:t xml:space="preserve">)’ for the project. </w:t>
      </w:r>
      <w:r w:rsidR="003569A4">
        <w:t>A</w:t>
      </w:r>
      <w:bookmarkStart w:id="46" w:name="_GoBack"/>
      <w:bookmarkEnd w:id="46"/>
      <w:r w:rsidR="003569A4">
        <w:t xml:space="preserve"> MER</w:t>
      </w:r>
      <w:r w:rsidR="004D18F6">
        <w:t xml:space="preserve"> is a checklist measuring the maturity of the deliverable against the gate schedule requirements </w:t>
      </w:r>
      <w:r w:rsidR="003569A4">
        <w:t>(</w:t>
      </w:r>
      <w:r w:rsidR="004D18F6" w:rsidRPr="00E937E6">
        <w:fldChar w:fldCharType="begin"/>
      </w:r>
      <w:r w:rsidR="004D18F6" w:rsidRPr="00E937E6">
        <w:instrText xml:space="preserve"> REF _Ref133592361 \h </w:instrText>
      </w:r>
      <w:r w:rsidR="006A7370" w:rsidRPr="00E937E6">
        <w:instrText xml:space="preserve"> \* MERGEFORMAT </w:instrText>
      </w:r>
      <w:r w:rsidR="004D18F6" w:rsidRPr="00E937E6">
        <w:fldChar w:fldCharType="separate"/>
      </w:r>
      <w:r w:rsidR="008C301E" w:rsidRPr="008C301E">
        <w:t xml:space="preserve">Figure </w:t>
      </w:r>
      <w:r w:rsidR="008C301E" w:rsidRPr="008C301E">
        <w:rPr>
          <w:noProof/>
        </w:rPr>
        <w:t>15</w:t>
      </w:r>
      <w:r w:rsidR="004D18F6" w:rsidRPr="00E937E6">
        <w:fldChar w:fldCharType="end"/>
      </w:r>
      <w:r w:rsidR="003569A4">
        <w:t>)</w:t>
      </w:r>
      <w:r w:rsidR="004D18F6" w:rsidRPr="00E937E6">
        <w:t>.</w:t>
      </w:r>
      <w:r w:rsidR="004D18F6">
        <w:t xml:space="preserve"> The checklist does not contain any requirements for the deliverable to meet and is only used to monitor whether a deliverable is not started, in progress or complete. Although this approach will aid the monitoring of the completion of the activity, it will not ensure that the deliverable contains the information required to be effective in the APQP framework.</w:t>
      </w:r>
    </w:p>
    <w:p w14:paraId="5A283278" w14:textId="77777777" w:rsidR="004D18F6" w:rsidRDefault="004D18F6" w:rsidP="006A7370">
      <w:pPr>
        <w:jc w:val="both"/>
      </w:pPr>
    </w:p>
    <w:p w14:paraId="53251C5B" w14:textId="77777777" w:rsidR="003706F4" w:rsidRDefault="003706F4" w:rsidP="006A7370">
      <w:pPr>
        <w:keepNext/>
        <w:jc w:val="both"/>
      </w:pPr>
      <w:r w:rsidRPr="003706F4">
        <w:rPr>
          <w:noProof/>
          <w:lang w:eastAsia="en-GB"/>
        </w:rPr>
        <w:drawing>
          <wp:inline distT="0" distB="0" distL="0" distR="0" wp14:anchorId="52E7DC12" wp14:editId="23F281AC">
            <wp:extent cx="6473825" cy="3088005"/>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473825" cy="3088005"/>
                    </a:xfrm>
                    <a:prstGeom prst="rect">
                      <a:avLst/>
                    </a:prstGeom>
                  </pic:spPr>
                </pic:pic>
              </a:graphicData>
            </a:graphic>
          </wp:inline>
        </w:drawing>
      </w:r>
    </w:p>
    <w:p w14:paraId="51BDA513" w14:textId="4A6A5781" w:rsidR="003706F4" w:rsidRPr="003706F4" w:rsidRDefault="003706F4" w:rsidP="006A7370">
      <w:pPr>
        <w:pStyle w:val="Caption"/>
        <w:jc w:val="both"/>
      </w:pPr>
      <w:bookmarkStart w:id="47" w:name="_Ref133592361"/>
      <w:bookmarkStart w:id="48" w:name="_Toc137807641"/>
      <w:r w:rsidRPr="003706F4">
        <w:rPr>
          <w:b/>
        </w:rPr>
        <w:t xml:space="preserve">Figure </w:t>
      </w:r>
      <w:r w:rsidRPr="003706F4">
        <w:rPr>
          <w:b/>
        </w:rPr>
        <w:fldChar w:fldCharType="begin"/>
      </w:r>
      <w:r w:rsidRPr="003706F4">
        <w:rPr>
          <w:b/>
        </w:rPr>
        <w:instrText xml:space="preserve"> SEQ Figure \* ARABIC </w:instrText>
      </w:r>
      <w:r w:rsidRPr="003706F4">
        <w:rPr>
          <w:b/>
        </w:rPr>
        <w:fldChar w:fldCharType="separate"/>
      </w:r>
      <w:r w:rsidR="008C301E">
        <w:rPr>
          <w:b/>
          <w:noProof/>
        </w:rPr>
        <w:t>15</w:t>
      </w:r>
      <w:r w:rsidRPr="003706F4">
        <w:rPr>
          <w:b/>
        </w:rPr>
        <w:fldChar w:fldCharType="end"/>
      </w:r>
      <w:bookmarkEnd w:id="47"/>
      <w:r w:rsidRPr="003706F4">
        <w:rPr>
          <w:b/>
        </w:rPr>
        <w:t>: SGB Master Engineering Review (MER) checklist</w:t>
      </w:r>
      <w:r>
        <w:t xml:space="preserve"> for design validation at MER gate reviews</w:t>
      </w:r>
      <w:bookmarkEnd w:id="48"/>
    </w:p>
    <w:p w14:paraId="7372B7D2" w14:textId="77777777" w:rsidR="004B4685" w:rsidRDefault="004B4685" w:rsidP="006A7370">
      <w:pPr>
        <w:jc w:val="both"/>
        <w:rPr>
          <w:sz w:val="20"/>
        </w:rPr>
      </w:pPr>
    </w:p>
    <w:p w14:paraId="1302DF0A" w14:textId="5BF1A6BE" w:rsidR="00E02E68" w:rsidRPr="00C958FB" w:rsidRDefault="004D18F6" w:rsidP="006A7370">
      <w:pPr>
        <w:jc w:val="both"/>
        <w:rPr>
          <w:sz w:val="24"/>
          <w:szCs w:val="24"/>
        </w:rPr>
      </w:pPr>
      <w:r w:rsidRPr="00C958FB">
        <w:rPr>
          <w:sz w:val="24"/>
          <w:szCs w:val="24"/>
        </w:rPr>
        <w:t xml:space="preserve">To support APQP implementation at SGB, integrating the APQP deliverables into the MER gate would only indicate that the activities had been carried out. With no guidance on how to carry out the activities and no method to audit the </w:t>
      </w:r>
      <w:r w:rsidR="006A7370" w:rsidRPr="00C958FB">
        <w:rPr>
          <w:sz w:val="24"/>
          <w:szCs w:val="24"/>
        </w:rPr>
        <w:t>deliverables against a standard, the integrity of the deliverable cannot be assured. This could lead to excessive waste carrying out the deliverable whilst missing the key requirements the deliverable should address. To resolve the issue, supporting documentation for each deliverable required would help guide the activity to a successful conclusion. By incorporating the IAQG</w:t>
      </w:r>
      <w:r w:rsidR="00E02E68" w:rsidRPr="00C958FB">
        <w:rPr>
          <w:sz w:val="24"/>
          <w:szCs w:val="24"/>
        </w:rPr>
        <w:t xml:space="preserve"> APQP manual</w:t>
      </w:r>
      <w:r w:rsidR="0069173E">
        <w:rPr>
          <w:sz w:val="24"/>
          <w:szCs w:val="24"/>
        </w:rPr>
        <w:t xml:space="preserve"> </w:t>
      </w:r>
      <w:r w:rsidR="0069173E">
        <w:rPr>
          <w:sz w:val="24"/>
          <w:szCs w:val="24"/>
        </w:rPr>
        <w:fldChar w:fldCharType="begin" w:fldLock="1"/>
      </w:r>
      <w:r w:rsidR="00053DB3">
        <w:rPr>
          <w:sz w:val="24"/>
          <w:szCs w:val="24"/>
        </w:rPr>
        <w:instrText>ADDIN CSL_CITATION {"citationItems":[{"id":"ITEM-1","itemData":{"author":[{"dropping-particle":"","family":"IAQG","given":"","non-dropping-particle":"","parse-names":false,"suffix":""}],"id":"ITEM-1","issued":{"date-parts":[["2017"]]},"title":"Aerospace APQP/PPAP Manual Guidance material for International Aerospace Standard 9145","type":"report"},"uris":["http://www.mendeley.com/documents/?uuid=3e928d20-03a0-4d13-8b58-2b9cdee27099"]}],"mendeley":{"formattedCitation":"(IAQG, 2017)","plainTextFormattedCitation":"(IAQG, 2017)","previouslyFormattedCitation":"(IAQG, 2017)"},"properties":{"noteIndex":0},"schema":"https://github.com/citation-style-language/schema/raw/master/csl-citation.json"}</w:instrText>
      </w:r>
      <w:r w:rsidR="0069173E">
        <w:rPr>
          <w:sz w:val="24"/>
          <w:szCs w:val="24"/>
        </w:rPr>
        <w:fldChar w:fldCharType="separate"/>
      </w:r>
      <w:r w:rsidR="0069173E" w:rsidRPr="0069173E">
        <w:rPr>
          <w:noProof/>
          <w:sz w:val="24"/>
          <w:szCs w:val="24"/>
        </w:rPr>
        <w:t>(IAQG, 2017)</w:t>
      </w:r>
      <w:r w:rsidR="0069173E">
        <w:rPr>
          <w:sz w:val="24"/>
          <w:szCs w:val="24"/>
        </w:rPr>
        <w:fldChar w:fldCharType="end"/>
      </w:r>
      <w:r w:rsidR="00E02E68" w:rsidRPr="00C958FB">
        <w:rPr>
          <w:sz w:val="24"/>
          <w:szCs w:val="24"/>
        </w:rPr>
        <w:t xml:space="preserve"> into SGB’s processes, the communication flow between activities would improve as the inputs and outputs to each activity are documented. </w:t>
      </w:r>
    </w:p>
    <w:p w14:paraId="70333DE6" w14:textId="77777777" w:rsidR="00E02E68" w:rsidRPr="00C958FB" w:rsidRDefault="00E02E68" w:rsidP="006A7370">
      <w:pPr>
        <w:jc w:val="both"/>
        <w:rPr>
          <w:sz w:val="24"/>
          <w:szCs w:val="24"/>
        </w:rPr>
      </w:pPr>
    </w:p>
    <w:p w14:paraId="78DA9464" w14:textId="270D816D" w:rsidR="004D18F6" w:rsidRPr="00C958FB" w:rsidRDefault="00E02E68" w:rsidP="006A7370">
      <w:pPr>
        <w:jc w:val="both"/>
        <w:rPr>
          <w:sz w:val="24"/>
          <w:szCs w:val="24"/>
        </w:rPr>
      </w:pPr>
      <w:r w:rsidRPr="00C958FB">
        <w:rPr>
          <w:sz w:val="24"/>
          <w:szCs w:val="24"/>
        </w:rPr>
        <w:lastRenderedPageBreak/>
        <w:t>Incorporating the IAQG phase checklist requirements</w:t>
      </w:r>
      <w:r w:rsidR="00CE4DD1">
        <w:rPr>
          <w:sz w:val="24"/>
          <w:szCs w:val="24"/>
        </w:rPr>
        <w:t xml:space="preserve"> </w:t>
      </w:r>
      <w:r w:rsidR="00CE4DD1">
        <w:rPr>
          <w:sz w:val="24"/>
          <w:szCs w:val="24"/>
        </w:rPr>
        <w:fldChar w:fldCharType="begin" w:fldLock="1"/>
      </w:r>
      <w:r w:rsidR="00FF1DF4">
        <w:rPr>
          <w:sz w:val="24"/>
          <w:szCs w:val="24"/>
        </w:rPr>
        <w:instrText>ADDIN CSL_CITATION {"citationItems":[{"id":"ITEM-1","itemData":{"URL":"https://scmh.iaqg.org/plan-manage/#1612365454613-62320-undefined","author":[{"dropping-particle":"","family":"SCMH","given":"","non-dropping-particle":"","parse-names":false,"suffix":""}],"id":"ITEM-1","issued":{"date-parts":[["2021"]]},"title":"Plan and Manage - Advanced Product Quality Planning (APQP) 9145","type":"webpage"},"uris":["http://www.mendeley.com/documents/?uuid=91ea565c-1a4e-4f1d-9331-cbb70c315285"]}],"mendeley":{"formattedCitation":"(SCMH, 2021)","plainTextFormattedCitation":"(SCMH, 2021)","previouslyFormattedCitation":"(SCMH, 2021)"},"properties":{"noteIndex":0},"schema":"https://github.com/citation-style-language/schema/raw/master/csl-citation.json"}</w:instrText>
      </w:r>
      <w:r w:rsidR="00CE4DD1">
        <w:rPr>
          <w:sz w:val="24"/>
          <w:szCs w:val="24"/>
        </w:rPr>
        <w:fldChar w:fldCharType="separate"/>
      </w:r>
      <w:r w:rsidR="00CE4DD1" w:rsidRPr="00CE4DD1">
        <w:rPr>
          <w:noProof/>
          <w:sz w:val="24"/>
          <w:szCs w:val="24"/>
        </w:rPr>
        <w:t>(SCMH, 2021)</w:t>
      </w:r>
      <w:r w:rsidR="00CE4DD1">
        <w:rPr>
          <w:sz w:val="24"/>
          <w:szCs w:val="24"/>
        </w:rPr>
        <w:fldChar w:fldCharType="end"/>
      </w:r>
      <w:r w:rsidRPr="00C958FB">
        <w:rPr>
          <w:sz w:val="24"/>
          <w:szCs w:val="24"/>
        </w:rPr>
        <w:t xml:space="preserve"> </w:t>
      </w:r>
      <w:r w:rsidR="00F61CF7" w:rsidRPr="00C958FB">
        <w:rPr>
          <w:sz w:val="24"/>
          <w:szCs w:val="24"/>
        </w:rPr>
        <w:t>into</w:t>
      </w:r>
      <w:r w:rsidRPr="00C958FB">
        <w:rPr>
          <w:sz w:val="24"/>
          <w:szCs w:val="24"/>
        </w:rPr>
        <w:t xml:space="preserve"> the deliverables would ensure that the questions contained within the checklists are evidenced within each deliverable. As the IAQG is an Industry Body aimed at ensuring quality throughout the aerospace industry, aligning to their approach would ensure that the output of SGB’s APQP process meets the requirements from the industry. It would also help to ensure a smooth interaction with </w:t>
      </w:r>
      <w:r w:rsidR="007C7D37" w:rsidRPr="00C958FB">
        <w:rPr>
          <w:sz w:val="24"/>
          <w:szCs w:val="24"/>
        </w:rPr>
        <w:t>lower-level</w:t>
      </w:r>
      <w:r w:rsidRPr="00C958FB">
        <w:rPr>
          <w:sz w:val="24"/>
          <w:szCs w:val="24"/>
        </w:rPr>
        <w:t xml:space="preserve"> suppliers who have adopted the same approach.</w:t>
      </w:r>
    </w:p>
    <w:p w14:paraId="747BB9A2" w14:textId="77777777" w:rsidR="004B4685" w:rsidRPr="008F5358" w:rsidRDefault="004B4685" w:rsidP="00AD209D">
      <w:pPr>
        <w:rPr>
          <w:sz w:val="20"/>
        </w:rPr>
      </w:pPr>
    </w:p>
    <w:p w14:paraId="58878BD0" w14:textId="77777777" w:rsidR="00F175FB" w:rsidRDefault="00F175FB">
      <w:pPr>
        <w:rPr>
          <w:rFonts w:asciiTheme="majorHAnsi" w:eastAsiaTheme="majorEastAsia" w:hAnsiTheme="majorHAnsi" w:cstheme="majorBidi"/>
          <w:color w:val="2E74B5" w:themeColor="accent1" w:themeShade="BF"/>
          <w:sz w:val="32"/>
          <w:szCs w:val="32"/>
        </w:rPr>
      </w:pPr>
      <w:r>
        <w:br w:type="page"/>
      </w:r>
    </w:p>
    <w:p w14:paraId="498D7F0D" w14:textId="027FE71A" w:rsidR="00AD209D" w:rsidRDefault="00AD209D" w:rsidP="007A5DF3">
      <w:pPr>
        <w:pStyle w:val="Heading1"/>
        <w:numPr>
          <w:ilvl w:val="0"/>
          <w:numId w:val="6"/>
        </w:numPr>
      </w:pPr>
      <w:bookmarkStart w:id="49" w:name="_Toc137807600"/>
      <w:r>
        <w:lastRenderedPageBreak/>
        <w:t>Work carried out</w:t>
      </w:r>
      <w:bookmarkEnd w:id="49"/>
    </w:p>
    <w:p w14:paraId="3BC9AB36" w14:textId="77777777" w:rsidR="001F3015" w:rsidRDefault="001F3015" w:rsidP="00AD209D"/>
    <w:p w14:paraId="4865780D" w14:textId="64D9DE79" w:rsidR="001F3015" w:rsidRDefault="001F3015" w:rsidP="007A5DF3">
      <w:pPr>
        <w:pStyle w:val="Heading2"/>
        <w:numPr>
          <w:ilvl w:val="1"/>
          <w:numId w:val="6"/>
        </w:numPr>
      </w:pPr>
      <w:bookmarkStart w:id="50" w:name="_Toc137807601"/>
      <w:r>
        <w:t>Developing SGB</w:t>
      </w:r>
      <w:r w:rsidR="00DE75B9">
        <w:t>’</w:t>
      </w:r>
      <w:r>
        <w:t>s APQP Requirements</w:t>
      </w:r>
      <w:bookmarkEnd w:id="50"/>
    </w:p>
    <w:p w14:paraId="1E164AB9" w14:textId="306285EE" w:rsidR="00192C81" w:rsidRDefault="00192C81" w:rsidP="00AD209D"/>
    <w:p w14:paraId="4EB8CF61" w14:textId="27FB2A3E" w:rsidR="00720FA5" w:rsidRDefault="00720FA5" w:rsidP="00842D7D">
      <w:pPr>
        <w:jc w:val="both"/>
      </w:pPr>
      <w:r>
        <w:t xml:space="preserve">Prior to starting the project, a selection of potential projects </w:t>
      </w:r>
      <w:r w:rsidR="00DE75B9">
        <w:t>was</w:t>
      </w:r>
      <w:r>
        <w:t xml:space="preserve"> compiled to review together with the project sponsor. This approach allowed the sponsor to validate the potential project to ensure that it aligned to the business needs. Choosing a project together with the sponsor also ensures that the project will receive the interest and support of the person who could have the greatest impact on the success of the project. The following projects were discussed with the sponsor:</w:t>
      </w:r>
    </w:p>
    <w:p w14:paraId="3395374F" w14:textId="585290FD" w:rsidR="00720FA5" w:rsidRDefault="00720FA5" w:rsidP="00AD209D"/>
    <w:p w14:paraId="213D8042" w14:textId="60277853" w:rsidR="00720FA5" w:rsidRDefault="00720FA5" w:rsidP="007A5DF3">
      <w:pPr>
        <w:pStyle w:val="ListParagraph"/>
        <w:numPr>
          <w:ilvl w:val="0"/>
          <w:numId w:val="23"/>
        </w:numPr>
      </w:pPr>
      <w:r>
        <w:t>Improving the CoNQ at SGB</w:t>
      </w:r>
    </w:p>
    <w:p w14:paraId="5D1356F2" w14:textId="7282C00B" w:rsidR="00720FA5" w:rsidRDefault="00720FA5" w:rsidP="007A5DF3">
      <w:pPr>
        <w:pStyle w:val="ListParagraph"/>
        <w:numPr>
          <w:ilvl w:val="0"/>
          <w:numId w:val="23"/>
        </w:numPr>
      </w:pPr>
      <w:r>
        <w:t>Generating a central Quality Plan template for different project scales based on technicality of the project</w:t>
      </w:r>
    </w:p>
    <w:p w14:paraId="1D0E4F59" w14:textId="5E6BE357" w:rsidR="00720FA5" w:rsidRDefault="00720FA5" w:rsidP="007A5DF3">
      <w:pPr>
        <w:pStyle w:val="ListParagraph"/>
        <w:numPr>
          <w:ilvl w:val="0"/>
          <w:numId w:val="23"/>
        </w:numPr>
      </w:pPr>
      <w:r>
        <w:t>Introduction of an APQP framework</w:t>
      </w:r>
      <w:r w:rsidR="00B573B3">
        <w:t xml:space="preserve"> in preparation to accept an AS9145 contractual requirement project</w:t>
      </w:r>
    </w:p>
    <w:p w14:paraId="1472C2C5" w14:textId="14910279" w:rsidR="00720FA5" w:rsidRDefault="00720FA5" w:rsidP="00842D7D"/>
    <w:p w14:paraId="69BB8057" w14:textId="348C6AF3" w:rsidR="00776327" w:rsidRDefault="00776327" w:rsidP="00842D7D">
      <w:pPr>
        <w:jc w:val="both"/>
      </w:pPr>
      <w:r>
        <w:t>Of the three potential projects, the ‘</w:t>
      </w:r>
      <w:r w:rsidRPr="00776327">
        <w:t>Introduction of an APQP framework</w:t>
      </w:r>
      <w:r>
        <w:t xml:space="preserve">’ was </w:t>
      </w:r>
      <w:r w:rsidR="00F832F4">
        <w:t xml:space="preserve">selected due to a series of issues affecting the other two proposals: </w:t>
      </w:r>
      <w:r>
        <w:t>the first project would be affected by the current low production rates at SGB</w:t>
      </w:r>
      <w:r w:rsidR="00F832F4">
        <w:t xml:space="preserve">, while </w:t>
      </w:r>
      <w:r>
        <w:t>the Quality Plan template</w:t>
      </w:r>
      <w:r w:rsidR="00F832F4">
        <w:t xml:space="preserve"> project</w:t>
      </w:r>
      <w:r>
        <w:t xml:space="preserve"> </w:t>
      </w:r>
      <w:r w:rsidR="00F832F4">
        <w:t>was</w:t>
      </w:r>
      <w:r>
        <w:t xml:space="preserve"> deemed as a project </w:t>
      </w:r>
      <w:r w:rsidR="00F832F4">
        <w:t xml:space="preserve">with a </w:t>
      </w:r>
      <w:r>
        <w:t>negligible effect on SGB</w:t>
      </w:r>
      <w:r w:rsidR="000E5837">
        <w:t>’s</w:t>
      </w:r>
      <w:r>
        <w:t xml:space="preserve"> KPI</w:t>
      </w:r>
      <w:r w:rsidR="000E5837">
        <w:t>s</w:t>
      </w:r>
      <w:r>
        <w:t>.</w:t>
      </w:r>
    </w:p>
    <w:p w14:paraId="2C292716" w14:textId="27243187" w:rsidR="00776327" w:rsidRPr="00423E54" w:rsidRDefault="00776327" w:rsidP="00842D7D">
      <w:pPr>
        <w:jc w:val="both"/>
      </w:pPr>
      <w:r>
        <w:t xml:space="preserve">Once the project had been agreed, </w:t>
      </w:r>
      <w:r w:rsidR="00C7466A">
        <w:t xml:space="preserve">its </w:t>
      </w:r>
      <w:r>
        <w:t xml:space="preserve">scope was established together with </w:t>
      </w:r>
      <w:r w:rsidR="00C7466A">
        <w:t xml:space="preserve">the </w:t>
      </w:r>
      <w:r>
        <w:t xml:space="preserve">sponsor to identify the </w:t>
      </w:r>
      <w:r w:rsidR="009D1A16">
        <w:t xml:space="preserve">main </w:t>
      </w:r>
      <w:r w:rsidR="00AF476D">
        <w:t xml:space="preserve">areas to </w:t>
      </w:r>
      <w:r w:rsidR="009D1A16">
        <w:t>cover</w:t>
      </w:r>
      <w:r w:rsidR="00AF476D">
        <w:t xml:space="preserve">. The details from this review are shown </w:t>
      </w:r>
      <w:r w:rsidR="00AF476D" w:rsidRPr="00423E54">
        <w:t xml:space="preserve">in </w:t>
      </w:r>
      <w:r w:rsidR="00AF476D" w:rsidRPr="00423E54">
        <w:fldChar w:fldCharType="begin"/>
      </w:r>
      <w:r w:rsidR="00AF476D" w:rsidRPr="00423E54">
        <w:instrText xml:space="preserve"> REF _Ref136090200 \h </w:instrText>
      </w:r>
      <w:r w:rsidR="00423E54" w:rsidRPr="00CD37AA">
        <w:instrText xml:space="preserve"> \* MERGEFORMAT </w:instrText>
      </w:r>
      <w:r w:rsidR="00AF476D" w:rsidRPr="00423E54">
        <w:fldChar w:fldCharType="separate"/>
      </w:r>
      <w:r w:rsidR="008C301E" w:rsidRPr="008C301E">
        <w:t xml:space="preserve">Figure </w:t>
      </w:r>
      <w:r w:rsidR="008C301E" w:rsidRPr="008C301E">
        <w:rPr>
          <w:noProof/>
        </w:rPr>
        <w:t>16</w:t>
      </w:r>
      <w:r w:rsidR="00AF476D" w:rsidRPr="00423E54">
        <w:fldChar w:fldCharType="end"/>
      </w:r>
      <w:r w:rsidR="00AF476D" w:rsidRPr="00423E54">
        <w:t>.</w:t>
      </w:r>
    </w:p>
    <w:p w14:paraId="583D5F8A" w14:textId="77777777" w:rsidR="004E347C" w:rsidRDefault="00192C81">
      <w:pPr>
        <w:pStyle w:val="ListParagraph"/>
      </w:pPr>
      <w:r w:rsidRPr="00192C81">
        <w:rPr>
          <w:noProof/>
          <w:lang w:eastAsia="en-GB"/>
        </w:rPr>
        <w:lastRenderedPageBreak/>
        <w:drawing>
          <wp:inline distT="0" distB="0" distL="0" distR="0" wp14:anchorId="296562E0" wp14:editId="318EF87A">
            <wp:extent cx="6432404" cy="3613150"/>
            <wp:effectExtent l="0" t="0" r="698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450652" cy="3623400"/>
                    </a:xfrm>
                    <a:prstGeom prst="rect">
                      <a:avLst/>
                    </a:prstGeom>
                  </pic:spPr>
                </pic:pic>
              </a:graphicData>
            </a:graphic>
          </wp:inline>
        </w:drawing>
      </w:r>
    </w:p>
    <w:p w14:paraId="45872426" w14:textId="406F8C4E" w:rsidR="00192C81" w:rsidRDefault="004E347C" w:rsidP="0084346A">
      <w:pPr>
        <w:pStyle w:val="Caption"/>
      </w:pPr>
      <w:bookmarkStart w:id="51" w:name="_Ref136090200"/>
      <w:bookmarkStart w:id="52" w:name="_Toc137807642"/>
      <w:r w:rsidRPr="004E347C">
        <w:rPr>
          <w:b/>
        </w:rPr>
        <w:t xml:space="preserve">Figure </w:t>
      </w:r>
      <w:r w:rsidRPr="004E347C">
        <w:rPr>
          <w:b/>
        </w:rPr>
        <w:fldChar w:fldCharType="begin"/>
      </w:r>
      <w:r w:rsidRPr="004E347C">
        <w:rPr>
          <w:b/>
        </w:rPr>
        <w:instrText xml:space="preserve"> SEQ Figure \* ARABIC </w:instrText>
      </w:r>
      <w:r w:rsidRPr="004E347C">
        <w:rPr>
          <w:b/>
        </w:rPr>
        <w:fldChar w:fldCharType="separate"/>
      </w:r>
      <w:r w:rsidR="008C301E">
        <w:rPr>
          <w:b/>
          <w:noProof/>
        </w:rPr>
        <w:t>16</w:t>
      </w:r>
      <w:r w:rsidRPr="004E347C">
        <w:rPr>
          <w:b/>
        </w:rPr>
        <w:fldChar w:fldCharType="end"/>
      </w:r>
      <w:bookmarkEnd w:id="51"/>
      <w:r w:rsidRPr="004E347C">
        <w:rPr>
          <w:b/>
        </w:rPr>
        <w:t>: SGB standard '6-Pack' template</w:t>
      </w:r>
      <w:r>
        <w:t xml:space="preserve"> populated for the APQP/PPAP rollout at SGB</w:t>
      </w:r>
      <w:bookmarkEnd w:id="52"/>
    </w:p>
    <w:p w14:paraId="6C8298AC" w14:textId="55EBAEDB" w:rsidR="004E347C" w:rsidRDefault="004E347C" w:rsidP="004E347C"/>
    <w:p w14:paraId="4D9FDBA1" w14:textId="5476E03A" w:rsidR="00AF476D" w:rsidRDefault="00AF476D" w:rsidP="004E347C">
      <w:r>
        <w:t xml:space="preserve">To ensure that the APQP lead was able to undertake the project, a Strength, Weaknesses, Opportunities and Threats (SWOT) analysis was carried out, as </w:t>
      </w:r>
      <w:r w:rsidRPr="006D3312">
        <w:t xml:space="preserve">shown in </w:t>
      </w:r>
      <w:r w:rsidRPr="006D3312">
        <w:fldChar w:fldCharType="begin"/>
      </w:r>
      <w:r w:rsidRPr="006D3312">
        <w:instrText xml:space="preserve"> REF _Ref136090371 \h </w:instrText>
      </w:r>
      <w:r w:rsidR="006D3312" w:rsidRPr="00CD37AA">
        <w:instrText xml:space="preserve"> \* MERGEFORMAT </w:instrText>
      </w:r>
      <w:r w:rsidRPr="006D3312">
        <w:fldChar w:fldCharType="separate"/>
      </w:r>
      <w:r w:rsidR="008C301E" w:rsidRPr="008C301E">
        <w:t xml:space="preserve">Figure </w:t>
      </w:r>
      <w:r w:rsidR="008C301E" w:rsidRPr="008C301E">
        <w:rPr>
          <w:noProof/>
        </w:rPr>
        <w:t>17</w:t>
      </w:r>
      <w:r w:rsidRPr="006D3312">
        <w:fldChar w:fldCharType="end"/>
      </w:r>
      <w:r>
        <w:t>.</w:t>
      </w:r>
    </w:p>
    <w:p w14:paraId="0F0751AE" w14:textId="77777777" w:rsidR="00AF476D" w:rsidRDefault="00AF476D" w:rsidP="004E347C"/>
    <w:p w14:paraId="6927FAA3" w14:textId="77777777" w:rsidR="00D64D43" w:rsidRDefault="00D64D43" w:rsidP="00D64D43">
      <w:pPr>
        <w:keepNext/>
      </w:pPr>
      <w:r w:rsidRPr="00D64D43">
        <w:rPr>
          <w:noProof/>
          <w:lang w:eastAsia="en-GB"/>
        </w:rPr>
        <w:drawing>
          <wp:inline distT="0" distB="0" distL="0" distR="0" wp14:anchorId="54DF36A3" wp14:editId="123FEEA6">
            <wp:extent cx="6473825" cy="2497455"/>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73825" cy="2497455"/>
                    </a:xfrm>
                    <a:prstGeom prst="rect">
                      <a:avLst/>
                    </a:prstGeom>
                  </pic:spPr>
                </pic:pic>
              </a:graphicData>
            </a:graphic>
          </wp:inline>
        </w:drawing>
      </w:r>
    </w:p>
    <w:p w14:paraId="3DC73EAB" w14:textId="132CE4BE" w:rsidR="004E347C" w:rsidRDefault="00D64D43" w:rsidP="00D64D43">
      <w:pPr>
        <w:pStyle w:val="Caption"/>
      </w:pPr>
      <w:bookmarkStart w:id="53" w:name="_Ref136090371"/>
      <w:bookmarkStart w:id="54" w:name="_Toc137807643"/>
      <w:r w:rsidRPr="00D64D43">
        <w:rPr>
          <w:b/>
        </w:rPr>
        <w:t xml:space="preserve">Figure </w:t>
      </w:r>
      <w:r w:rsidRPr="00D64D43">
        <w:rPr>
          <w:b/>
        </w:rPr>
        <w:fldChar w:fldCharType="begin"/>
      </w:r>
      <w:r w:rsidRPr="00D64D43">
        <w:rPr>
          <w:b/>
        </w:rPr>
        <w:instrText xml:space="preserve"> SEQ Figure \* ARABIC </w:instrText>
      </w:r>
      <w:r w:rsidRPr="00D64D43">
        <w:rPr>
          <w:b/>
        </w:rPr>
        <w:fldChar w:fldCharType="separate"/>
      </w:r>
      <w:r w:rsidR="008C301E">
        <w:rPr>
          <w:b/>
          <w:noProof/>
        </w:rPr>
        <w:t>17</w:t>
      </w:r>
      <w:r w:rsidRPr="00D64D43">
        <w:rPr>
          <w:b/>
        </w:rPr>
        <w:fldChar w:fldCharType="end"/>
      </w:r>
      <w:bookmarkEnd w:id="53"/>
      <w:r w:rsidRPr="00D64D43">
        <w:rPr>
          <w:b/>
        </w:rPr>
        <w:t>: Initial project SWOT analysis</w:t>
      </w:r>
      <w:r>
        <w:t xml:space="preserve"> to prepare for project launch</w:t>
      </w:r>
      <w:bookmarkEnd w:id="54"/>
    </w:p>
    <w:p w14:paraId="1FBBFED7" w14:textId="51EDBB6D" w:rsidR="00D64D43" w:rsidRDefault="00D64D43" w:rsidP="004E347C"/>
    <w:p w14:paraId="53F3A937" w14:textId="6B0A0027" w:rsidR="003D484B" w:rsidRDefault="00D12B86" w:rsidP="00842D7D">
      <w:pPr>
        <w:jc w:val="both"/>
      </w:pPr>
      <w:r>
        <w:lastRenderedPageBreak/>
        <w:t>The opportunities section identified ways to develop the APQP lead</w:t>
      </w:r>
      <w:r w:rsidR="00442241">
        <w:t>’</w:t>
      </w:r>
      <w:r>
        <w:t xml:space="preserve">s ability to improve their potential to deliver a successful project. </w:t>
      </w:r>
      <w:r w:rsidR="00BD10AA">
        <w:t xml:space="preserve">To capitalise on the opportunities, the courses identified were captured in a Continuous </w:t>
      </w:r>
      <w:r w:rsidR="003D484B">
        <w:t>Personal</w:t>
      </w:r>
      <w:r w:rsidR="00BD10AA">
        <w:t xml:space="preserve"> Development (CPD) matrix</w:t>
      </w:r>
      <w:r w:rsidR="00BD10AA" w:rsidRPr="00C708DA">
        <w:t xml:space="preserve">, </w:t>
      </w:r>
      <w:r w:rsidR="00BD10AA" w:rsidRPr="00C708DA">
        <w:fldChar w:fldCharType="begin"/>
      </w:r>
      <w:r w:rsidR="00BD10AA" w:rsidRPr="00C708DA">
        <w:instrText xml:space="preserve"> REF _Ref136091795 \h </w:instrText>
      </w:r>
      <w:r w:rsidR="003D484B" w:rsidRPr="00C708DA">
        <w:instrText xml:space="preserve"> \* MERGEFORMAT </w:instrText>
      </w:r>
      <w:r w:rsidR="00BD10AA" w:rsidRPr="00C708DA">
        <w:fldChar w:fldCharType="separate"/>
      </w:r>
      <w:r w:rsidR="008C301E" w:rsidRPr="008C301E">
        <w:t xml:space="preserve">Table </w:t>
      </w:r>
      <w:r w:rsidR="008C301E" w:rsidRPr="008C301E">
        <w:rPr>
          <w:noProof/>
        </w:rPr>
        <w:t>2</w:t>
      </w:r>
      <w:r w:rsidR="00BD10AA" w:rsidRPr="00C708DA">
        <w:fldChar w:fldCharType="end"/>
      </w:r>
      <w:r w:rsidR="003D484B">
        <w:t>. The tool set out a plan to complete the courses prior to the main project launch and identif</w:t>
      </w:r>
      <w:r w:rsidR="002937D5">
        <w:t>ied</w:t>
      </w:r>
      <w:r w:rsidR="003D484B">
        <w:t xml:space="preserve"> how each course would support the project delivery.</w:t>
      </w:r>
    </w:p>
    <w:p w14:paraId="5E68B196" w14:textId="77E7C969" w:rsidR="00D12B86" w:rsidRDefault="00D12B86"/>
    <w:tbl>
      <w:tblPr>
        <w:tblStyle w:val="TableGrid"/>
        <w:tblW w:w="10485" w:type="dxa"/>
        <w:tblLook w:val="04A0" w:firstRow="1" w:lastRow="0" w:firstColumn="1" w:lastColumn="0" w:noHBand="0" w:noVBand="1"/>
      </w:tblPr>
      <w:tblGrid>
        <w:gridCol w:w="988"/>
        <w:gridCol w:w="1701"/>
        <w:gridCol w:w="1298"/>
        <w:gridCol w:w="2245"/>
        <w:gridCol w:w="4253"/>
      </w:tblGrid>
      <w:tr w:rsidR="003450F7" w:rsidRPr="0033688D" w14:paraId="736DF4E3" w14:textId="77777777" w:rsidTr="00A46640">
        <w:tc>
          <w:tcPr>
            <w:tcW w:w="988" w:type="dxa"/>
            <w:shd w:val="clear" w:color="auto" w:fill="BFBFBF" w:themeFill="background1" w:themeFillShade="BF"/>
          </w:tcPr>
          <w:p w14:paraId="5CD2EEA9" w14:textId="77777777" w:rsidR="003450F7" w:rsidRPr="0033688D" w:rsidRDefault="003450F7" w:rsidP="004E347C">
            <w:pPr>
              <w:rPr>
                <w:sz w:val="16"/>
              </w:rPr>
            </w:pPr>
            <w:r w:rsidRPr="0033688D">
              <w:rPr>
                <w:sz w:val="16"/>
              </w:rPr>
              <w:t>Date</w:t>
            </w:r>
          </w:p>
        </w:tc>
        <w:tc>
          <w:tcPr>
            <w:tcW w:w="1701" w:type="dxa"/>
            <w:shd w:val="clear" w:color="auto" w:fill="BFBFBF" w:themeFill="background1" w:themeFillShade="BF"/>
          </w:tcPr>
          <w:p w14:paraId="231AB85E" w14:textId="77777777" w:rsidR="003450F7" w:rsidRPr="0033688D" w:rsidRDefault="003450F7" w:rsidP="004E347C">
            <w:pPr>
              <w:rPr>
                <w:sz w:val="16"/>
              </w:rPr>
            </w:pPr>
            <w:r w:rsidRPr="0033688D">
              <w:rPr>
                <w:sz w:val="16"/>
              </w:rPr>
              <w:t>Description of Activity</w:t>
            </w:r>
          </w:p>
        </w:tc>
        <w:tc>
          <w:tcPr>
            <w:tcW w:w="1298" w:type="dxa"/>
            <w:shd w:val="clear" w:color="auto" w:fill="BFBFBF" w:themeFill="background1" w:themeFillShade="BF"/>
          </w:tcPr>
          <w:p w14:paraId="531FA1FF" w14:textId="77777777" w:rsidR="003450F7" w:rsidRPr="0033688D" w:rsidRDefault="003450F7" w:rsidP="004E347C">
            <w:pPr>
              <w:rPr>
                <w:sz w:val="16"/>
              </w:rPr>
            </w:pPr>
            <w:r w:rsidRPr="0033688D">
              <w:rPr>
                <w:sz w:val="16"/>
              </w:rPr>
              <w:t>Provider</w:t>
            </w:r>
          </w:p>
        </w:tc>
        <w:tc>
          <w:tcPr>
            <w:tcW w:w="2245" w:type="dxa"/>
            <w:shd w:val="clear" w:color="auto" w:fill="BFBFBF" w:themeFill="background1" w:themeFillShade="BF"/>
          </w:tcPr>
          <w:p w14:paraId="7F96A826" w14:textId="77777777" w:rsidR="003450F7" w:rsidRPr="0033688D" w:rsidRDefault="003450F7" w:rsidP="004E347C">
            <w:pPr>
              <w:rPr>
                <w:sz w:val="16"/>
              </w:rPr>
            </w:pPr>
            <w:r w:rsidRPr="0033688D">
              <w:rPr>
                <w:sz w:val="16"/>
              </w:rPr>
              <w:t>Evidence of Completion</w:t>
            </w:r>
          </w:p>
        </w:tc>
        <w:tc>
          <w:tcPr>
            <w:tcW w:w="4253" w:type="dxa"/>
            <w:shd w:val="clear" w:color="auto" w:fill="BFBFBF" w:themeFill="background1" w:themeFillShade="BF"/>
          </w:tcPr>
          <w:p w14:paraId="51BDA4F4" w14:textId="77777777" w:rsidR="003450F7" w:rsidRPr="0033688D" w:rsidRDefault="003450F7" w:rsidP="004E347C">
            <w:pPr>
              <w:rPr>
                <w:sz w:val="16"/>
              </w:rPr>
            </w:pPr>
            <w:r w:rsidRPr="0033688D">
              <w:rPr>
                <w:sz w:val="16"/>
              </w:rPr>
              <w:t>Reflection</w:t>
            </w:r>
          </w:p>
        </w:tc>
      </w:tr>
      <w:tr w:rsidR="003450F7" w:rsidRPr="00305937" w14:paraId="0D1D6D3A" w14:textId="77777777" w:rsidTr="00A46640">
        <w:tc>
          <w:tcPr>
            <w:tcW w:w="988" w:type="dxa"/>
          </w:tcPr>
          <w:p w14:paraId="5C5896E8" w14:textId="77777777" w:rsidR="003450F7" w:rsidRPr="0033688D" w:rsidRDefault="003450F7" w:rsidP="004E347C">
            <w:pPr>
              <w:rPr>
                <w:sz w:val="16"/>
              </w:rPr>
            </w:pPr>
            <w:r w:rsidRPr="0033688D">
              <w:rPr>
                <w:sz w:val="16"/>
              </w:rPr>
              <w:t>01-06-22</w:t>
            </w:r>
          </w:p>
        </w:tc>
        <w:tc>
          <w:tcPr>
            <w:tcW w:w="1701" w:type="dxa"/>
          </w:tcPr>
          <w:p w14:paraId="4DA23898" w14:textId="77777777" w:rsidR="003450F7" w:rsidRPr="0033688D" w:rsidRDefault="003450F7" w:rsidP="004E347C">
            <w:pPr>
              <w:rPr>
                <w:sz w:val="16"/>
              </w:rPr>
            </w:pPr>
            <w:r w:rsidRPr="0033688D">
              <w:rPr>
                <w:sz w:val="16"/>
              </w:rPr>
              <w:t>Safran APQP Course</w:t>
            </w:r>
          </w:p>
        </w:tc>
        <w:tc>
          <w:tcPr>
            <w:tcW w:w="1298" w:type="dxa"/>
          </w:tcPr>
          <w:p w14:paraId="6361F1CA" w14:textId="77777777" w:rsidR="003450F7" w:rsidRPr="0033688D" w:rsidRDefault="003450F7" w:rsidP="004E347C">
            <w:pPr>
              <w:rPr>
                <w:sz w:val="16"/>
              </w:rPr>
            </w:pPr>
            <w:r w:rsidRPr="0033688D">
              <w:rPr>
                <w:sz w:val="16"/>
              </w:rPr>
              <w:t>Safran</w:t>
            </w:r>
          </w:p>
        </w:tc>
        <w:tc>
          <w:tcPr>
            <w:tcW w:w="2245" w:type="dxa"/>
          </w:tcPr>
          <w:p w14:paraId="3F85B2AB" w14:textId="6C425DB9" w:rsidR="003450F7" w:rsidRPr="00305937" w:rsidRDefault="003450F7" w:rsidP="004E347C">
            <w:pPr>
              <w:rPr>
                <w:sz w:val="18"/>
              </w:rPr>
            </w:pPr>
            <w:r w:rsidRPr="003450F7">
              <w:rPr>
                <w:sz w:val="16"/>
              </w:rPr>
              <w:fldChar w:fldCharType="begin"/>
            </w:r>
            <w:r w:rsidRPr="003450F7">
              <w:rPr>
                <w:sz w:val="16"/>
              </w:rPr>
              <w:instrText xml:space="preserve"> REF _Ref132028000 \h </w:instrText>
            </w:r>
            <w:r>
              <w:rPr>
                <w:sz w:val="16"/>
              </w:rPr>
              <w:instrText xml:space="preserve"> \* MERGEFORMAT </w:instrText>
            </w:r>
            <w:r w:rsidRPr="003450F7">
              <w:rPr>
                <w:sz w:val="16"/>
              </w:rPr>
            </w:r>
            <w:r w:rsidRPr="003450F7">
              <w:rPr>
                <w:sz w:val="16"/>
              </w:rPr>
              <w:fldChar w:fldCharType="separate"/>
            </w:r>
            <w:r w:rsidR="008C301E" w:rsidRPr="008C301E">
              <w:rPr>
                <w:sz w:val="16"/>
              </w:rPr>
              <w:t>Appendix 4: Previously completed SGB APQP course certificate, with content reviewed prior to project start</w:t>
            </w:r>
            <w:r w:rsidRPr="003450F7">
              <w:rPr>
                <w:sz w:val="16"/>
              </w:rPr>
              <w:fldChar w:fldCharType="end"/>
            </w:r>
          </w:p>
        </w:tc>
        <w:tc>
          <w:tcPr>
            <w:tcW w:w="4253" w:type="dxa"/>
          </w:tcPr>
          <w:p w14:paraId="07240D43" w14:textId="61BAC9E5" w:rsidR="003450F7" w:rsidRPr="0033688D" w:rsidRDefault="003450F7" w:rsidP="004E347C">
            <w:pPr>
              <w:rPr>
                <w:sz w:val="16"/>
              </w:rPr>
            </w:pPr>
            <w:r w:rsidRPr="0033688D">
              <w:rPr>
                <w:sz w:val="16"/>
              </w:rPr>
              <w:t xml:space="preserve">Although this course was previously completed on the </w:t>
            </w:r>
            <w:r w:rsidR="0033688D" w:rsidRPr="0033688D">
              <w:rPr>
                <w:sz w:val="16"/>
              </w:rPr>
              <w:t>11-11-21, revisiting the course content was useful to fully understand Safran group</w:t>
            </w:r>
            <w:r w:rsidR="007D08E7">
              <w:rPr>
                <w:sz w:val="16"/>
              </w:rPr>
              <w:t>’</w:t>
            </w:r>
            <w:r w:rsidR="0033688D" w:rsidRPr="0033688D">
              <w:rPr>
                <w:sz w:val="16"/>
              </w:rPr>
              <w:t>s perspective on APQP and how Safran intended for APQP</w:t>
            </w:r>
            <w:r w:rsidR="0033688D">
              <w:rPr>
                <w:sz w:val="16"/>
              </w:rPr>
              <w:t xml:space="preserve"> to run within the Group</w:t>
            </w:r>
            <w:r w:rsidR="007D08E7">
              <w:rPr>
                <w:sz w:val="16"/>
              </w:rPr>
              <w:t>’</w:t>
            </w:r>
            <w:r w:rsidR="0033688D">
              <w:rPr>
                <w:sz w:val="16"/>
              </w:rPr>
              <w:t>s individual entities.</w:t>
            </w:r>
          </w:p>
        </w:tc>
      </w:tr>
      <w:tr w:rsidR="003450F7" w:rsidRPr="0033688D" w14:paraId="20725EE3" w14:textId="77777777" w:rsidTr="00A46640">
        <w:tc>
          <w:tcPr>
            <w:tcW w:w="988" w:type="dxa"/>
          </w:tcPr>
          <w:p w14:paraId="3CF41227" w14:textId="77777777" w:rsidR="003450F7" w:rsidRPr="0033688D" w:rsidRDefault="003450F7" w:rsidP="004E347C">
            <w:pPr>
              <w:rPr>
                <w:sz w:val="16"/>
                <w:szCs w:val="16"/>
              </w:rPr>
            </w:pPr>
            <w:r w:rsidRPr="0033688D">
              <w:rPr>
                <w:sz w:val="16"/>
                <w:szCs w:val="16"/>
              </w:rPr>
              <w:t>07-07-22</w:t>
            </w:r>
          </w:p>
        </w:tc>
        <w:tc>
          <w:tcPr>
            <w:tcW w:w="1701" w:type="dxa"/>
          </w:tcPr>
          <w:p w14:paraId="7A6931F7" w14:textId="77777777" w:rsidR="003450F7" w:rsidRPr="0033688D" w:rsidRDefault="003450F7" w:rsidP="004E347C">
            <w:pPr>
              <w:rPr>
                <w:sz w:val="16"/>
                <w:szCs w:val="16"/>
              </w:rPr>
            </w:pPr>
            <w:r w:rsidRPr="0033688D">
              <w:rPr>
                <w:sz w:val="16"/>
                <w:szCs w:val="16"/>
              </w:rPr>
              <w:t>AS9100D Internal Auditor</w:t>
            </w:r>
          </w:p>
        </w:tc>
        <w:tc>
          <w:tcPr>
            <w:tcW w:w="1298" w:type="dxa"/>
          </w:tcPr>
          <w:p w14:paraId="30AEBBBB" w14:textId="77777777" w:rsidR="003450F7" w:rsidRPr="0033688D" w:rsidRDefault="003450F7" w:rsidP="004E347C">
            <w:pPr>
              <w:rPr>
                <w:sz w:val="16"/>
                <w:szCs w:val="16"/>
              </w:rPr>
            </w:pPr>
            <w:r w:rsidRPr="0033688D">
              <w:rPr>
                <w:sz w:val="16"/>
                <w:szCs w:val="16"/>
              </w:rPr>
              <w:t>Bureau Veritas</w:t>
            </w:r>
          </w:p>
        </w:tc>
        <w:tc>
          <w:tcPr>
            <w:tcW w:w="2245" w:type="dxa"/>
          </w:tcPr>
          <w:p w14:paraId="3A64B719" w14:textId="44F0F95C" w:rsidR="003450F7" w:rsidRPr="0033688D" w:rsidRDefault="003450F7" w:rsidP="004E347C">
            <w:pPr>
              <w:rPr>
                <w:sz w:val="16"/>
                <w:szCs w:val="16"/>
              </w:rPr>
            </w:pPr>
            <w:r w:rsidRPr="0033688D">
              <w:rPr>
                <w:sz w:val="16"/>
                <w:szCs w:val="16"/>
              </w:rPr>
              <w:fldChar w:fldCharType="begin"/>
            </w:r>
            <w:r w:rsidRPr="0033688D">
              <w:rPr>
                <w:sz w:val="16"/>
                <w:szCs w:val="16"/>
              </w:rPr>
              <w:instrText xml:space="preserve"> REF _Ref132027610 \h  \* MERGEFORMAT </w:instrText>
            </w:r>
            <w:r w:rsidRPr="0033688D">
              <w:rPr>
                <w:sz w:val="16"/>
                <w:szCs w:val="16"/>
              </w:rPr>
            </w:r>
            <w:r w:rsidRPr="0033688D">
              <w:rPr>
                <w:sz w:val="16"/>
                <w:szCs w:val="16"/>
              </w:rPr>
              <w:fldChar w:fldCharType="separate"/>
            </w:r>
            <w:r w:rsidR="008C301E" w:rsidRPr="008C301E">
              <w:rPr>
                <w:sz w:val="16"/>
                <w:szCs w:val="16"/>
              </w:rPr>
              <w:t xml:space="preserve">Appendix </w:t>
            </w:r>
            <w:r w:rsidR="008C301E" w:rsidRPr="008C301E">
              <w:rPr>
                <w:noProof/>
                <w:sz w:val="16"/>
                <w:szCs w:val="16"/>
              </w:rPr>
              <w:t>5</w:t>
            </w:r>
            <w:r w:rsidR="008C301E" w:rsidRPr="008C301E">
              <w:rPr>
                <w:sz w:val="16"/>
                <w:szCs w:val="16"/>
              </w:rPr>
              <w:t>: Bureau Veritas 'Internal Auditors' AS9100 Certificate</w:t>
            </w:r>
            <w:r w:rsidRPr="0033688D">
              <w:rPr>
                <w:sz w:val="16"/>
                <w:szCs w:val="16"/>
              </w:rPr>
              <w:fldChar w:fldCharType="end"/>
            </w:r>
          </w:p>
        </w:tc>
        <w:tc>
          <w:tcPr>
            <w:tcW w:w="4253" w:type="dxa"/>
          </w:tcPr>
          <w:p w14:paraId="44D0FC78" w14:textId="122D8063" w:rsidR="003450F7" w:rsidRPr="0033688D" w:rsidRDefault="0033688D" w:rsidP="004E347C">
            <w:pPr>
              <w:rPr>
                <w:sz w:val="16"/>
                <w:szCs w:val="16"/>
              </w:rPr>
            </w:pPr>
            <w:r>
              <w:rPr>
                <w:sz w:val="16"/>
                <w:szCs w:val="16"/>
              </w:rPr>
              <w:t xml:space="preserve">An interesting course that provided a useful insight into how to turn audit criteria into meaningful audit questions, as well as demonstrating that there is flexibility in the interpretation of the criteria and how </w:t>
            </w:r>
            <w:r w:rsidR="00AA74B5">
              <w:rPr>
                <w:sz w:val="16"/>
                <w:szCs w:val="16"/>
              </w:rPr>
              <w:t>they</w:t>
            </w:r>
            <w:r>
              <w:rPr>
                <w:sz w:val="16"/>
                <w:szCs w:val="16"/>
              </w:rPr>
              <w:t xml:space="preserve"> can be applied.</w:t>
            </w:r>
          </w:p>
        </w:tc>
      </w:tr>
      <w:tr w:rsidR="003450F7" w:rsidRPr="0033688D" w14:paraId="5C9F0A9D" w14:textId="77777777" w:rsidTr="00A46640">
        <w:tc>
          <w:tcPr>
            <w:tcW w:w="988" w:type="dxa"/>
          </w:tcPr>
          <w:p w14:paraId="5EAEF564" w14:textId="77777777" w:rsidR="003450F7" w:rsidRPr="0033688D" w:rsidRDefault="003450F7" w:rsidP="004E347C">
            <w:pPr>
              <w:rPr>
                <w:sz w:val="16"/>
                <w:szCs w:val="16"/>
              </w:rPr>
            </w:pPr>
            <w:r w:rsidRPr="0033688D">
              <w:rPr>
                <w:sz w:val="16"/>
                <w:szCs w:val="16"/>
              </w:rPr>
              <w:t>04-06-22</w:t>
            </w:r>
          </w:p>
        </w:tc>
        <w:tc>
          <w:tcPr>
            <w:tcW w:w="1701" w:type="dxa"/>
          </w:tcPr>
          <w:p w14:paraId="7908EFBE" w14:textId="77777777" w:rsidR="003450F7" w:rsidRPr="0033688D" w:rsidRDefault="003450F7" w:rsidP="004E347C">
            <w:pPr>
              <w:rPr>
                <w:sz w:val="16"/>
                <w:szCs w:val="16"/>
              </w:rPr>
            </w:pPr>
            <w:r w:rsidRPr="0033688D">
              <w:rPr>
                <w:sz w:val="16"/>
                <w:szCs w:val="16"/>
              </w:rPr>
              <w:t>APQP/PPAP Master Class</w:t>
            </w:r>
          </w:p>
        </w:tc>
        <w:tc>
          <w:tcPr>
            <w:tcW w:w="1298" w:type="dxa"/>
          </w:tcPr>
          <w:p w14:paraId="66E233DF" w14:textId="77777777" w:rsidR="003450F7" w:rsidRPr="0033688D" w:rsidRDefault="003450F7" w:rsidP="004E347C">
            <w:pPr>
              <w:rPr>
                <w:sz w:val="16"/>
                <w:szCs w:val="16"/>
              </w:rPr>
            </w:pPr>
            <w:r w:rsidRPr="0033688D">
              <w:rPr>
                <w:sz w:val="16"/>
                <w:szCs w:val="16"/>
              </w:rPr>
              <w:t>Tec Transnational</w:t>
            </w:r>
          </w:p>
        </w:tc>
        <w:tc>
          <w:tcPr>
            <w:tcW w:w="2245" w:type="dxa"/>
          </w:tcPr>
          <w:p w14:paraId="0EECE8ED" w14:textId="51F48BBD" w:rsidR="003450F7" w:rsidRPr="0033688D" w:rsidRDefault="003450F7" w:rsidP="004E347C">
            <w:pPr>
              <w:rPr>
                <w:sz w:val="16"/>
                <w:szCs w:val="16"/>
              </w:rPr>
            </w:pPr>
            <w:r w:rsidRPr="0033688D">
              <w:rPr>
                <w:sz w:val="16"/>
                <w:szCs w:val="16"/>
              </w:rPr>
              <w:fldChar w:fldCharType="begin"/>
            </w:r>
            <w:r w:rsidRPr="0033688D">
              <w:rPr>
                <w:sz w:val="16"/>
                <w:szCs w:val="16"/>
              </w:rPr>
              <w:instrText xml:space="preserve"> REF _Ref132027685 \h  \* MERGEFORMAT </w:instrText>
            </w:r>
            <w:r w:rsidRPr="0033688D">
              <w:rPr>
                <w:sz w:val="16"/>
                <w:szCs w:val="16"/>
              </w:rPr>
            </w:r>
            <w:r w:rsidRPr="0033688D">
              <w:rPr>
                <w:sz w:val="16"/>
                <w:szCs w:val="16"/>
              </w:rPr>
              <w:fldChar w:fldCharType="separate"/>
            </w:r>
            <w:r w:rsidR="008C301E" w:rsidRPr="008C301E">
              <w:rPr>
                <w:sz w:val="16"/>
                <w:szCs w:val="16"/>
              </w:rPr>
              <w:t>Appendix 6: TEC Transnational 'APQP &amp; PPAP Master Class' Certificate</w:t>
            </w:r>
            <w:r w:rsidRPr="0033688D">
              <w:rPr>
                <w:sz w:val="16"/>
                <w:szCs w:val="16"/>
              </w:rPr>
              <w:fldChar w:fldCharType="end"/>
            </w:r>
          </w:p>
        </w:tc>
        <w:tc>
          <w:tcPr>
            <w:tcW w:w="4253" w:type="dxa"/>
          </w:tcPr>
          <w:p w14:paraId="31B089B1" w14:textId="78D055CD" w:rsidR="003450F7" w:rsidRPr="0033688D" w:rsidRDefault="0033688D" w:rsidP="007B1867">
            <w:pPr>
              <w:keepNext/>
              <w:rPr>
                <w:sz w:val="16"/>
                <w:szCs w:val="16"/>
              </w:rPr>
            </w:pPr>
            <w:r>
              <w:rPr>
                <w:sz w:val="16"/>
                <w:szCs w:val="16"/>
              </w:rPr>
              <w:t xml:space="preserve">This course provided a strong explanation of each element of APQP by phase, each of the deliverables and how to carry them out. The course provided a </w:t>
            </w:r>
            <w:r w:rsidR="00565F30">
              <w:rPr>
                <w:sz w:val="16"/>
                <w:szCs w:val="16"/>
              </w:rPr>
              <w:t>more in-depth</w:t>
            </w:r>
            <w:r>
              <w:rPr>
                <w:sz w:val="16"/>
                <w:szCs w:val="16"/>
              </w:rPr>
              <w:t xml:space="preserve"> knowledge of PPAP deliverables than the Safran course.</w:t>
            </w:r>
          </w:p>
        </w:tc>
      </w:tr>
    </w:tbl>
    <w:p w14:paraId="5C671588" w14:textId="7A35F284" w:rsidR="00305937" w:rsidRDefault="007B1867" w:rsidP="007B1867">
      <w:pPr>
        <w:pStyle w:val="Caption"/>
      </w:pPr>
      <w:bookmarkStart w:id="55" w:name="_Ref136091795"/>
      <w:r w:rsidRPr="007B1867">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2</w:t>
      </w:r>
      <w:r w:rsidR="003A6EC0">
        <w:rPr>
          <w:b/>
        </w:rPr>
        <w:fldChar w:fldCharType="end"/>
      </w:r>
      <w:bookmarkEnd w:id="55"/>
      <w:r w:rsidRPr="007B1867">
        <w:rPr>
          <w:b/>
        </w:rPr>
        <w:t xml:space="preserve">: </w:t>
      </w:r>
      <w:r w:rsidR="00093B04">
        <w:rPr>
          <w:b/>
        </w:rPr>
        <w:t>CPD</w:t>
      </w:r>
      <w:r w:rsidRPr="007B1867">
        <w:rPr>
          <w:b/>
        </w:rPr>
        <w:t xml:space="preserve"> matrix</w:t>
      </w:r>
      <w:r>
        <w:t xml:space="preserve"> completed for the APQP pre-launch phase with reflections</w:t>
      </w:r>
    </w:p>
    <w:p w14:paraId="79B1DCD7" w14:textId="64DD72D3" w:rsidR="007B1867" w:rsidRDefault="007B1867" w:rsidP="007B1867"/>
    <w:p w14:paraId="77172799" w14:textId="03AE239F" w:rsidR="006D3877" w:rsidRDefault="006D3877" w:rsidP="00842D7D">
      <w:pPr>
        <w:jc w:val="both"/>
      </w:pPr>
      <w:r>
        <w:t xml:space="preserve">As the project started, a stakeholder analysis was carried out to identify the core people who would be affected by the project. Initially, the analysis took place in the form of a Mind </w:t>
      </w:r>
      <w:r w:rsidRPr="00804AC2">
        <w:t xml:space="preserve">Map, </w:t>
      </w:r>
      <w:r w:rsidRPr="00804AC2">
        <w:fldChar w:fldCharType="begin"/>
      </w:r>
      <w:r w:rsidRPr="00804AC2">
        <w:instrText xml:space="preserve"> REF _Ref136096573 \h </w:instrText>
      </w:r>
      <w:r w:rsidR="00343344" w:rsidRPr="00804AC2">
        <w:instrText xml:space="preserve"> \* MERGEFORMAT </w:instrText>
      </w:r>
      <w:r w:rsidRPr="00804AC2">
        <w:fldChar w:fldCharType="separate"/>
      </w:r>
      <w:r w:rsidR="008C301E" w:rsidRPr="008C301E">
        <w:t xml:space="preserve">Figure </w:t>
      </w:r>
      <w:r w:rsidR="008C301E" w:rsidRPr="008C301E">
        <w:rPr>
          <w:noProof/>
        </w:rPr>
        <w:t>18</w:t>
      </w:r>
      <w:r w:rsidRPr="00804AC2">
        <w:fldChar w:fldCharType="end"/>
      </w:r>
      <w:r>
        <w:t>, separating potential stakeholders into internal and external stakeholders.</w:t>
      </w:r>
    </w:p>
    <w:p w14:paraId="1B6F0A8C" w14:textId="77777777" w:rsidR="006D3877" w:rsidRPr="007B1867" w:rsidRDefault="006D3877" w:rsidP="007B1867"/>
    <w:p w14:paraId="37722D86" w14:textId="77777777" w:rsidR="004E347C" w:rsidRDefault="008F5358" w:rsidP="00CD37AA">
      <w:pPr>
        <w:keepNext/>
        <w:jc w:val="center"/>
      </w:pPr>
      <w:r w:rsidRPr="00411262">
        <w:rPr>
          <w:noProof/>
          <w:lang w:eastAsia="en-GB"/>
        </w:rPr>
        <w:drawing>
          <wp:inline distT="0" distB="0" distL="0" distR="0" wp14:anchorId="39B30B34" wp14:editId="60968383">
            <wp:extent cx="6096000" cy="3224202"/>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33"/>
                    <a:stretch>
                      <a:fillRect/>
                    </a:stretch>
                  </pic:blipFill>
                  <pic:spPr>
                    <a:xfrm>
                      <a:off x="0" y="0"/>
                      <a:ext cx="6102471" cy="3227624"/>
                    </a:xfrm>
                    <a:prstGeom prst="rect">
                      <a:avLst/>
                    </a:prstGeom>
                  </pic:spPr>
                </pic:pic>
              </a:graphicData>
            </a:graphic>
          </wp:inline>
        </w:drawing>
      </w:r>
    </w:p>
    <w:p w14:paraId="32494C9D" w14:textId="39D22A30" w:rsidR="00192C81" w:rsidRDefault="004E347C" w:rsidP="004E347C">
      <w:pPr>
        <w:pStyle w:val="Caption"/>
      </w:pPr>
      <w:bookmarkStart w:id="56" w:name="_Ref136096573"/>
      <w:bookmarkStart w:id="57" w:name="_Toc137807644"/>
      <w:r w:rsidRPr="001A1D1F">
        <w:rPr>
          <w:b/>
        </w:rPr>
        <w:t xml:space="preserve">Figure </w:t>
      </w:r>
      <w:r w:rsidRPr="001A1D1F">
        <w:rPr>
          <w:b/>
        </w:rPr>
        <w:fldChar w:fldCharType="begin"/>
      </w:r>
      <w:r w:rsidRPr="001A1D1F">
        <w:rPr>
          <w:b/>
        </w:rPr>
        <w:instrText xml:space="preserve"> SEQ Figure \* ARABIC </w:instrText>
      </w:r>
      <w:r w:rsidRPr="001A1D1F">
        <w:rPr>
          <w:b/>
        </w:rPr>
        <w:fldChar w:fldCharType="separate"/>
      </w:r>
      <w:r w:rsidR="008C301E">
        <w:rPr>
          <w:b/>
          <w:noProof/>
        </w:rPr>
        <w:t>18</w:t>
      </w:r>
      <w:r w:rsidRPr="001A1D1F">
        <w:rPr>
          <w:b/>
        </w:rPr>
        <w:fldChar w:fldCharType="end"/>
      </w:r>
      <w:bookmarkEnd w:id="56"/>
      <w:r w:rsidRPr="001A1D1F">
        <w:rPr>
          <w:b/>
        </w:rPr>
        <w:t>: Mind-Map of potential Stakeholders of the SGB APQP/PPAP rollout</w:t>
      </w:r>
      <w:r>
        <w:t>, external stakeholders on the left</w:t>
      </w:r>
      <w:r w:rsidR="00CA04DC">
        <w:t xml:space="preserve"> including the Civil Aviation Authority (CAA), Federal Aviation Authority (FAA) and European </w:t>
      </w:r>
      <w:r w:rsidR="0005360F">
        <w:t>Aviation Safety Agency (EASA)</w:t>
      </w:r>
      <w:r>
        <w:t>, internal stakeholders on the right</w:t>
      </w:r>
      <w:bookmarkEnd w:id="57"/>
    </w:p>
    <w:p w14:paraId="410D0232" w14:textId="084DC7FF" w:rsidR="001B68F0" w:rsidRDefault="0076329E" w:rsidP="00842D7D">
      <w:pPr>
        <w:jc w:val="both"/>
      </w:pPr>
      <w:r>
        <w:lastRenderedPageBreak/>
        <w:t>Once the Mind Map was complete</w:t>
      </w:r>
      <w:r w:rsidR="00746391">
        <w:t>d</w:t>
      </w:r>
      <w:r>
        <w:t xml:space="preserve">, the stakeholder analysis was further </w:t>
      </w:r>
      <w:r w:rsidR="00746391">
        <w:t xml:space="preserve">refined using </w:t>
      </w:r>
      <w:r>
        <w:t xml:space="preserve">a Power/Interest matrix based on the work of </w:t>
      </w:r>
      <w:r w:rsidRPr="00CD37AA">
        <w:t xml:space="preserve">Mendelow </w:t>
      </w:r>
      <w:r w:rsidR="00053DB3">
        <w:fldChar w:fldCharType="begin" w:fldLock="1"/>
      </w:r>
      <w:r w:rsidR="00D55102">
        <w:instrText>ADDIN CSL_CITATION {"citationItems":[{"id":"ITEM-1","itemData":{"author":[{"dropping-particle":"","family":"Mendelow","given":"A L","non-dropping-particle":"","parse-names":false,"suffix":""}],"container-title":"ICIS 1981 Proceedings","id":"ITEM-1","issue":"20","issued":{"date-parts":[["1981"]]},"title":"Environmental Scanning - The Impact of the Stakeholder Concept","type":"article-journal"},"uris":["http://www.mendeley.com/documents/?uuid=9f9a228f-e7b3-4c3b-b672-95e21d847a93"]}],"mendeley":{"formattedCitation":"(Mendelow, 1981)","plainTextFormattedCitation":"(Mendelow, 1981)","previouslyFormattedCitation":"(Mendelow, 1981)"},"properties":{"noteIndex":0},"schema":"https://github.com/citation-style-language/schema/raw/master/csl-citation.json"}</w:instrText>
      </w:r>
      <w:r w:rsidR="00053DB3">
        <w:fldChar w:fldCharType="separate"/>
      </w:r>
      <w:r w:rsidR="00053DB3" w:rsidRPr="00053DB3">
        <w:rPr>
          <w:noProof/>
        </w:rPr>
        <w:t>(Mendelow, 1981)</w:t>
      </w:r>
      <w:r w:rsidR="00053DB3">
        <w:fldChar w:fldCharType="end"/>
      </w:r>
      <w:r w:rsidR="00053DB3">
        <w:t>.</w:t>
      </w:r>
      <w:r>
        <w:t xml:space="preserve"> T</w:t>
      </w:r>
      <w:r w:rsidR="00343344">
        <w:t>his tool helps to identify the work required for each stakeholder to ensure that they are aligned with the aims and objectives of the project, as well as determining both the frequency and type of engagement appropriate to each stakeholder.</w:t>
      </w:r>
    </w:p>
    <w:p w14:paraId="2B1A05DE" w14:textId="77777777" w:rsidR="00F326DC" w:rsidRDefault="00F326DC"/>
    <w:p w14:paraId="205FD6FD" w14:textId="77777777" w:rsidR="00F326DC" w:rsidRDefault="00F326DC" w:rsidP="00F326DC">
      <w:pPr>
        <w:keepNext/>
      </w:pPr>
      <w:r w:rsidRPr="00F326DC">
        <w:rPr>
          <w:noProof/>
          <w:lang w:eastAsia="en-GB"/>
        </w:rPr>
        <w:drawing>
          <wp:inline distT="0" distB="0" distL="0" distR="0" wp14:anchorId="3511BED4" wp14:editId="04D2A05D">
            <wp:extent cx="6473825" cy="3359150"/>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473825" cy="3359150"/>
                    </a:xfrm>
                    <a:prstGeom prst="rect">
                      <a:avLst/>
                    </a:prstGeom>
                  </pic:spPr>
                </pic:pic>
              </a:graphicData>
            </a:graphic>
          </wp:inline>
        </w:drawing>
      </w:r>
    </w:p>
    <w:p w14:paraId="33A0C548" w14:textId="5CBF5D56" w:rsidR="00343344" w:rsidRDefault="00F326DC" w:rsidP="00192E1A">
      <w:pPr>
        <w:pStyle w:val="Caption"/>
      </w:pPr>
      <w:bookmarkStart w:id="58" w:name="_Toc137807645"/>
      <w:r w:rsidRPr="00F326DC">
        <w:rPr>
          <w:b/>
        </w:rPr>
        <w:t xml:space="preserve">Figure </w:t>
      </w:r>
      <w:r w:rsidRPr="00F326DC">
        <w:rPr>
          <w:b/>
        </w:rPr>
        <w:fldChar w:fldCharType="begin"/>
      </w:r>
      <w:r w:rsidRPr="00F326DC">
        <w:rPr>
          <w:b/>
        </w:rPr>
        <w:instrText xml:space="preserve"> SEQ Figure \* ARABIC </w:instrText>
      </w:r>
      <w:r w:rsidRPr="00F326DC">
        <w:rPr>
          <w:b/>
        </w:rPr>
        <w:fldChar w:fldCharType="separate"/>
      </w:r>
      <w:r w:rsidR="008C301E">
        <w:rPr>
          <w:b/>
          <w:noProof/>
        </w:rPr>
        <w:t>19</w:t>
      </w:r>
      <w:r w:rsidRPr="00F326DC">
        <w:rPr>
          <w:b/>
        </w:rPr>
        <w:fldChar w:fldCharType="end"/>
      </w:r>
      <w:r w:rsidRPr="00F326DC">
        <w:rPr>
          <w:b/>
        </w:rPr>
        <w:t>: Stakeholder Analysis</w:t>
      </w:r>
      <w:r>
        <w:t xml:space="preserve"> based on Mendelow's Power/Interest matrix</w:t>
      </w:r>
      <w:bookmarkEnd w:id="58"/>
    </w:p>
    <w:p w14:paraId="4D8EC3EF" w14:textId="09FECB57" w:rsidR="00343344" w:rsidRDefault="00343344" w:rsidP="00842D7D"/>
    <w:p w14:paraId="0ECB7F15" w14:textId="333DBBF3" w:rsidR="00571160" w:rsidRPr="00842D7D" w:rsidRDefault="00A3137C" w:rsidP="00842D7D">
      <w:pPr>
        <w:jc w:val="both"/>
        <w:sectPr w:rsidR="00571160" w:rsidRPr="00842D7D" w:rsidSect="003B7DCD">
          <w:pgSz w:w="11906" w:h="16838"/>
          <w:pgMar w:top="720" w:right="991" w:bottom="720" w:left="720" w:header="708" w:footer="708" w:gutter="0"/>
          <w:cols w:space="708"/>
          <w:titlePg/>
          <w:docGrid w:linePitch="360"/>
        </w:sectPr>
      </w:pPr>
      <w:r>
        <w:t xml:space="preserve">Once </w:t>
      </w:r>
      <w:r w:rsidR="00533528">
        <w:t xml:space="preserve">the </w:t>
      </w:r>
      <w:r w:rsidR="00D33D04">
        <w:t>stakeholders</w:t>
      </w:r>
      <w:r w:rsidR="004323B0">
        <w:t xml:space="preserve">’ </w:t>
      </w:r>
      <w:r w:rsidR="00FB1282">
        <w:t xml:space="preserve">requirements </w:t>
      </w:r>
      <w:r>
        <w:t>were</w:t>
      </w:r>
      <w:r w:rsidR="00FB1282">
        <w:t xml:space="preserve"> identified, the tool </w:t>
      </w:r>
      <w:r w:rsidR="006E7841">
        <w:t>was</w:t>
      </w:r>
      <w:r w:rsidR="00FB1282">
        <w:t xml:space="preserve"> further developed into a communication plan</w:t>
      </w:r>
      <w:r w:rsidR="002E404C">
        <w:t xml:space="preserve"> </w:t>
      </w:r>
      <w:r w:rsidR="00B56CCC">
        <w:t>(</w:t>
      </w:r>
      <w:r w:rsidR="00FB1282" w:rsidRPr="00B56CCC">
        <w:fldChar w:fldCharType="begin"/>
      </w:r>
      <w:r w:rsidR="00FB1282" w:rsidRPr="00B56CCC">
        <w:instrText xml:space="preserve"> REF _Ref136170081 \h  \* MERGEFORMAT </w:instrText>
      </w:r>
      <w:r w:rsidR="00FB1282" w:rsidRPr="00B56CCC">
        <w:fldChar w:fldCharType="separate"/>
      </w:r>
      <w:r w:rsidR="008C301E" w:rsidRPr="008C301E">
        <w:t xml:space="preserve">Table </w:t>
      </w:r>
      <w:r w:rsidR="008C301E" w:rsidRPr="008C301E">
        <w:rPr>
          <w:noProof/>
        </w:rPr>
        <w:t>3</w:t>
      </w:r>
      <w:r w:rsidR="00FB1282" w:rsidRPr="00B56CCC">
        <w:fldChar w:fldCharType="end"/>
      </w:r>
      <w:r w:rsidR="00B56CCC">
        <w:t>)</w:t>
      </w:r>
      <w:r w:rsidR="00FB1282">
        <w:t xml:space="preserve"> to define the interaction with each group of stakeholders. The communication plan identif</w:t>
      </w:r>
      <w:r w:rsidR="00190C91">
        <w:t>ied</w:t>
      </w:r>
      <w:r w:rsidR="00FB1282">
        <w:t xml:space="preserve"> the ways in which each stakeholder could potentially contribute towards the project, both negatively and positively. By identifying these traits, the interactions with each stakeholder can be focussed on the way in which each stakeholder would gain the most from each communication. </w:t>
      </w:r>
    </w:p>
    <w:p w14:paraId="58489CC5" w14:textId="77777777" w:rsidR="001A1D1F" w:rsidRDefault="001A1D1F" w:rsidP="001A1D1F">
      <w:pPr>
        <w:pStyle w:val="Caption"/>
        <w:keepNext/>
      </w:pPr>
    </w:p>
    <w:tbl>
      <w:tblPr>
        <w:tblStyle w:val="TableGrid1"/>
        <w:tblW w:w="14743" w:type="dxa"/>
        <w:jc w:val="center"/>
        <w:tblLook w:val="04A0" w:firstRow="1" w:lastRow="0" w:firstColumn="1" w:lastColumn="0" w:noHBand="0" w:noVBand="1"/>
      </w:tblPr>
      <w:tblGrid>
        <w:gridCol w:w="1135"/>
        <w:gridCol w:w="1276"/>
        <w:gridCol w:w="1134"/>
        <w:gridCol w:w="2409"/>
        <w:gridCol w:w="3119"/>
        <w:gridCol w:w="2693"/>
        <w:gridCol w:w="2977"/>
      </w:tblGrid>
      <w:tr w:rsidR="001B68F0" w:rsidRPr="001B68F0" w14:paraId="0BD76084" w14:textId="77777777" w:rsidTr="001B68F0">
        <w:trPr>
          <w:jc w:val="center"/>
        </w:trPr>
        <w:tc>
          <w:tcPr>
            <w:tcW w:w="1135" w:type="dxa"/>
            <w:shd w:val="clear" w:color="auto" w:fill="BFBFBF"/>
          </w:tcPr>
          <w:p w14:paraId="74B31EBC"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Stakeholder</w:t>
            </w:r>
          </w:p>
        </w:tc>
        <w:tc>
          <w:tcPr>
            <w:tcW w:w="1276" w:type="dxa"/>
            <w:shd w:val="clear" w:color="auto" w:fill="BFBFBF"/>
          </w:tcPr>
          <w:p w14:paraId="16AF0517"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Power</w:t>
            </w:r>
          </w:p>
          <w:p w14:paraId="53630152" w14:textId="77777777" w:rsidR="001B68F0" w:rsidRPr="001B68F0" w:rsidRDefault="001B68F0" w:rsidP="001B68F0">
            <w:pPr>
              <w:rPr>
                <w:rFonts w:ascii="Calibri" w:eastAsia="Calibri" w:hAnsi="Calibri" w:cs="Times New Roman"/>
                <w:i/>
                <w:iCs/>
                <w:sz w:val="18"/>
                <w:szCs w:val="20"/>
              </w:rPr>
            </w:pPr>
            <w:r w:rsidRPr="001B68F0">
              <w:rPr>
                <w:rFonts w:ascii="Calibri" w:eastAsia="Calibri" w:hAnsi="Calibri" w:cs="Times New Roman"/>
                <w:i/>
                <w:iCs/>
                <w:sz w:val="16"/>
                <w:szCs w:val="16"/>
              </w:rPr>
              <w:t>(Ability to stop or change project)</w:t>
            </w:r>
          </w:p>
        </w:tc>
        <w:tc>
          <w:tcPr>
            <w:tcW w:w="1134" w:type="dxa"/>
            <w:shd w:val="clear" w:color="auto" w:fill="BFBFBF"/>
          </w:tcPr>
          <w:p w14:paraId="183688F3"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Interest</w:t>
            </w:r>
          </w:p>
          <w:p w14:paraId="7F3083C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i/>
                <w:iCs/>
                <w:sz w:val="16"/>
                <w:szCs w:val="16"/>
              </w:rPr>
              <w:t>(Personal interests v. project goals)</w:t>
            </w:r>
          </w:p>
        </w:tc>
        <w:tc>
          <w:tcPr>
            <w:tcW w:w="2409" w:type="dxa"/>
            <w:shd w:val="clear" w:color="auto" w:fill="BFBFBF"/>
          </w:tcPr>
          <w:p w14:paraId="033D5227"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Important to Stakeholder</w:t>
            </w:r>
          </w:p>
        </w:tc>
        <w:tc>
          <w:tcPr>
            <w:tcW w:w="3119" w:type="dxa"/>
            <w:shd w:val="clear" w:color="auto" w:fill="BFBFBF"/>
          </w:tcPr>
          <w:p w14:paraId="62854D40"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Positive Contributions</w:t>
            </w:r>
          </w:p>
        </w:tc>
        <w:tc>
          <w:tcPr>
            <w:tcW w:w="2693" w:type="dxa"/>
            <w:shd w:val="clear" w:color="auto" w:fill="BFBFBF"/>
          </w:tcPr>
          <w:p w14:paraId="2EF17B1A"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Negative Contributions</w:t>
            </w:r>
          </w:p>
        </w:tc>
        <w:tc>
          <w:tcPr>
            <w:tcW w:w="2977" w:type="dxa"/>
            <w:shd w:val="clear" w:color="auto" w:fill="BFBFBF"/>
          </w:tcPr>
          <w:p w14:paraId="010C5FAD" w14:textId="77777777" w:rsidR="001B68F0" w:rsidRPr="001B68F0" w:rsidRDefault="001B68F0" w:rsidP="001B68F0">
            <w:pPr>
              <w:rPr>
                <w:rFonts w:ascii="Calibri" w:eastAsia="Calibri" w:hAnsi="Calibri" w:cs="Times New Roman"/>
                <w:b/>
                <w:sz w:val="18"/>
                <w:szCs w:val="20"/>
              </w:rPr>
            </w:pPr>
            <w:r w:rsidRPr="001B68F0">
              <w:rPr>
                <w:rFonts w:ascii="Calibri" w:eastAsia="Calibri" w:hAnsi="Calibri" w:cs="Times New Roman"/>
                <w:b/>
                <w:sz w:val="18"/>
                <w:szCs w:val="20"/>
              </w:rPr>
              <w:t>Engagement Strategy</w:t>
            </w:r>
          </w:p>
          <w:p w14:paraId="52BF3169" w14:textId="77777777" w:rsidR="001B68F0" w:rsidRPr="001B68F0" w:rsidRDefault="001B68F0" w:rsidP="001B68F0">
            <w:pPr>
              <w:rPr>
                <w:rFonts w:ascii="Calibri" w:eastAsia="Calibri" w:hAnsi="Calibri" w:cs="Times New Roman"/>
                <w:i/>
                <w:iCs/>
                <w:sz w:val="18"/>
                <w:szCs w:val="20"/>
              </w:rPr>
            </w:pPr>
            <w:r w:rsidRPr="001B68F0">
              <w:rPr>
                <w:rFonts w:ascii="Calibri" w:eastAsia="Calibri" w:hAnsi="Calibri" w:cs="Times New Roman"/>
                <w:i/>
                <w:iCs/>
                <w:sz w:val="16"/>
                <w:szCs w:val="16"/>
              </w:rPr>
              <w:t>(Type and frequency of communication)</w:t>
            </w:r>
          </w:p>
        </w:tc>
      </w:tr>
      <w:tr w:rsidR="001B68F0" w:rsidRPr="001B68F0" w14:paraId="6313451A" w14:textId="77777777" w:rsidTr="001B68F0">
        <w:trPr>
          <w:jc w:val="center"/>
        </w:trPr>
        <w:tc>
          <w:tcPr>
            <w:tcW w:w="1135" w:type="dxa"/>
          </w:tcPr>
          <w:p w14:paraId="609E5EF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1.1</w:t>
            </w:r>
          </w:p>
        </w:tc>
        <w:tc>
          <w:tcPr>
            <w:tcW w:w="1276" w:type="dxa"/>
          </w:tcPr>
          <w:p w14:paraId="36AD768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37A9FD1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0F5FAE4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Low DPU</w:t>
            </w:r>
          </w:p>
          <w:p w14:paraId="64ADBFD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On Time</w:t>
            </w:r>
          </w:p>
        </w:tc>
        <w:tc>
          <w:tcPr>
            <w:tcW w:w="3119" w:type="dxa"/>
          </w:tcPr>
          <w:p w14:paraId="78A5AA7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Provide their expectations of PPAP deliverables in advance</w:t>
            </w:r>
          </w:p>
        </w:tc>
        <w:tc>
          <w:tcPr>
            <w:tcW w:w="2693" w:type="dxa"/>
          </w:tcPr>
          <w:p w14:paraId="06889D4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Slow response for feedback or PPAP deliverables rejection</w:t>
            </w:r>
          </w:p>
        </w:tc>
        <w:tc>
          <w:tcPr>
            <w:tcW w:w="2977" w:type="dxa"/>
          </w:tcPr>
          <w:p w14:paraId="42055ED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18BBDE59" w14:textId="77777777" w:rsidTr="001B68F0">
        <w:trPr>
          <w:jc w:val="center"/>
        </w:trPr>
        <w:tc>
          <w:tcPr>
            <w:tcW w:w="1135" w:type="dxa"/>
          </w:tcPr>
          <w:p w14:paraId="754ED3B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1.2</w:t>
            </w:r>
          </w:p>
        </w:tc>
        <w:tc>
          <w:tcPr>
            <w:tcW w:w="1276" w:type="dxa"/>
          </w:tcPr>
          <w:p w14:paraId="6C1D8C3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449A022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6351BE6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Low DPU</w:t>
            </w:r>
          </w:p>
          <w:p w14:paraId="52034C2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On Time</w:t>
            </w:r>
          </w:p>
          <w:p w14:paraId="638CD42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Reliable</w:t>
            </w:r>
          </w:p>
        </w:tc>
        <w:tc>
          <w:tcPr>
            <w:tcW w:w="3119" w:type="dxa"/>
          </w:tcPr>
          <w:p w14:paraId="2CB486A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Accept evidence-based design changes</w:t>
            </w:r>
          </w:p>
        </w:tc>
        <w:tc>
          <w:tcPr>
            <w:tcW w:w="2693" w:type="dxa"/>
          </w:tcPr>
          <w:p w14:paraId="249FB43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Dismiss design changes recommended as output of Risk Assessments</w:t>
            </w:r>
          </w:p>
        </w:tc>
        <w:tc>
          <w:tcPr>
            <w:tcW w:w="2977" w:type="dxa"/>
          </w:tcPr>
          <w:p w14:paraId="1DD1E7F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4732F885" w14:textId="77777777" w:rsidTr="001B68F0">
        <w:trPr>
          <w:jc w:val="center"/>
        </w:trPr>
        <w:tc>
          <w:tcPr>
            <w:tcW w:w="1135" w:type="dxa"/>
          </w:tcPr>
          <w:p w14:paraId="7A4DAEF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1.3</w:t>
            </w:r>
          </w:p>
        </w:tc>
        <w:tc>
          <w:tcPr>
            <w:tcW w:w="1276" w:type="dxa"/>
          </w:tcPr>
          <w:p w14:paraId="113ECB4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3109DCA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6263D04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On Time</w:t>
            </w:r>
          </w:p>
          <w:p w14:paraId="2A3A488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Reliable</w:t>
            </w:r>
          </w:p>
          <w:p w14:paraId="18FD2BE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Easy Install</w:t>
            </w:r>
          </w:p>
        </w:tc>
        <w:tc>
          <w:tcPr>
            <w:tcW w:w="3119" w:type="dxa"/>
          </w:tcPr>
          <w:p w14:paraId="4388F92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Supporting Lessons Learnt activities for installation issues</w:t>
            </w:r>
          </w:p>
        </w:tc>
        <w:tc>
          <w:tcPr>
            <w:tcW w:w="2693" w:type="dxa"/>
          </w:tcPr>
          <w:p w14:paraId="78CA4F2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Not reporting issues to be incorporated into future DFMEA’s</w:t>
            </w:r>
          </w:p>
        </w:tc>
        <w:tc>
          <w:tcPr>
            <w:tcW w:w="2977" w:type="dxa"/>
          </w:tcPr>
          <w:p w14:paraId="044ADDF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w:t>
            </w:r>
          </w:p>
        </w:tc>
      </w:tr>
      <w:tr w:rsidR="001B68F0" w:rsidRPr="001B68F0" w14:paraId="4C0BE611" w14:textId="77777777" w:rsidTr="001B68F0">
        <w:trPr>
          <w:jc w:val="center"/>
        </w:trPr>
        <w:tc>
          <w:tcPr>
            <w:tcW w:w="1135" w:type="dxa"/>
          </w:tcPr>
          <w:p w14:paraId="0974D65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2.1</w:t>
            </w:r>
          </w:p>
        </w:tc>
        <w:tc>
          <w:tcPr>
            <w:tcW w:w="1276" w:type="dxa"/>
          </w:tcPr>
          <w:p w14:paraId="624FA12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23E5E49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457FD1D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Adherence to Standard</w:t>
            </w:r>
          </w:p>
          <w:p w14:paraId="53A1320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Auditable Trail</w:t>
            </w:r>
          </w:p>
        </w:tc>
        <w:tc>
          <w:tcPr>
            <w:tcW w:w="3119" w:type="dxa"/>
          </w:tcPr>
          <w:p w14:paraId="6A089D4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693" w:type="dxa"/>
          </w:tcPr>
          <w:p w14:paraId="678717E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977" w:type="dxa"/>
          </w:tcPr>
          <w:p w14:paraId="44AD6BC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Not required for APQP rollout</w:t>
            </w:r>
          </w:p>
        </w:tc>
      </w:tr>
      <w:tr w:rsidR="001B68F0" w:rsidRPr="001B68F0" w14:paraId="7BF5096D" w14:textId="77777777" w:rsidTr="001B68F0">
        <w:trPr>
          <w:jc w:val="center"/>
        </w:trPr>
        <w:tc>
          <w:tcPr>
            <w:tcW w:w="1135" w:type="dxa"/>
          </w:tcPr>
          <w:p w14:paraId="7F85E5E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2.2</w:t>
            </w:r>
          </w:p>
        </w:tc>
        <w:tc>
          <w:tcPr>
            <w:tcW w:w="1276" w:type="dxa"/>
          </w:tcPr>
          <w:p w14:paraId="4ED2A77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026E54B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5DB4F94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Conforming Product</w:t>
            </w:r>
          </w:p>
        </w:tc>
        <w:tc>
          <w:tcPr>
            <w:tcW w:w="3119" w:type="dxa"/>
          </w:tcPr>
          <w:p w14:paraId="02CCCC6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693" w:type="dxa"/>
          </w:tcPr>
          <w:p w14:paraId="05C961B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977" w:type="dxa"/>
          </w:tcPr>
          <w:p w14:paraId="19B626A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Not required for APQP rollout</w:t>
            </w:r>
          </w:p>
        </w:tc>
      </w:tr>
      <w:tr w:rsidR="001B68F0" w:rsidRPr="001B68F0" w14:paraId="7DEB4F38" w14:textId="77777777" w:rsidTr="001B68F0">
        <w:trPr>
          <w:jc w:val="center"/>
        </w:trPr>
        <w:tc>
          <w:tcPr>
            <w:tcW w:w="1135" w:type="dxa"/>
          </w:tcPr>
          <w:p w14:paraId="0277A3D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2.3</w:t>
            </w:r>
          </w:p>
        </w:tc>
        <w:tc>
          <w:tcPr>
            <w:tcW w:w="1276" w:type="dxa"/>
          </w:tcPr>
          <w:p w14:paraId="42D4DC9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7B1FB89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0AF975F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Conforming Product</w:t>
            </w:r>
          </w:p>
        </w:tc>
        <w:tc>
          <w:tcPr>
            <w:tcW w:w="3119" w:type="dxa"/>
          </w:tcPr>
          <w:p w14:paraId="1F302B9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693" w:type="dxa"/>
          </w:tcPr>
          <w:p w14:paraId="160476E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977" w:type="dxa"/>
          </w:tcPr>
          <w:p w14:paraId="44514C5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Not required for APQP rollout</w:t>
            </w:r>
          </w:p>
        </w:tc>
      </w:tr>
      <w:tr w:rsidR="001B68F0" w:rsidRPr="001B68F0" w14:paraId="780BE885" w14:textId="77777777" w:rsidTr="001B68F0">
        <w:trPr>
          <w:jc w:val="center"/>
        </w:trPr>
        <w:tc>
          <w:tcPr>
            <w:tcW w:w="1135" w:type="dxa"/>
          </w:tcPr>
          <w:p w14:paraId="474B037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2.4</w:t>
            </w:r>
          </w:p>
        </w:tc>
        <w:tc>
          <w:tcPr>
            <w:tcW w:w="1276" w:type="dxa"/>
          </w:tcPr>
          <w:p w14:paraId="23D0CA4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1BEC6AF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57D084E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Conforming Product</w:t>
            </w:r>
          </w:p>
        </w:tc>
        <w:tc>
          <w:tcPr>
            <w:tcW w:w="3119" w:type="dxa"/>
          </w:tcPr>
          <w:p w14:paraId="7586B54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693" w:type="dxa"/>
          </w:tcPr>
          <w:p w14:paraId="4BE65E0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 input on day-today activities</w:t>
            </w:r>
          </w:p>
        </w:tc>
        <w:tc>
          <w:tcPr>
            <w:tcW w:w="2977" w:type="dxa"/>
          </w:tcPr>
          <w:p w14:paraId="5FB32E8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Not required for APQP rollout</w:t>
            </w:r>
          </w:p>
        </w:tc>
      </w:tr>
      <w:tr w:rsidR="001B68F0" w:rsidRPr="001B68F0" w14:paraId="69AF1BBF" w14:textId="77777777" w:rsidTr="001B68F0">
        <w:trPr>
          <w:jc w:val="center"/>
        </w:trPr>
        <w:tc>
          <w:tcPr>
            <w:tcW w:w="1135" w:type="dxa"/>
          </w:tcPr>
          <w:p w14:paraId="7BE4387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xml:space="preserve">3 </w:t>
            </w:r>
          </w:p>
        </w:tc>
        <w:tc>
          <w:tcPr>
            <w:tcW w:w="1276" w:type="dxa"/>
          </w:tcPr>
          <w:p w14:paraId="7D571AB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11A82D6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7BE2A34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Robust design with Design for Manufacture considerations</w:t>
            </w:r>
          </w:p>
        </w:tc>
        <w:tc>
          <w:tcPr>
            <w:tcW w:w="3119" w:type="dxa"/>
          </w:tcPr>
          <w:p w14:paraId="409FCDD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Incorporate Design Characteristics into Production deliverables</w:t>
            </w:r>
          </w:p>
        </w:tc>
        <w:tc>
          <w:tcPr>
            <w:tcW w:w="2693" w:type="dxa"/>
          </w:tcPr>
          <w:p w14:paraId="4DA8772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Refusal to produce products in line with APQP requirements</w:t>
            </w:r>
          </w:p>
        </w:tc>
        <w:tc>
          <w:tcPr>
            <w:tcW w:w="2977" w:type="dxa"/>
          </w:tcPr>
          <w:p w14:paraId="52F059B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Formal notification of APQP requirements, updated contracts</w:t>
            </w:r>
          </w:p>
        </w:tc>
      </w:tr>
      <w:tr w:rsidR="001B68F0" w:rsidRPr="001B68F0" w14:paraId="0BCA7775" w14:textId="77777777" w:rsidTr="001B68F0">
        <w:trPr>
          <w:jc w:val="center"/>
        </w:trPr>
        <w:tc>
          <w:tcPr>
            <w:tcW w:w="1135" w:type="dxa"/>
          </w:tcPr>
          <w:p w14:paraId="7DC84CC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4.1</w:t>
            </w:r>
          </w:p>
        </w:tc>
        <w:tc>
          <w:tcPr>
            <w:tcW w:w="1276" w:type="dxa"/>
          </w:tcPr>
          <w:p w14:paraId="083702D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41754FD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4C83F0F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Full understanding of APQP readiness</w:t>
            </w:r>
          </w:p>
        </w:tc>
        <w:tc>
          <w:tcPr>
            <w:tcW w:w="3119" w:type="dxa"/>
          </w:tcPr>
          <w:p w14:paraId="7CC0577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Help to remove blocks in the project</w:t>
            </w:r>
          </w:p>
        </w:tc>
        <w:tc>
          <w:tcPr>
            <w:tcW w:w="2693" w:type="dxa"/>
          </w:tcPr>
          <w:p w14:paraId="79E7AC3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Hands-off sponsorship approach</w:t>
            </w:r>
          </w:p>
        </w:tc>
        <w:tc>
          <w:tcPr>
            <w:tcW w:w="2977" w:type="dxa"/>
          </w:tcPr>
          <w:p w14:paraId="47C5D6B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Bi-weekly updates</w:t>
            </w:r>
          </w:p>
        </w:tc>
      </w:tr>
      <w:tr w:rsidR="001B68F0" w:rsidRPr="001B68F0" w14:paraId="173145C0" w14:textId="77777777" w:rsidTr="001B68F0">
        <w:trPr>
          <w:jc w:val="center"/>
        </w:trPr>
        <w:tc>
          <w:tcPr>
            <w:tcW w:w="1135" w:type="dxa"/>
          </w:tcPr>
          <w:p w14:paraId="7155829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4.2</w:t>
            </w:r>
          </w:p>
        </w:tc>
        <w:tc>
          <w:tcPr>
            <w:tcW w:w="1276" w:type="dxa"/>
          </w:tcPr>
          <w:p w14:paraId="787FD8C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5BAD641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25E515E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Team to implement project</w:t>
            </w:r>
          </w:p>
          <w:p w14:paraId="60851E9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Regular status updates</w:t>
            </w:r>
          </w:p>
        </w:tc>
        <w:tc>
          <w:tcPr>
            <w:tcW w:w="3119" w:type="dxa"/>
          </w:tcPr>
          <w:p w14:paraId="6DF2ABF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Interact with Group for project support/ progress updates</w:t>
            </w:r>
          </w:p>
        </w:tc>
        <w:tc>
          <w:tcPr>
            <w:tcW w:w="2693" w:type="dxa"/>
          </w:tcPr>
          <w:p w14:paraId="11BC164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Lack of decisive decision making/supporting the project</w:t>
            </w:r>
          </w:p>
        </w:tc>
        <w:tc>
          <w:tcPr>
            <w:tcW w:w="2977" w:type="dxa"/>
          </w:tcPr>
          <w:p w14:paraId="77AF328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Bi-weekly updates</w:t>
            </w:r>
          </w:p>
        </w:tc>
      </w:tr>
      <w:tr w:rsidR="001B68F0" w:rsidRPr="001B68F0" w14:paraId="4BCFACB3" w14:textId="77777777" w:rsidTr="001B68F0">
        <w:trPr>
          <w:jc w:val="center"/>
        </w:trPr>
        <w:tc>
          <w:tcPr>
            <w:tcW w:w="1135" w:type="dxa"/>
          </w:tcPr>
          <w:p w14:paraId="584D83E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4.3</w:t>
            </w:r>
          </w:p>
        </w:tc>
        <w:tc>
          <w:tcPr>
            <w:tcW w:w="1276" w:type="dxa"/>
          </w:tcPr>
          <w:p w14:paraId="30CB2F9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7DEE279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3471EDB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Cross-functional support for process updates</w:t>
            </w:r>
          </w:p>
        </w:tc>
        <w:tc>
          <w:tcPr>
            <w:tcW w:w="3119" w:type="dxa"/>
          </w:tcPr>
          <w:p w14:paraId="11B8D30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Define the framework for APQP rollout</w:t>
            </w:r>
          </w:p>
        </w:tc>
        <w:tc>
          <w:tcPr>
            <w:tcW w:w="2693" w:type="dxa"/>
          </w:tcPr>
          <w:p w14:paraId="7A85908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Unable to obtain ‘buy-in’ from process owners</w:t>
            </w:r>
          </w:p>
        </w:tc>
        <w:tc>
          <w:tcPr>
            <w:tcW w:w="2977" w:type="dxa"/>
          </w:tcPr>
          <w:p w14:paraId="71079AE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Bi-weekly updates</w:t>
            </w:r>
          </w:p>
        </w:tc>
      </w:tr>
      <w:tr w:rsidR="001B68F0" w:rsidRPr="001B68F0" w14:paraId="21B6E780" w14:textId="77777777" w:rsidTr="001B68F0">
        <w:trPr>
          <w:jc w:val="center"/>
        </w:trPr>
        <w:tc>
          <w:tcPr>
            <w:tcW w:w="1135" w:type="dxa"/>
          </w:tcPr>
          <w:p w14:paraId="79211BD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5.1</w:t>
            </w:r>
          </w:p>
        </w:tc>
        <w:tc>
          <w:tcPr>
            <w:tcW w:w="1276" w:type="dxa"/>
          </w:tcPr>
          <w:p w14:paraId="063574D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4BCF903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74DBF4A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Easy to manufacture designs</w:t>
            </w:r>
          </w:p>
          <w:p w14:paraId="35459BB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Key Characteristics identified and mitigating actions implemented</w:t>
            </w:r>
          </w:p>
        </w:tc>
        <w:tc>
          <w:tcPr>
            <w:tcW w:w="3119" w:type="dxa"/>
          </w:tcPr>
          <w:p w14:paraId="4A7458E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tc>
        <w:tc>
          <w:tcPr>
            <w:tcW w:w="2693" w:type="dxa"/>
          </w:tcPr>
          <w:p w14:paraId="6C82AAE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6BE3EAE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2B330471" w14:textId="77777777" w:rsidTr="001B68F0">
        <w:trPr>
          <w:jc w:val="center"/>
        </w:trPr>
        <w:tc>
          <w:tcPr>
            <w:tcW w:w="1135" w:type="dxa"/>
          </w:tcPr>
          <w:p w14:paraId="00DBD5A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5.2</w:t>
            </w:r>
          </w:p>
        </w:tc>
        <w:tc>
          <w:tcPr>
            <w:tcW w:w="1276" w:type="dxa"/>
          </w:tcPr>
          <w:p w14:paraId="0CA0D57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112B0A7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3B3DEF8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Cross-functional input into DFMEA</w:t>
            </w:r>
          </w:p>
          <w:p w14:paraId="521A0FC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Clear list of requirements</w:t>
            </w:r>
          </w:p>
        </w:tc>
        <w:tc>
          <w:tcPr>
            <w:tcW w:w="3119" w:type="dxa"/>
          </w:tcPr>
          <w:p w14:paraId="4CDB1FD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tc>
        <w:tc>
          <w:tcPr>
            <w:tcW w:w="2693" w:type="dxa"/>
          </w:tcPr>
          <w:p w14:paraId="0D61C5A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7AE7D71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4A3C45A0" w14:textId="77777777" w:rsidTr="001B68F0">
        <w:trPr>
          <w:jc w:val="center"/>
        </w:trPr>
        <w:tc>
          <w:tcPr>
            <w:tcW w:w="1135" w:type="dxa"/>
          </w:tcPr>
          <w:p w14:paraId="5F3E255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5.3</w:t>
            </w:r>
          </w:p>
        </w:tc>
        <w:tc>
          <w:tcPr>
            <w:tcW w:w="1276" w:type="dxa"/>
          </w:tcPr>
          <w:p w14:paraId="6E2C311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3064CE3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26482C7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Clear list of Key Characteristics to control</w:t>
            </w:r>
          </w:p>
        </w:tc>
        <w:tc>
          <w:tcPr>
            <w:tcW w:w="3119" w:type="dxa"/>
          </w:tcPr>
          <w:p w14:paraId="39DE76D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tc>
        <w:tc>
          <w:tcPr>
            <w:tcW w:w="2693" w:type="dxa"/>
          </w:tcPr>
          <w:p w14:paraId="26821D5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68ACDA3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2CD45598" w14:textId="77777777" w:rsidTr="001B68F0">
        <w:trPr>
          <w:jc w:val="center"/>
        </w:trPr>
        <w:tc>
          <w:tcPr>
            <w:tcW w:w="1135" w:type="dxa"/>
          </w:tcPr>
          <w:p w14:paraId="0547D63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5.4</w:t>
            </w:r>
          </w:p>
        </w:tc>
        <w:tc>
          <w:tcPr>
            <w:tcW w:w="1276" w:type="dxa"/>
          </w:tcPr>
          <w:p w14:paraId="2FF162E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5A6B315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5D50F47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Timely ‘Make v Buy’ decisions</w:t>
            </w:r>
          </w:p>
          <w:p w14:paraId="05BFE1A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Engineering that supports Lead times</w:t>
            </w:r>
          </w:p>
        </w:tc>
        <w:tc>
          <w:tcPr>
            <w:tcW w:w="3119" w:type="dxa"/>
          </w:tcPr>
          <w:p w14:paraId="2D40D51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tc>
        <w:tc>
          <w:tcPr>
            <w:tcW w:w="2693" w:type="dxa"/>
          </w:tcPr>
          <w:p w14:paraId="2B3C35F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3FEE1CD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46414EA1" w14:textId="77777777" w:rsidTr="001B68F0">
        <w:trPr>
          <w:jc w:val="center"/>
        </w:trPr>
        <w:tc>
          <w:tcPr>
            <w:tcW w:w="1135" w:type="dxa"/>
          </w:tcPr>
          <w:p w14:paraId="68E46FA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5.5</w:t>
            </w:r>
          </w:p>
        </w:tc>
        <w:tc>
          <w:tcPr>
            <w:tcW w:w="1276" w:type="dxa"/>
          </w:tcPr>
          <w:p w14:paraId="1E9B2AF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41CAFC8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23476C0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IPT open to changing process/forms to meet APQP requirements</w:t>
            </w:r>
          </w:p>
        </w:tc>
        <w:tc>
          <w:tcPr>
            <w:tcW w:w="3119" w:type="dxa"/>
          </w:tcPr>
          <w:p w14:paraId="0607912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tc>
        <w:tc>
          <w:tcPr>
            <w:tcW w:w="2693" w:type="dxa"/>
          </w:tcPr>
          <w:p w14:paraId="6B5915E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53AA45B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66BE9CE8" w14:textId="77777777" w:rsidTr="001B68F0">
        <w:trPr>
          <w:jc w:val="center"/>
        </w:trPr>
        <w:tc>
          <w:tcPr>
            <w:tcW w:w="1135" w:type="dxa"/>
          </w:tcPr>
          <w:p w14:paraId="5272457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lastRenderedPageBreak/>
              <w:t xml:space="preserve">5.6 </w:t>
            </w:r>
          </w:p>
        </w:tc>
        <w:tc>
          <w:tcPr>
            <w:tcW w:w="1276" w:type="dxa"/>
          </w:tcPr>
          <w:p w14:paraId="04DFAAF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13ADA8A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082CFFD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APQP having a positive impact on the program</w:t>
            </w:r>
          </w:p>
          <w:p w14:paraId="415FB2C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Resource allocated isn’t just an additional check</w:t>
            </w:r>
          </w:p>
        </w:tc>
        <w:tc>
          <w:tcPr>
            <w:tcW w:w="3119" w:type="dxa"/>
          </w:tcPr>
          <w:p w14:paraId="0F5A1D5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p w14:paraId="0F244A0E" w14:textId="77777777" w:rsidR="001B68F0" w:rsidRPr="001B68F0" w:rsidRDefault="001B68F0" w:rsidP="001B68F0">
            <w:pPr>
              <w:rPr>
                <w:rFonts w:ascii="Calibri" w:eastAsia="Calibri" w:hAnsi="Calibri" w:cs="Times New Roman"/>
                <w:sz w:val="18"/>
                <w:szCs w:val="20"/>
              </w:rPr>
            </w:pPr>
          </w:p>
        </w:tc>
        <w:tc>
          <w:tcPr>
            <w:tcW w:w="2693" w:type="dxa"/>
          </w:tcPr>
          <w:p w14:paraId="7E39BE71"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084C009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1FBE14CD" w14:textId="77777777" w:rsidTr="001B68F0">
        <w:trPr>
          <w:jc w:val="center"/>
        </w:trPr>
        <w:tc>
          <w:tcPr>
            <w:tcW w:w="1135" w:type="dxa"/>
          </w:tcPr>
          <w:p w14:paraId="39964F2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6.1</w:t>
            </w:r>
          </w:p>
        </w:tc>
        <w:tc>
          <w:tcPr>
            <w:tcW w:w="1276" w:type="dxa"/>
          </w:tcPr>
          <w:p w14:paraId="5666F04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461C58E3"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2409" w:type="dxa"/>
          </w:tcPr>
          <w:p w14:paraId="488AE3CA"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Able to offer SGB as an APQP compliant manufacturer</w:t>
            </w:r>
          </w:p>
        </w:tc>
        <w:tc>
          <w:tcPr>
            <w:tcW w:w="3119" w:type="dxa"/>
          </w:tcPr>
          <w:p w14:paraId="1351A8B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Help to remove blocks in the project and smooth rollout across Safran entities</w:t>
            </w:r>
          </w:p>
        </w:tc>
        <w:tc>
          <w:tcPr>
            <w:tcW w:w="2693" w:type="dxa"/>
          </w:tcPr>
          <w:p w14:paraId="3EC2DA7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Change requirements for APQP mid-project</w:t>
            </w:r>
          </w:p>
        </w:tc>
        <w:tc>
          <w:tcPr>
            <w:tcW w:w="2977" w:type="dxa"/>
          </w:tcPr>
          <w:p w14:paraId="5442BF9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53FA9A91" w14:textId="77777777" w:rsidTr="001B68F0">
        <w:trPr>
          <w:jc w:val="center"/>
        </w:trPr>
        <w:tc>
          <w:tcPr>
            <w:tcW w:w="1135" w:type="dxa"/>
          </w:tcPr>
          <w:p w14:paraId="5A30AE60"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6.2</w:t>
            </w:r>
          </w:p>
        </w:tc>
        <w:tc>
          <w:tcPr>
            <w:tcW w:w="1276" w:type="dxa"/>
          </w:tcPr>
          <w:p w14:paraId="189E71A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117B69F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469CEF1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APQP having a positive impact on the program</w:t>
            </w:r>
          </w:p>
          <w:p w14:paraId="0D8D0E5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Resource allocated isn’t just an additional check</w:t>
            </w:r>
          </w:p>
        </w:tc>
        <w:tc>
          <w:tcPr>
            <w:tcW w:w="3119" w:type="dxa"/>
          </w:tcPr>
          <w:p w14:paraId="776BCFE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Help to ensure projects with APQP contracts use the APQP framework</w:t>
            </w:r>
          </w:p>
        </w:tc>
        <w:tc>
          <w:tcPr>
            <w:tcW w:w="2693" w:type="dxa"/>
          </w:tcPr>
          <w:p w14:paraId="7E14E3B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Start projects without APQP provision in terms of resources</w:t>
            </w:r>
          </w:p>
        </w:tc>
        <w:tc>
          <w:tcPr>
            <w:tcW w:w="2977" w:type="dxa"/>
          </w:tcPr>
          <w:p w14:paraId="027169F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25754465" w14:textId="77777777" w:rsidTr="001B68F0">
        <w:trPr>
          <w:jc w:val="center"/>
        </w:trPr>
        <w:tc>
          <w:tcPr>
            <w:tcW w:w="1135" w:type="dxa"/>
          </w:tcPr>
          <w:p w14:paraId="5008A03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6.3</w:t>
            </w:r>
          </w:p>
        </w:tc>
        <w:tc>
          <w:tcPr>
            <w:tcW w:w="1276" w:type="dxa"/>
          </w:tcPr>
          <w:p w14:paraId="75F7524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High</w:t>
            </w:r>
          </w:p>
        </w:tc>
        <w:tc>
          <w:tcPr>
            <w:tcW w:w="1134" w:type="dxa"/>
          </w:tcPr>
          <w:p w14:paraId="2C1BF74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47EB6E3C"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APQP having a positive impact on the program</w:t>
            </w:r>
          </w:p>
          <w:p w14:paraId="2DF0DA2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APQP produces robust Engineering solutions to known issues</w:t>
            </w:r>
          </w:p>
        </w:tc>
        <w:tc>
          <w:tcPr>
            <w:tcW w:w="3119" w:type="dxa"/>
          </w:tcPr>
          <w:p w14:paraId="0BEDC24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Help to ensure projects with APQP contracts use the APQP framework</w:t>
            </w:r>
          </w:p>
        </w:tc>
        <w:tc>
          <w:tcPr>
            <w:tcW w:w="2693" w:type="dxa"/>
          </w:tcPr>
          <w:p w14:paraId="3B436C9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Start projects without APQP provision in terms of resources</w:t>
            </w:r>
          </w:p>
        </w:tc>
        <w:tc>
          <w:tcPr>
            <w:tcW w:w="2977" w:type="dxa"/>
          </w:tcPr>
          <w:p w14:paraId="24A9E9A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Project launch meeting, project roadmap, bi-monthly progress updates</w:t>
            </w:r>
          </w:p>
        </w:tc>
      </w:tr>
      <w:tr w:rsidR="001B68F0" w:rsidRPr="001B68F0" w14:paraId="1A735CF2" w14:textId="77777777" w:rsidTr="001B68F0">
        <w:trPr>
          <w:jc w:val="center"/>
        </w:trPr>
        <w:tc>
          <w:tcPr>
            <w:tcW w:w="1135" w:type="dxa"/>
          </w:tcPr>
          <w:p w14:paraId="1ECDAE49"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7.1</w:t>
            </w:r>
          </w:p>
        </w:tc>
        <w:tc>
          <w:tcPr>
            <w:tcW w:w="1276" w:type="dxa"/>
          </w:tcPr>
          <w:p w14:paraId="53A3E6F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51E026E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1F42882D"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Parts arrive on time and to spec</w:t>
            </w:r>
          </w:p>
        </w:tc>
        <w:tc>
          <w:tcPr>
            <w:tcW w:w="3119" w:type="dxa"/>
          </w:tcPr>
          <w:p w14:paraId="566EE8A8"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Supporting Lessons Learnt activities for manufacturing issues</w:t>
            </w:r>
          </w:p>
        </w:tc>
        <w:tc>
          <w:tcPr>
            <w:tcW w:w="2693" w:type="dxa"/>
          </w:tcPr>
          <w:p w14:paraId="77E06BB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Resist use of jigs/fixtures and Control Plans</w:t>
            </w:r>
          </w:p>
        </w:tc>
        <w:tc>
          <w:tcPr>
            <w:tcW w:w="2977" w:type="dxa"/>
          </w:tcPr>
          <w:p w14:paraId="779140E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Quarterly Newsletter Update</w:t>
            </w:r>
          </w:p>
        </w:tc>
      </w:tr>
      <w:tr w:rsidR="001B68F0" w:rsidRPr="001B68F0" w14:paraId="0D9D6435" w14:textId="77777777" w:rsidTr="001B68F0">
        <w:trPr>
          <w:jc w:val="center"/>
        </w:trPr>
        <w:tc>
          <w:tcPr>
            <w:tcW w:w="1135" w:type="dxa"/>
          </w:tcPr>
          <w:p w14:paraId="56C17BF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xml:space="preserve">7.2 </w:t>
            </w:r>
          </w:p>
        </w:tc>
        <w:tc>
          <w:tcPr>
            <w:tcW w:w="1276" w:type="dxa"/>
          </w:tcPr>
          <w:p w14:paraId="57BD9A9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1FE0168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72CD0F0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Control Plans in place to react to variation as it occurs</w:t>
            </w:r>
          </w:p>
        </w:tc>
        <w:tc>
          <w:tcPr>
            <w:tcW w:w="3119" w:type="dxa"/>
          </w:tcPr>
          <w:p w14:paraId="3FC7A05F"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Support review of processes/forms and update in line with requirements</w:t>
            </w:r>
          </w:p>
          <w:p w14:paraId="686021F8" w14:textId="77777777" w:rsidR="001B68F0" w:rsidRPr="001B68F0" w:rsidRDefault="001B68F0" w:rsidP="001B68F0">
            <w:pPr>
              <w:rPr>
                <w:rFonts w:ascii="Calibri" w:eastAsia="Calibri" w:hAnsi="Calibri" w:cs="Times New Roman"/>
                <w:sz w:val="18"/>
                <w:szCs w:val="20"/>
              </w:rPr>
            </w:pPr>
          </w:p>
        </w:tc>
        <w:tc>
          <w:tcPr>
            <w:tcW w:w="2693" w:type="dxa"/>
          </w:tcPr>
          <w:p w14:paraId="4B040F8B"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Maintain processes/forms are acceptable in current state. Block implementation of framework</w:t>
            </w:r>
          </w:p>
        </w:tc>
        <w:tc>
          <w:tcPr>
            <w:tcW w:w="2977" w:type="dxa"/>
          </w:tcPr>
          <w:p w14:paraId="75D5294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Quarterly Newsletter Update</w:t>
            </w:r>
          </w:p>
        </w:tc>
      </w:tr>
      <w:tr w:rsidR="001B68F0" w:rsidRPr="001B68F0" w14:paraId="1F75BFF4" w14:textId="77777777" w:rsidTr="001B68F0">
        <w:trPr>
          <w:jc w:val="center"/>
        </w:trPr>
        <w:tc>
          <w:tcPr>
            <w:tcW w:w="1135" w:type="dxa"/>
          </w:tcPr>
          <w:p w14:paraId="6A1A0FCE"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xml:space="preserve">7.3 </w:t>
            </w:r>
          </w:p>
        </w:tc>
        <w:tc>
          <w:tcPr>
            <w:tcW w:w="1276" w:type="dxa"/>
          </w:tcPr>
          <w:p w14:paraId="04DD47C7"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1134" w:type="dxa"/>
          </w:tcPr>
          <w:p w14:paraId="38174D06"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Low</w:t>
            </w:r>
          </w:p>
        </w:tc>
        <w:tc>
          <w:tcPr>
            <w:tcW w:w="2409" w:type="dxa"/>
          </w:tcPr>
          <w:p w14:paraId="70F2ADB4"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 Robust, easy-to-use packaging solutions</w:t>
            </w:r>
          </w:p>
        </w:tc>
        <w:tc>
          <w:tcPr>
            <w:tcW w:w="3119" w:type="dxa"/>
          </w:tcPr>
          <w:p w14:paraId="28FEBA05"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Provide support in the development of packaging process</w:t>
            </w:r>
          </w:p>
        </w:tc>
        <w:tc>
          <w:tcPr>
            <w:tcW w:w="2693" w:type="dxa"/>
          </w:tcPr>
          <w:p w14:paraId="4F330D62" w14:textId="77777777" w:rsidR="001B68F0" w:rsidRPr="001B68F0" w:rsidRDefault="001B68F0" w:rsidP="001B68F0">
            <w:pPr>
              <w:rPr>
                <w:rFonts w:ascii="Calibri" w:eastAsia="Calibri" w:hAnsi="Calibri" w:cs="Times New Roman"/>
                <w:sz w:val="18"/>
                <w:szCs w:val="20"/>
              </w:rPr>
            </w:pPr>
            <w:r w:rsidRPr="001B68F0">
              <w:rPr>
                <w:rFonts w:ascii="Calibri" w:eastAsia="Calibri" w:hAnsi="Calibri" w:cs="Times New Roman"/>
                <w:sz w:val="18"/>
                <w:szCs w:val="20"/>
              </w:rPr>
              <w:t>Resistance to move away from current methods</w:t>
            </w:r>
          </w:p>
        </w:tc>
        <w:tc>
          <w:tcPr>
            <w:tcW w:w="2977" w:type="dxa"/>
          </w:tcPr>
          <w:p w14:paraId="749551F3" w14:textId="77777777" w:rsidR="001B68F0" w:rsidRPr="001B68F0" w:rsidRDefault="001B68F0" w:rsidP="001A1D1F">
            <w:pPr>
              <w:keepNext/>
              <w:rPr>
                <w:rFonts w:ascii="Calibri" w:eastAsia="Calibri" w:hAnsi="Calibri" w:cs="Times New Roman"/>
                <w:sz w:val="18"/>
                <w:szCs w:val="20"/>
              </w:rPr>
            </w:pPr>
            <w:r w:rsidRPr="001B68F0">
              <w:rPr>
                <w:rFonts w:ascii="Calibri" w:eastAsia="Calibri" w:hAnsi="Calibri" w:cs="Times New Roman"/>
                <w:sz w:val="18"/>
                <w:szCs w:val="20"/>
              </w:rPr>
              <w:t>Quarterly Newsletter Update</w:t>
            </w:r>
          </w:p>
        </w:tc>
      </w:tr>
    </w:tbl>
    <w:p w14:paraId="0351C40B" w14:textId="0540C7B6" w:rsidR="001B68F0" w:rsidRDefault="001A1D1F" w:rsidP="001A1D1F">
      <w:pPr>
        <w:pStyle w:val="Caption"/>
      </w:pPr>
      <w:bookmarkStart w:id="59" w:name="_Ref136170081"/>
      <w:r w:rsidRPr="00F326DC">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3</w:t>
      </w:r>
      <w:r w:rsidR="003A6EC0">
        <w:rPr>
          <w:b/>
        </w:rPr>
        <w:fldChar w:fldCharType="end"/>
      </w:r>
      <w:bookmarkEnd w:id="59"/>
      <w:r w:rsidRPr="00F326DC">
        <w:rPr>
          <w:b/>
        </w:rPr>
        <w:t>: Communication Plan</w:t>
      </w:r>
      <w:r w:rsidRPr="001E0798">
        <w:t xml:space="preserve"> based on the Stakeholder Mind-Map</w:t>
      </w:r>
    </w:p>
    <w:p w14:paraId="72DA89A6" w14:textId="14F8E176" w:rsidR="00F326DC" w:rsidRDefault="00F326DC" w:rsidP="00F326DC"/>
    <w:p w14:paraId="14505A5C" w14:textId="758004CB" w:rsidR="00333925" w:rsidRPr="00F326DC" w:rsidRDefault="00333925" w:rsidP="00F326DC">
      <w:pPr>
        <w:sectPr w:rsidR="00333925" w:rsidRPr="00F326DC" w:rsidSect="003B7DCD">
          <w:pgSz w:w="16838" w:h="11906" w:orient="landscape"/>
          <w:pgMar w:top="720" w:right="720" w:bottom="720" w:left="720" w:header="708" w:footer="708" w:gutter="0"/>
          <w:cols w:space="708"/>
          <w:titlePg/>
          <w:docGrid w:linePitch="360"/>
        </w:sectPr>
      </w:pPr>
    </w:p>
    <w:p w14:paraId="1E2C7458" w14:textId="75F2A035" w:rsidR="00333925" w:rsidRDefault="00E63B2C" w:rsidP="00842D7D">
      <w:pPr>
        <w:jc w:val="both"/>
      </w:pPr>
      <w:r>
        <w:lastRenderedPageBreak/>
        <w:t>An Attitude Matrix was created t</w:t>
      </w:r>
      <w:r w:rsidR="00333925">
        <w:t xml:space="preserve">o help identify stakeholders </w:t>
      </w:r>
      <w:r w:rsidR="002728F0">
        <w:t xml:space="preserve">that might require interaction with </w:t>
      </w:r>
      <w:r w:rsidR="00333925">
        <w:t>the S</w:t>
      </w:r>
      <w:r w:rsidR="009C7AC6">
        <w:t>ponsor of the project</w:t>
      </w:r>
      <w:r w:rsidR="002728F0">
        <w:t xml:space="preserve"> to be engaged</w:t>
      </w:r>
      <w:r>
        <w:t xml:space="preserve"> </w:t>
      </w:r>
      <w:r w:rsidR="00A4460A">
        <w:t xml:space="preserve">, </w:t>
      </w:r>
      <w:r w:rsidR="00A4460A">
        <w:fldChar w:fldCharType="begin"/>
      </w:r>
      <w:r w:rsidR="00A4460A">
        <w:instrText xml:space="preserve"> REF _Ref137375028 \h  \* MERGEFORMAT </w:instrText>
      </w:r>
      <w:r w:rsidR="00A4460A">
        <w:fldChar w:fldCharType="separate"/>
      </w:r>
      <w:r w:rsidR="008C301E" w:rsidRPr="008C301E">
        <w:t>Table 4</w:t>
      </w:r>
      <w:r w:rsidR="00A4460A">
        <w:fldChar w:fldCharType="end"/>
      </w:r>
      <w:r w:rsidR="009C7AC6">
        <w:t xml:space="preserve"> The matrix </w:t>
      </w:r>
      <w:r w:rsidR="006141A3">
        <w:t xml:space="preserve">was used to compare </w:t>
      </w:r>
      <w:r w:rsidR="009C7AC6">
        <w:t xml:space="preserve">each </w:t>
      </w:r>
      <w:r w:rsidR="0005360F">
        <w:t xml:space="preserve">stakeholders </w:t>
      </w:r>
      <w:r w:rsidR="009C7AC6">
        <w:t xml:space="preserve">initial stance on the APQP project against their desired stance at the end of the project. </w:t>
      </w:r>
      <w:r w:rsidR="006141A3">
        <w:t>It</w:t>
      </w:r>
      <w:r w:rsidR="009C7AC6">
        <w:t xml:space="preserve"> also helped to identify who would be responsible for running a new development project through the framework that has been created. </w:t>
      </w:r>
    </w:p>
    <w:p w14:paraId="59CC273C" w14:textId="77777777" w:rsidR="00333925" w:rsidRDefault="00333925"/>
    <w:tbl>
      <w:tblPr>
        <w:tblStyle w:val="TableGrid2"/>
        <w:tblW w:w="0" w:type="auto"/>
        <w:jc w:val="center"/>
        <w:tblLook w:val="04A0" w:firstRow="1" w:lastRow="0" w:firstColumn="1" w:lastColumn="0" w:noHBand="0" w:noVBand="1"/>
      </w:tblPr>
      <w:tblGrid>
        <w:gridCol w:w="3079"/>
        <w:gridCol w:w="1032"/>
        <w:gridCol w:w="1036"/>
        <w:gridCol w:w="949"/>
        <w:gridCol w:w="1190"/>
        <w:gridCol w:w="1078"/>
      </w:tblGrid>
      <w:tr w:rsidR="009C7AC6" w:rsidRPr="001B68F0" w14:paraId="52E9DCE2" w14:textId="77777777" w:rsidTr="00041079">
        <w:trPr>
          <w:jc w:val="center"/>
        </w:trPr>
        <w:tc>
          <w:tcPr>
            <w:tcW w:w="3079" w:type="dxa"/>
            <w:shd w:val="clear" w:color="auto" w:fill="BFBFBF"/>
          </w:tcPr>
          <w:p w14:paraId="7AAFFE36"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br w:type="page"/>
              <w:t>Stakeholder</w:t>
            </w:r>
          </w:p>
        </w:tc>
        <w:tc>
          <w:tcPr>
            <w:tcW w:w="1032" w:type="dxa"/>
            <w:shd w:val="clear" w:color="auto" w:fill="BFBFBF"/>
          </w:tcPr>
          <w:p w14:paraId="4CB86071"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t>Unaware</w:t>
            </w:r>
          </w:p>
        </w:tc>
        <w:tc>
          <w:tcPr>
            <w:tcW w:w="1036" w:type="dxa"/>
            <w:shd w:val="clear" w:color="auto" w:fill="BFBFBF"/>
          </w:tcPr>
          <w:p w14:paraId="5858AE95"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t>Resistant</w:t>
            </w:r>
          </w:p>
        </w:tc>
        <w:tc>
          <w:tcPr>
            <w:tcW w:w="949" w:type="dxa"/>
            <w:shd w:val="clear" w:color="auto" w:fill="BFBFBF"/>
          </w:tcPr>
          <w:p w14:paraId="5D2E7AAB"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t>Neutral</w:t>
            </w:r>
          </w:p>
        </w:tc>
        <w:tc>
          <w:tcPr>
            <w:tcW w:w="1190" w:type="dxa"/>
            <w:shd w:val="clear" w:color="auto" w:fill="BFBFBF"/>
          </w:tcPr>
          <w:p w14:paraId="5B24EB94"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t>Supportive</w:t>
            </w:r>
          </w:p>
        </w:tc>
        <w:tc>
          <w:tcPr>
            <w:tcW w:w="1078" w:type="dxa"/>
            <w:shd w:val="clear" w:color="auto" w:fill="BFBFBF"/>
          </w:tcPr>
          <w:p w14:paraId="326E7777" w14:textId="77777777" w:rsidR="009C7AC6" w:rsidRPr="001B68F0" w:rsidRDefault="009C7AC6" w:rsidP="00041079">
            <w:pPr>
              <w:rPr>
                <w:rFonts w:ascii="Calibri" w:eastAsia="Calibri" w:hAnsi="Calibri" w:cs="Times New Roman"/>
                <w:b/>
                <w:sz w:val="18"/>
              </w:rPr>
            </w:pPr>
            <w:r w:rsidRPr="001B68F0">
              <w:rPr>
                <w:rFonts w:ascii="Calibri" w:eastAsia="Calibri" w:hAnsi="Calibri" w:cs="Times New Roman"/>
                <w:b/>
                <w:sz w:val="18"/>
              </w:rPr>
              <w:t>Leading</w:t>
            </w:r>
          </w:p>
        </w:tc>
      </w:tr>
      <w:tr w:rsidR="009C7AC6" w:rsidRPr="001B68F0" w14:paraId="2D35E3C9" w14:textId="77777777" w:rsidTr="00041079">
        <w:trPr>
          <w:jc w:val="center"/>
        </w:trPr>
        <w:tc>
          <w:tcPr>
            <w:tcW w:w="3079" w:type="dxa"/>
          </w:tcPr>
          <w:p w14:paraId="70CB9CF8"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1.1 Airframers</w:t>
            </w:r>
          </w:p>
        </w:tc>
        <w:tc>
          <w:tcPr>
            <w:tcW w:w="1032" w:type="dxa"/>
            <w:shd w:val="clear" w:color="auto" w:fill="BFBFBF"/>
          </w:tcPr>
          <w:p w14:paraId="4E51D240"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33FBBA57" w14:textId="77777777" w:rsidR="009C7AC6" w:rsidRPr="001B68F0" w:rsidRDefault="009C7AC6" w:rsidP="00041079">
            <w:pPr>
              <w:jc w:val="center"/>
              <w:rPr>
                <w:rFonts w:ascii="Calibri" w:eastAsia="Calibri" w:hAnsi="Calibri" w:cs="Times New Roman"/>
                <w:sz w:val="18"/>
              </w:rPr>
            </w:pPr>
          </w:p>
        </w:tc>
        <w:tc>
          <w:tcPr>
            <w:tcW w:w="949" w:type="dxa"/>
          </w:tcPr>
          <w:p w14:paraId="5B287452"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190" w:type="dxa"/>
          </w:tcPr>
          <w:p w14:paraId="3A034A07"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2B3BB906" w14:textId="77777777" w:rsidR="009C7AC6" w:rsidRPr="001B68F0" w:rsidRDefault="009C7AC6" w:rsidP="00041079">
            <w:pPr>
              <w:jc w:val="center"/>
              <w:rPr>
                <w:rFonts w:ascii="Calibri" w:eastAsia="Calibri" w:hAnsi="Calibri" w:cs="Times New Roman"/>
                <w:sz w:val="18"/>
              </w:rPr>
            </w:pPr>
          </w:p>
        </w:tc>
      </w:tr>
      <w:tr w:rsidR="009C7AC6" w:rsidRPr="001B68F0" w14:paraId="1BFD15E9" w14:textId="77777777" w:rsidTr="00041079">
        <w:trPr>
          <w:jc w:val="center"/>
        </w:trPr>
        <w:tc>
          <w:tcPr>
            <w:tcW w:w="3079" w:type="dxa"/>
          </w:tcPr>
          <w:p w14:paraId="0770703D"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1.2 Airlines</w:t>
            </w:r>
          </w:p>
        </w:tc>
        <w:tc>
          <w:tcPr>
            <w:tcW w:w="1032" w:type="dxa"/>
            <w:shd w:val="clear" w:color="auto" w:fill="BFBFBF"/>
          </w:tcPr>
          <w:p w14:paraId="7F8E7BF2"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1835DE10" w14:textId="77777777" w:rsidR="009C7AC6" w:rsidRPr="001B68F0" w:rsidRDefault="009C7AC6" w:rsidP="00041079">
            <w:pPr>
              <w:jc w:val="center"/>
              <w:rPr>
                <w:rFonts w:ascii="Calibri" w:eastAsia="Calibri" w:hAnsi="Calibri" w:cs="Times New Roman"/>
                <w:sz w:val="18"/>
              </w:rPr>
            </w:pPr>
          </w:p>
        </w:tc>
        <w:tc>
          <w:tcPr>
            <w:tcW w:w="949" w:type="dxa"/>
          </w:tcPr>
          <w:p w14:paraId="6594DC0F"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190" w:type="dxa"/>
          </w:tcPr>
          <w:p w14:paraId="1ACB19E5"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7CAD35FD" w14:textId="77777777" w:rsidR="009C7AC6" w:rsidRPr="001B68F0" w:rsidRDefault="009C7AC6" w:rsidP="00041079">
            <w:pPr>
              <w:jc w:val="center"/>
              <w:rPr>
                <w:rFonts w:ascii="Calibri" w:eastAsia="Calibri" w:hAnsi="Calibri" w:cs="Times New Roman"/>
                <w:sz w:val="18"/>
              </w:rPr>
            </w:pPr>
          </w:p>
        </w:tc>
      </w:tr>
      <w:tr w:rsidR="009C7AC6" w:rsidRPr="001B68F0" w14:paraId="7F2E808B" w14:textId="77777777" w:rsidTr="00041079">
        <w:trPr>
          <w:jc w:val="center"/>
        </w:trPr>
        <w:tc>
          <w:tcPr>
            <w:tcW w:w="3079" w:type="dxa"/>
          </w:tcPr>
          <w:p w14:paraId="573E4DCE"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1.3 Integrators</w:t>
            </w:r>
          </w:p>
        </w:tc>
        <w:tc>
          <w:tcPr>
            <w:tcW w:w="1032" w:type="dxa"/>
          </w:tcPr>
          <w:p w14:paraId="0C3BC097"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6B5811C8" w14:textId="77777777" w:rsidR="009C7AC6" w:rsidRPr="001B68F0" w:rsidRDefault="009C7AC6" w:rsidP="00041079">
            <w:pPr>
              <w:jc w:val="center"/>
              <w:rPr>
                <w:rFonts w:ascii="Calibri" w:eastAsia="Calibri" w:hAnsi="Calibri" w:cs="Times New Roman"/>
                <w:sz w:val="18"/>
              </w:rPr>
            </w:pPr>
          </w:p>
        </w:tc>
        <w:tc>
          <w:tcPr>
            <w:tcW w:w="949" w:type="dxa"/>
          </w:tcPr>
          <w:p w14:paraId="2CAF16F3"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190" w:type="dxa"/>
            <w:shd w:val="clear" w:color="auto" w:fill="BFBFBF"/>
          </w:tcPr>
          <w:p w14:paraId="54103454" w14:textId="77777777" w:rsidR="009C7AC6" w:rsidRPr="001B68F0" w:rsidRDefault="009C7AC6" w:rsidP="00041079">
            <w:pPr>
              <w:jc w:val="center"/>
              <w:rPr>
                <w:rFonts w:ascii="Calibri" w:eastAsia="Calibri" w:hAnsi="Calibri" w:cs="Times New Roman"/>
                <w:sz w:val="18"/>
              </w:rPr>
            </w:pPr>
          </w:p>
        </w:tc>
        <w:tc>
          <w:tcPr>
            <w:tcW w:w="1078" w:type="dxa"/>
            <w:shd w:val="clear" w:color="auto" w:fill="BFBFBF"/>
          </w:tcPr>
          <w:p w14:paraId="0CB4625F" w14:textId="77777777" w:rsidR="009C7AC6" w:rsidRPr="001B68F0" w:rsidRDefault="009C7AC6" w:rsidP="00041079">
            <w:pPr>
              <w:jc w:val="center"/>
              <w:rPr>
                <w:rFonts w:ascii="Calibri" w:eastAsia="Calibri" w:hAnsi="Calibri" w:cs="Times New Roman"/>
                <w:sz w:val="18"/>
              </w:rPr>
            </w:pPr>
          </w:p>
        </w:tc>
      </w:tr>
      <w:tr w:rsidR="009C7AC6" w:rsidRPr="001B68F0" w14:paraId="371F75D9" w14:textId="77777777" w:rsidTr="00041079">
        <w:trPr>
          <w:jc w:val="center"/>
        </w:trPr>
        <w:tc>
          <w:tcPr>
            <w:tcW w:w="3079" w:type="dxa"/>
          </w:tcPr>
          <w:p w14:paraId="360650E1"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2.1 Bureau Veritas</w:t>
            </w:r>
          </w:p>
        </w:tc>
        <w:tc>
          <w:tcPr>
            <w:tcW w:w="1032" w:type="dxa"/>
          </w:tcPr>
          <w:p w14:paraId="2B598F4C"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25DB1BFF" w14:textId="77777777" w:rsidR="009C7AC6" w:rsidRPr="001B68F0" w:rsidRDefault="009C7AC6" w:rsidP="00041079">
            <w:pPr>
              <w:jc w:val="center"/>
              <w:rPr>
                <w:rFonts w:ascii="Calibri" w:eastAsia="Calibri" w:hAnsi="Calibri" w:cs="Times New Roman"/>
                <w:sz w:val="18"/>
              </w:rPr>
            </w:pPr>
          </w:p>
        </w:tc>
        <w:tc>
          <w:tcPr>
            <w:tcW w:w="949" w:type="dxa"/>
          </w:tcPr>
          <w:p w14:paraId="61CDC0C1"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190" w:type="dxa"/>
            <w:shd w:val="clear" w:color="auto" w:fill="BFBFBF"/>
          </w:tcPr>
          <w:p w14:paraId="2D689204" w14:textId="77777777" w:rsidR="009C7AC6" w:rsidRPr="001B68F0" w:rsidRDefault="009C7AC6" w:rsidP="00041079">
            <w:pPr>
              <w:jc w:val="center"/>
              <w:rPr>
                <w:rFonts w:ascii="Calibri" w:eastAsia="Calibri" w:hAnsi="Calibri" w:cs="Times New Roman"/>
                <w:sz w:val="18"/>
              </w:rPr>
            </w:pPr>
          </w:p>
        </w:tc>
        <w:tc>
          <w:tcPr>
            <w:tcW w:w="1078" w:type="dxa"/>
            <w:shd w:val="clear" w:color="auto" w:fill="BFBFBF"/>
          </w:tcPr>
          <w:p w14:paraId="1FB67E7E" w14:textId="77777777" w:rsidR="009C7AC6" w:rsidRPr="001B68F0" w:rsidRDefault="009C7AC6" w:rsidP="00041079">
            <w:pPr>
              <w:jc w:val="center"/>
              <w:rPr>
                <w:rFonts w:ascii="Calibri" w:eastAsia="Calibri" w:hAnsi="Calibri" w:cs="Times New Roman"/>
                <w:sz w:val="18"/>
              </w:rPr>
            </w:pPr>
          </w:p>
        </w:tc>
      </w:tr>
      <w:tr w:rsidR="009C7AC6" w:rsidRPr="001B68F0" w14:paraId="036B153B" w14:textId="77777777" w:rsidTr="00041079">
        <w:trPr>
          <w:jc w:val="center"/>
        </w:trPr>
        <w:tc>
          <w:tcPr>
            <w:tcW w:w="3079" w:type="dxa"/>
          </w:tcPr>
          <w:p w14:paraId="4CF8EA03"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2.2 CAA</w:t>
            </w:r>
          </w:p>
        </w:tc>
        <w:tc>
          <w:tcPr>
            <w:tcW w:w="1032" w:type="dxa"/>
          </w:tcPr>
          <w:p w14:paraId="04364950"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31A73BD5" w14:textId="77777777" w:rsidR="009C7AC6" w:rsidRPr="001B68F0" w:rsidRDefault="009C7AC6" w:rsidP="00041079">
            <w:pPr>
              <w:jc w:val="center"/>
              <w:rPr>
                <w:rFonts w:ascii="Calibri" w:eastAsia="Calibri" w:hAnsi="Calibri" w:cs="Times New Roman"/>
                <w:sz w:val="18"/>
              </w:rPr>
            </w:pPr>
          </w:p>
        </w:tc>
        <w:tc>
          <w:tcPr>
            <w:tcW w:w="949" w:type="dxa"/>
          </w:tcPr>
          <w:p w14:paraId="77AF35F0"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190" w:type="dxa"/>
            <w:shd w:val="clear" w:color="auto" w:fill="BFBFBF"/>
          </w:tcPr>
          <w:p w14:paraId="17B5370B" w14:textId="77777777" w:rsidR="009C7AC6" w:rsidRPr="001B68F0" w:rsidRDefault="009C7AC6" w:rsidP="00041079">
            <w:pPr>
              <w:jc w:val="center"/>
              <w:rPr>
                <w:rFonts w:ascii="Calibri" w:eastAsia="Calibri" w:hAnsi="Calibri" w:cs="Times New Roman"/>
                <w:sz w:val="18"/>
              </w:rPr>
            </w:pPr>
          </w:p>
        </w:tc>
        <w:tc>
          <w:tcPr>
            <w:tcW w:w="1078" w:type="dxa"/>
            <w:shd w:val="clear" w:color="auto" w:fill="BFBFBF"/>
          </w:tcPr>
          <w:p w14:paraId="1E0D6868" w14:textId="77777777" w:rsidR="009C7AC6" w:rsidRPr="001B68F0" w:rsidRDefault="009C7AC6" w:rsidP="00041079">
            <w:pPr>
              <w:jc w:val="center"/>
              <w:rPr>
                <w:rFonts w:ascii="Calibri" w:eastAsia="Calibri" w:hAnsi="Calibri" w:cs="Times New Roman"/>
                <w:sz w:val="18"/>
              </w:rPr>
            </w:pPr>
          </w:p>
        </w:tc>
      </w:tr>
      <w:tr w:rsidR="009C7AC6" w:rsidRPr="001B68F0" w14:paraId="694AC2BE" w14:textId="77777777" w:rsidTr="00041079">
        <w:trPr>
          <w:jc w:val="center"/>
        </w:trPr>
        <w:tc>
          <w:tcPr>
            <w:tcW w:w="3079" w:type="dxa"/>
          </w:tcPr>
          <w:p w14:paraId="3E1A3BCB"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2.3 FAA</w:t>
            </w:r>
          </w:p>
        </w:tc>
        <w:tc>
          <w:tcPr>
            <w:tcW w:w="1032" w:type="dxa"/>
          </w:tcPr>
          <w:p w14:paraId="0F74BFE7"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0CF2BCA4" w14:textId="77777777" w:rsidR="009C7AC6" w:rsidRPr="001B68F0" w:rsidRDefault="009C7AC6" w:rsidP="00041079">
            <w:pPr>
              <w:jc w:val="center"/>
              <w:rPr>
                <w:rFonts w:ascii="Calibri" w:eastAsia="Calibri" w:hAnsi="Calibri" w:cs="Times New Roman"/>
                <w:sz w:val="18"/>
              </w:rPr>
            </w:pPr>
          </w:p>
        </w:tc>
        <w:tc>
          <w:tcPr>
            <w:tcW w:w="949" w:type="dxa"/>
          </w:tcPr>
          <w:p w14:paraId="573B8A23"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190" w:type="dxa"/>
            <w:shd w:val="clear" w:color="auto" w:fill="BFBFBF"/>
          </w:tcPr>
          <w:p w14:paraId="222F4126" w14:textId="77777777" w:rsidR="009C7AC6" w:rsidRPr="001B68F0" w:rsidRDefault="009C7AC6" w:rsidP="00041079">
            <w:pPr>
              <w:jc w:val="center"/>
              <w:rPr>
                <w:rFonts w:ascii="Calibri" w:eastAsia="Calibri" w:hAnsi="Calibri" w:cs="Times New Roman"/>
                <w:sz w:val="18"/>
              </w:rPr>
            </w:pPr>
          </w:p>
        </w:tc>
        <w:tc>
          <w:tcPr>
            <w:tcW w:w="1078" w:type="dxa"/>
            <w:shd w:val="clear" w:color="auto" w:fill="BFBFBF"/>
          </w:tcPr>
          <w:p w14:paraId="09E31FE1" w14:textId="77777777" w:rsidR="009C7AC6" w:rsidRPr="001B68F0" w:rsidRDefault="009C7AC6" w:rsidP="00041079">
            <w:pPr>
              <w:jc w:val="center"/>
              <w:rPr>
                <w:rFonts w:ascii="Calibri" w:eastAsia="Calibri" w:hAnsi="Calibri" w:cs="Times New Roman"/>
                <w:sz w:val="18"/>
              </w:rPr>
            </w:pPr>
          </w:p>
        </w:tc>
      </w:tr>
      <w:tr w:rsidR="009C7AC6" w:rsidRPr="001B68F0" w14:paraId="2D483126" w14:textId="77777777" w:rsidTr="00041079">
        <w:trPr>
          <w:jc w:val="center"/>
        </w:trPr>
        <w:tc>
          <w:tcPr>
            <w:tcW w:w="3079" w:type="dxa"/>
          </w:tcPr>
          <w:p w14:paraId="741DE237"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2.4 EASA</w:t>
            </w:r>
          </w:p>
        </w:tc>
        <w:tc>
          <w:tcPr>
            <w:tcW w:w="1032" w:type="dxa"/>
          </w:tcPr>
          <w:p w14:paraId="397C471A"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6FC0724E" w14:textId="77777777" w:rsidR="009C7AC6" w:rsidRPr="001B68F0" w:rsidRDefault="009C7AC6" w:rsidP="00041079">
            <w:pPr>
              <w:jc w:val="center"/>
              <w:rPr>
                <w:rFonts w:ascii="Calibri" w:eastAsia="Calibri" w:hAnsi="Calibri" w:cs="Times New Roman"/>
                <w:sz w:val="18"/>
              </w:rPr>
            </w:pPr>
          </w:p>
        </w:tc>
        <w:tc>
          <w:tcPr>
            <w:tcW w:w="949" w:type="dxa"/>
          </w:tcPr>
          <w:p w14:paraId="44EE0D93"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190" w:type="dxa"/>
            <w:shd w:val="clear" w:color="auto" w:fill="BFBFBF"/>
          </w:tcPr>
          <w:p w14:paraId="7B8BA853" w14:textId="77777777" w:rsidR="009C7AC6" w:rsidRPr="001B68F0" w:rsidRDefault="009C7AC6" w:rsidP="00041079">
            <w:pPr>
              <w:jc w:val="center"/>
              <w:rPr>
                <w:rFonts w:ascii="Calibri" w:eastAsia="Calibri" w:hAnsi="Calibri" w:cs="Times New Roman"/>
                <w:sz w:val="18"/>
              </w:rPr>
            </w:pPr>
          </w:p>
        </w:tc>
        <w:tc>
          <w:tcPr>
            <w:tcW w:w="1078" w:type="dxa"/>
            <w:shd w:val="clear" w:color="auto" w:fill="BFBFBF"/>
          </w:tcPr>
          <w:p w14:paraId="37C575E2" w14:textId="77777777" w:rsidR="009C7AC6" w:rsidRPr="001B68F0" w:rsidRDefault="009C7AC6" w:rsidP="00041079">
            <w:pPr>
              <w:jc w:val="center"/>
              <w:rPr>
                <w:rFonts w:ascii="Calibri" w:eastAsia="Calibri" w:hAnsi="Calibri" w:cs="Times New Roman"/>
                <w:sz w:val="18"/>
              </w:rPr>
            </w:pPr>
          </w:p>
        </w:tc>
      </w:tr>
      <w:tr w:rsidR="009C7AC6" w:rsidRPr="001B68F0" w14:paraId="6D90F82C" w14:textId="77777777" w:rsidTr="00041079">
        <w:trPr>
          <w:jc w:val="center"/>
        </w:trPr>
        <w:tc>
          <w:tcPr>
            <w:tcW w:w="3079" w:type="dxa"/>
          </w:tcPr>
          <w:p w14:paraId="459254AC"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3 Suppliers</w:t>
            </w:r>
          </w:p>
        </w:tc>
        <w:tc>
          <w:tcPr>
            <w:tcW w:w="1032" w:type="dxa"/>
          </w:tcPr>
          <w:p w14:paraId="19C72A78"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08B50B39"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247C4414" w14:textId="77777777" w:rsidR="009C7AC6" w:rsidRPr="001B68F0" w:rsidRDefault="009C7AC6" w:rsidP="00041079">
            <w:pPr>
              <w:jc w:val="center"/>
              <w:rPr>
                <w:rFonts w:ascii="Calibri" w:eastAsia="Calibri" w:hAnsi="Calibri" w:cs="Times New Roman"/>
                <w:sz w:val="18"/>
              </w:rPr>
            </w:pPr>
          </w:p>
        </w:tc>
        <w:tc>
          <w:tcPr>
            <w:tcW w:w="1190" w:type="dxa"/>
          </w:tcPr>
          <w:p w14:paraId="4E4C79D9"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66EB57B7" w14:textId="77777777" w:rsidR="009C7AC6" w:rsidRPr="001B68F0" w:rsidRDefault="009C7AC6" w:rsidP="00041079">
            <w:pPr>
              <w:jc w:val="center"/>
              <w:rPr>
                <w:rFonts w:ascii="Calibri" w:eastAsia="Calibri" w:hAnsi="Calibri" w:cs="Times New Roman"/>
                <w:sz w:val="18"/>
              </w:rPr>
            </w:pPr>
          </w:p>
        </w:tc>
      </w:tr>
      <w:tr w:rsidR="009C7AC6" w:rsidRPr="001B68F0" w14:paraId="175B6729" w14:textId="77777777" w:rsidTr="00041079">
        <w:trPr>
          <w:jc w:val="center"/>
        </w:trPr>
        <w:tc>
          <w:tcPr>
            <w:tcW w:w="3079" w:type="dxa"/>
          </w:tcPr>
          <w:p w14:paraId="6D8D9104"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4.1 Sponsor</w:t>
            </w:r>
          </w:p>
        </w:tc>
        <w:tc>
          <w:tcPr>
            <w:tcW w:w="1032" w:type="dxa"/>
            <w:shd w:val="clear" w:color="auto" w:fill="BFBFBF"/>
          </w:tcPr>
          <w:p w14:paraId="6B0128FB"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268E1FFE"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356E2206" w14:textId="77777777" w:rsidR="009C7AC6" w:rsidRPr="001B68F0" w:rsidRDefault="009C7AC6" w:rsidP="00041079">
            <w:pPr>
              <w:jc w:val="center"/>
              <w:rPr>
                <w:rFonts w:ascii="Calibri" w:eastAsia="Calibri" w:hAnsi="Calibri" w:cs="Times New Roman"/>
                <w:sz w:val="18"/>
              </w:rPr>
            </w:pPr>
          </w:p>
        </w:tc>
        <w:tc>
          <w:tcPr>
            <w:tcW w:w="1190" w:type="dxa"/>
          </w:tcPr>
          <w:p w14:paraId="5D1C1659"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 D</w:t>
            </w:r>
          </w:p>
        </w:tc>
        <w:tc>
          <w:tcPr>
            <w:tcW w:w="1078" w:type="dxa"/>
            <w:shd w:val="clear" w:color="auto" w:fill="BFBFBF"/>
          </w:tcPr>
          <w:p w14:paraId="199229D4" w14:textId="77777777" w:rsidR="009C7AC6" w:rsidRPr="001B68F0" w:rsidRDefault="009C7AC6" w:rsidP="00041079">
            <w:pPr>
              <w:jc w:val="center"/>
              <w:rPr>
                <w:rFonts w:ascii="Calibri" w:eastAsia="Calibri" w:hAnsi="Calibri" w:cs="Times New Roman"/>
                <w:sz w:val="18"/>
              </w:rPr>
            </w:pPr>
          </w:p>
        </w:tc>
      </w:tr>
      <w:tr w:rsidR="009C7AC6" w:rsidRPr="001B68F0" w14:paraId="362EDDD3" w14:textId="77777777" w:rsidTr="00041079">
        <w:trPr>
          <w:jc w:val="center"/>
        </w:trPr>
        <w:tc>
          <w:tcPr>
            <w:tcW w:w="3079" w:type="dxa"/>
          </w:tcPr>
          <w:p w14:paraId="28914BC4"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4.2 Master Project Lead</w:t>
            </w:r>
          </w:p>
        </w:tc>
        <w:tc>
          <w:tcPr>
            <w:tcW w:w="1032" w:type="dxa"/>
            <w:shd w:val="clear" w:color="auto" w:fill="BFBFBF"/>
          </w:tcPr>
          <w:p w14:paraId="691456B2"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4C4EE938"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0A55DB2B" w14:textId="77777777" w:rsidR="009C7AC6" w:rsidRPr="001B68F0" w:rsidRDefault="009C7AC6" w:rsidP="00041079">
            <w:pPr>
              <w:jc w:val="center"/>
              <w:rPr>
                <w:rFonts w:ascii="Calibri" w:eastAsia="Calibri" w:hAnsi="Calibri" w:cs="Times New Roman"/>
                <w:sz w:val="18"/>
              </w:rPr>
            </w:pPr>
          </w:p>
        </w:tc>
        <w:tc>
          <w:tcPr>
            <w:tcW w:w="1190" w:type="dxa"/>
          </w:tcPr>
          <w:p w14:paraId="1AC5C196"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 D</w:t>
            </w:r>
          </w:p>
        </w:tc>
        <w:tc>
          <w:tcPr>
            <w:tcW w:w="1078" w:type="dxa"/>
            <w:shd w:val="clear" w:color="auto" w:fill="BFBFBF"/>
          </w:tcPr>
          <w:p w14:paraId="2FA05D7A" w14:textId="77777777" w:rsidR="009C7AC6" w:rsidRPr="001B68F0" w:rsidRDefault="009C7AC6" w:rsidP="00041079">
            <w:pPr>
              <w:jc w:val="center"/>
              <w:rPr>
                <w:rFonts w:ascii="Calibri" w:eastAsia="Calibri" w:hAnsi="Calibri" w:cs="Times New Roman"/>
                <w:sz w:val="18"/>
              </w:rPr>
            </w:pPr>
          </w:p>
        </w:tc>
      </w:tr>
      <w:tr w:rsidR="009C7AC6" w:rsidRPr="001B68F0" w14:paraId="3CAF8E8B" w14:textId="77777777" w:rsidTr="00041079">
        <w:trPr>
          <w:jc w:val="center"/>
        </w:trPr>
        <w:tc>
          <w:tcPr>
            <w:tcW w:w="3079" w:type="dxa"/>
          </w:tcPr>
          <w:p w14:paraId="3F00AC96"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4.3 Master APQP</w:t>
            </w:r>
          </w:p>
        </w:tc>
        <w:tc>
          <w:tcPr>
            <w:tcW w:w="1032" w:type="dxa"/>
            <w:shd w:val="clear" w:color="auto" w:fill="BFBFBF"/>
          </w:tcPr>
          <w:p w14:paraId="17E9D488"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008B1750"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730A0A7D" w14:textId="77777777" w:rsidR="009C7AC6" w:rsidRPr="001B68F0" w:rsidRDefault="009C7AC6" w:rsidP="00041079">
            <w:pPr>
              <w:jc w:val="center"/>
              <w:rPr>
                <w:rFonts w:ascii="Calibri" w:eastAsia="Calibri" w:hAnsi="Calibri" w:cs="Times New Roman"/>
                <w:sz w:val="18"/>
              </w:rPr>
            </w:pPr>
          </w:p>
        </w:tc>
        <w:tc>
          <w:tcPr>
            <w:tcW w:w="1190" w:type="dxa"/>
          </w:tcPr>
          <w:p w14:paraId="6341409D"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tcPr>
          <w:p w14:paraId="5958BF4B"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r>
      <w:tr w:rsidR="009C7AC6" w:rsidRPr="001B68F0" w14:paraId="17B96338" w14:textId="77777777" w:rsidTr="00041079">
        <w:trPr>
          <w:jc w:val="center"/>
        </w:trPr>
        <w:tc>
          <w:tcPr>
            <w:tcW w:w="3079" w:type="dxa"/>
          </w:tcPr>
          <w:p w14:paraId="35FC2C5C"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5.1 Industrialisation Lead</w:t>
            </w:r>
          </w:p>
        </w:tc>
        <w:tc>
          <w:tcPr>
            <w:tcW w:w="1032" w:type="dxa"/>
          </w:tcPr>
          <w:p w14:paraId="263E924D"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497F5563"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34FB8065"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2F797CD5" w14:textId="77777777" w:rsidR="009C7AC6" w:rsidRPr="001B68F0" w:rsidRDefault="009C7AC6" w:rsidP="00041079">
            <w:pPr>
              <w:jc w:val="center"/>
              <w:rPr>
                <w:rFonts w:ascii="Calibri" w:eastAsia="Calibri" w:hAnsi="Calibri" w:cs="Times New Roman"/>
                <w:sz w:val="18"/>
              </w:rPr>
            </w:pPr>
          </w:p>
        </w:tc>
        <w:tc>
          <w:tcPr>
            <w:tcW w:w="1078" w:type="dxa"/>
          </w:tcPr>
          <w:p w14:paraId="62B6BE8F"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1C40CC65" w14:textId="77777777" w:rsidTr="00041079">
        <w:trPr>
          <w:jc w:val="center"/>
        </w:trPr>
        <w:tc>
          <w:tcPr>
            <w:tcW w:w="3079" w:type="dxa"/>
          </w:tcPr>
          <w:p w14:paraId="3E202B11"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5.2 Design Engineering Lead</w:t>
            </w:r>
          </w:p>
        </w:tc>
        <w:tc>
          <w:tcPr>
            <w:tcW w:w="1032" w:type="dxa"/>
          </w:tcPr>
          <w:p w14:paraId="73210F34"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56512A89"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02D9B24C"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7499CFFE" w14:textId="77777777" w:rsidR="009C7AC6" w:rsidRPr="001B68F0" w:rsidRDefault="009C7AC6" w:rsidP="00041079">
            <w:pPr>
              <w:jc w:val="center"/>
              <w:rPr>
                <w:rFonts w:ascii="Calibri" w:eastAsia="Calibri" w:hAnsi="Calibri" w:cs="Times New Roman"/>
                <w:sz w:val="18"/>
              </w:rPr>
            </w:pPr>
          </w:p>
        </w:tc>
        <w:tc>
          <w:tcPr>
            <w:tcW w:w="1078" w:type="dxa"/>
          </w:tcPr>
          <w:p w14:paraId="4BCD40EE"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5494B5A8" w14:textId="77777777" w:rsidTr="00041079">
        <w:trPr>
          <w:jc w:val="center"/>
        </w:trPr>
        <w:tc>
          <w:tcPr>
            <w:tcW w:w="3079" w:type="dxa"/>
          </w:tcPr>
          <w:p w14:paraId="7CEE01AD"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5.3 Operation Engineering Lead</w:t>
            </w:r>
          </w:p>
        </w:tc>
        <w:tc>
          <w:tcPr>
            <w:tcW w:w="1032" w:type="dxa"/>
          </w:tcPr>
          <w:p w14:paraId="51C33286"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48760F14"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742D4848"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083AE014" w14:textId="77777777" w:rsidR="009C7AC6" w:rsidRPr="001B68F0" w:rsidRDefault="009C7AC6" w:rsidP="00041079">
            <w:pPr>
              <w:jc w:val="center"/>
              <w:rPr>
                <w:rFonts w:ascii="Calibri" w:eastAsia="Calibri" w:hAnsi="Calibri" w:cs="Times New Roman"/>
                <w:sz w:val="18"/>
              </w:rPr>
            </w:pPr>
          </w:p>
        </w:tc>
        <w:tc>
          <w:tcPr>
            <w:tcW w:w="1078" w:type="dxa"/>
          </w:tcPr>
          <w:p w14:paraId="55B324B9"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489F4D65" w14:textId="77777777" w:rsidTr="00041079">
        <w:trPr>
          <w:jc w:val="center"/>
        </w:trPr>
        <w:tc>
          <w:tcPr>
            <w:tcW w:w="3079" w:type="dxa"/>
          </w:tcPr>
          <w:p w14:paraId="6809CFD0"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5.4 Procurement Lead</w:t>
            </w:r>
          </w:p>
        </w:tc>
        <w:tc>
          <w:tcPr>
            <w:tcW w:w="1032" w:type="dxa"/>
          </w:tcPr>
          <w:p w14:paraId="5B7639F9"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619AF65F"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10EA9074"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11B461E0" w14:textId="77777777" w:rsidR="009C7AC6" w:rsidRPr="001B68F0" w:rsidRDefault="009C7AC6" w:rsidP="00041079">
            <w:pPr>
              <w:jc w:val="center"/>
              <w:rPr>
                <w:rFonts w:ascii="Calibri" w:eastAsia="Calibri" w:hAnsi="Calibri" w:cs="Times New Roman"/>
                <w:sz w:val="18"/>
              </w:rPr>
            </w:pPr>
          </w:p>
        </w:tc>
        <w:tc>
          <w:tcPr>
            <w:tcW w:w="1078" w:type="dxa"/>
          </w:tcPr>
          <w:p w14:paraId="501B7689"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30E5D321" w14:textId="77777777" w:rsidTr="00041079">
        <w:trPr>
          <w:jc w:val="center"/>
        </w:trPr>
        <w:tc>
          <w:tcPr>
            <w:tcW w:w="3079" w:type="dxa"/>
          </w:tcPr>
          <w:p w14:paraId="2268FD8D"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5.5 Quality Lead</w:t>
            </w:r>
          </w:p>
        </w:tc>
        <w:tc>
          <w:tcPr>
            <w:tcW w:w="1032" w:type="dxa"/>
          </w:tcPr>
          <w:p w14:paraId="30D3C63E"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4768FEF5"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2209CCF4"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6D087F36" w14:textId="77777777" w:rsidR="009C7AC6" w:rsidRPr="001B68F0" w:rsidRDefault="009C7AC6" w:rsidP="00041079">
            <w:pPr>
              <w:jc w:val="center"/>
              <w:rPr>
                <w:rFonts w:ascii="Calibri" w:eastAsia="Calibri" w:hAnsi="Calibri" w:cs="Times New Roman"/>
                <w:sz w:val="18"/>
              </w:rPr>
            </w:pPr>
          </w:p>
        </w:tc>
        <w:tc>
          <w:tcPr>
            <w:tcW w:w="1078" w:type="dxa"/>
          </w:tcPr>
          <w:p w14:paraId="7A051AE6"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3185F9B3" w14:textId="77777777" w:rsidTr="00041079">
        <w:trPr>
          <w:jc w:val="center"/>
        </w:trPr>
        <w:tc>
          <w:tcPr>
            <w:tcW w:w="3079" w:type="dxa"/>
          </w:tcPr>
          <w:p w14:paraId="7BE17047"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5.6 Program Manager Lead</w:t>
            </w:r>
          </w:p>
        </w:tc>
        <w:tc>
          <w:tcPr>
            <w:tcW w:w="1032" w:type="dxa"/>
            <w:shd w:val="clear" w:color="auto" w:fill="BFBFBF"/>
          </w:tcPr>
          <w:p w14:paraId="129D4516" w14:textId="77777777" w:rsidR="009C7AC6" w:rsidRPr="001B68F0" w:rsidRDefault="009C7AC6" w:rsidP="00041079">
            <w:pPr>
              <w:jc w:val="center"/>
              <w:rPr>
                <w:rFonts w:ascii="Calibri" w:eastAsia="Calibri" w:hAnsi="Calibri" w:cs="Times New Roman"/>
                <w:sz w:val="18"/>
              </w:rPr>
            </w:pPr>
          </w:p>
        </w:tc>
        <w:tc>
          <w:tcPr>
            <w:tcW w:w="1036" w:type="dxa"/>
          </w:tcPr>
          <w:p w14:paraId="3670290C"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949" w:type="dxa"/>
            <w:shd w:val="clear" w:color="auto" w:fill="BFBFBF"/>
          </w:tcPr>
          <w:p w14:paraId="07E372DA"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3BB9BF3B" w14:textId="77777777" w:rsidR="009C7AC6" w:rsidRPr="001B68F0" w:rsidRDefault="009C7AC6" w:rsidP="00041079">
            <w:pPr>
              <w:jc w:val="center"/>
              <w:rPr>
                <w:rFonts w:ascii="Calibri" w:eastAsia="Calibri" w:hAnsi="Calibri" w:cs="Times New Roman"/>
                <w:sz w:val="18"/>
              </w:rPr>
            </w:pPr>
          </w:p>
        </w:tc>
        <w:tc>
          <w:tcPr>
            <w:tcW w:w="1078" w:type="dxa"/>
          </w:tcPr>
          <w:p w14:paraId="5FEA1073"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771DF467" w14:textId="77777777" w:rsidTr="00041079">
        <w:trPr>
          <w:jc w:val="center"/>
        </w:trPr>
        <w:tc>
          <w:tcPr>
            <w:tcW w:w="3079" w:type="dxa"/>
          </w:tcPr>
          <w:p w14:paraId="7BC90D68"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6.1 Safran Group Quality VP</w:t>
            </w:r>
          </w:p>
        </w:tc>
        <w:tc>
          <w:tcPr>
            <w:tcW w:w="1032" w:type="dxa"/>
            <w:shd w:val="clear" w:color="auto" w:fill="BFBFBF"/>
          </w:tcPr>
          <w:p w14:paraId="6B1456A0" w14:textId="77777777" w:rsidR="009C7AC6" w:rsidRPr="001B68F0" w:rsidRDefault="009C7AC6" w:rsidP="00041079">
            <w:pPr>
              <w:jc w:val="center"/>
              <w:rPr>
                <w:rFonts w:ascii="Calibri" w:eastAsia="Calibri" w:hAnsi="Calibri" w:cs="Times New Roman"/>
                <w:sz w:val="18"/>
              </w:rPr>
            </w:pPr>
          </w:p>
        </w:tc>
        <w:tc>
          <w:tcPr>
            <w:tcW w:w="1036" w:type="dxa"/>
            <w:shd w:val="clear" w:color="auto" w:fill="BFBFBF"/>
          </w:tcPr>
          <w:p w14:paraId="064C1E1B"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312BAD87" w14:textId="77777777" w:rsidR="009C7AC6" w:rsidRPr="001B68F0" w:rsidRDefault="009C7AC6" w:rsidP="00041079">
            <w:pPr>
              <w:jc w:val="center"/>
              <w:rPr>
                <w:rFonts w:ascii="Calibri" w:eastAsia="Calibri" w:hAnsi="Calibri" w:cs="Times New Roman"/>
                <w:sz w:val="18"/>
              </w:rPr>
            </w:pPr>
          </w:p>
        </w:tc>
        <w:tc>
          <w:tcPr>
            <w:tcW w:w="1190" w:type="dxa"/>
          </w:tcPr>
          <w:p w14:paraId="73ACE4F6"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 D</w:t>
            </w:r>
          </w:p>
        </w:tc>
        <w:tc>
          <w:tcPr>
            <w:tcW w:w="1078" w:type="dxa"/>
            <w:shd w:val="clear" w:color="auto" w:fill="BFBFBF"/>
          </w:tcPr>
          <w:p w14:paraId="4AD8B82A" w14:textId="77777777" w:rsidR="009C7AC6" w:rsidRPr="001B68F0" w:rsidRDefault="009C7AC6" w:rsidP="00041079">
            <w:pPr>
              <w:jc w:val="center"/>
              <w:rPr>
                <w:rFonts w:ascii="Calibri" w:eastAsia="Calibri" w:hAnsi="Calibri" w:cs="Times New Roman"/>
                <w:sz w:val="18"/>
              </w:rPr>
            </w:pPr>
          </w:p>
        </w:tc>
      </w:tr>
      <w:tr w:rsidR="009C7AC6" w:rsidRPr="001B68F0" w14:paraId="7BB2D230" w14:textId="77777777" w:rsidTr="00041079">
        <w:trPr>
          <w:jc w:val="center"/>
        </w:trPr>
        <w:tc>
          <w:tcPr>
            <w:tcW w:w="3079" w:type="dxa"/>
          </w:tcPr>
          <w:p w14:paraId="533608C1"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6.2 Head of Programs</w:t>
            </w:r>
          </w:p>
        </w:tc>
        <w:tc>
          <w:tcPr>
            <w:tcW w:w="1032" w:type="dxa"/>
            <w:shd w:val="clear" w:color="auto" w:fill="BFBFBF"/>
          </w:tcPr>
          <w:p w14:paraId="5AFABF56" w14:textId="77777777" w:rsidR="009C7AC6" w:rsidRPr="001B68F0" w:rsidRDefault="009C7AC6" w:rsidP="00041079">
            <w:pPr>
              <w:jc w:val="center"/>
              <w:rPr>
                <w:rFonts w:ascii="Calibri" w:eastAsia="Calibri" w:hAnsi="Calibri" w:cs="Times New Roman"/>
                <w:sz w:val="18"/>
              </w:rPr>
            </w:pPr>
          </w:p>
        </w:tc>
        <w:tc>
          <w:tcPr>
            <w:tcW w:w="1036" w:type="dxa"/>
          </w:tcPr>
          <w:p w14:paraId="608B1D4F"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949" w:type="dxa"/>
            <w:shd w:val="clear" w:color="auto" w:fill="BFBFBF"/>
          </w:tcPr>
          <w:p w14:paraId="53F03C16" w14:textId="77777777" w:rsidR="009C7AC6" w:rsidRPr="001B68F0" w:rsidRDefault="009C7AC6" w:rsidP="00041079">
            <w:pPr>
              <w:jc w:val="center"/>
              <w:rPr>
                <w:rFonts w:ascii="Calibri" w:eastAsia="Calibri" w:hAnsi="Calibri" w:cs="Times New Roman"/>
                <w:sz w:val="18"/>
              </w:rPr>
            </w:pPr>
          </w:p>
        </w:tc>
        <w:tc>
          <w:tcPr>
            <w:tcW w:w="1190" w:type="dxa"/>
          </w:tcPr>
          <w:p w14:paraId="423DF068"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5D3CAC82" w14:textId="77777777" w:rsidR="009C7AC6" w:rsidRPr="001B68F0" w:rsidRDefault="009C7AC6" w:rsidP="00041079">
            <w:pPr>
              <w:jc w:val="center"/>
              <w:rPr>
                <w:rFonts w:ascii="Calibri" w:eastAsia="Calibri" w:hAnsi="Calibri" w:cs="Times New Roman"/>
                <w:sz w:val="18"/>
              </w:rPr>
            </w:pPr>
          </w:p>
        </w:tc>
      </w:tr>
      <w:tr w:rsidR="009C7AC6" w:rsidRPr="001B68F0" w14:paraId="1DF0F78E" w14:textId="77777777" w:rsidTr="00041079">
        <w:trPr>
          <w:jc w:val="center"/>
        </w:trPr>
        <w:tc>
          <w:tcPr>
            <w:tcW w:w="3079" w:type="dxa"/>
          </w:tcPr>
          <w:p w14:paraId="163668E9"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6.3 Engineering VP</w:t>
            </w:r>
          </w:p>
        </w:tc>
        <w:tc>
          <w:tcPr>
            <w:tcW w:w="1032" w:type="dxa"/>
            <w:shd w:val="clear" w:color="auto" w:fill="BFBFBF"/>
          </w:tcPr>
          <w:p w14:paraId="406374A8" w14:textId="77777777" w:rsidR="009C7AC6" w:rsidRPr="001B68F0" w:rsidRDefault="009C7AC6" w:rsidP="00041079">
            <w:pPr>
              <w:jc w:val="center"/>
              <w:rPr>
                <w:rFonts w:ascii="Calibri" w:eastAsia="Calibri" w:hAnsi="Calibri" w:cs="Times New Roman"/>
                <w:sz w:val="18"/>
              </w:rPr>
            </w:pPr>
          </w:p>
        </w:tc>
        <w:tc>
          <w:tcPr>
            <w:tcW w:w="1036" w:type="dxa"/>
          </w:tcPr>
          <w:p w14:paraId="427F2BD8"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949" w:type="dxa"/>
            <w:shd w:val="clear" w:color="auto" w:fill="BFBFBF"/>
          </w:tcPr>
          <w:p w14:paraId="23C1DD01" w14:textId="77777777" w:rsidR="009C7AC6" w:rsidRPr="001B68F0" w:rsidRDefault="009C7AC6" w:rsidP="00041079">
            <w:pPr>
              <w:jc w:val="center"/>
              <w:rPr>
                <w:rFonts w:ascii="Calibri" w:eastAsia="Calibri" w:hAnsi="Calibri" w:cs="Times New Roman"/>
                <w:sz w:val="18"/>
              </w:rPr>
            </w:pPr>
          </w:p>
        </w:tc>
        <w:tc>
          <w:tcPr>
            <w:tcW w:w="1190" w:type="dxa"/>
          </w:tcPr>
          <w:p w14:paraId="5F48398A"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70D45C97" w14:textId="77777777" w:rsidR="009C7AC6" w:rsidRPr="001B68F0" w:rsidRDefault="009C7AC6" w:rsidP="00041079">
            <w:pPr>
              <w:jc w:val="center"/>
              <w:rPr>
                <w:rFonts w:ascii="Calibri" w:eastAsia="Calibri" w:hAnsi="Calibri" w:cs="Times New Roman"/>
                <w:sz w:val="18"/>
              </w:rPr>
            </w:pPr>
          </w:p>
        </w:tc>
      </w:tr>
      <w:tr w:rsidR="009C7AC6" w:rsidRPr="001B68F0" w14:paraId="7D1D7C00" w14:textId="77777777" w:rsidTr="00041079">
        <w:trPr>
          <w:jc w:val="center"/>
        </w:trPr>
        <w:tc>
          <w:tcPr>
            <w:tcW w:w="3079" w:type="dxa"/>
          </w:tcPr>
          <w:p w14:paraId="4055CF3D"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7.1 Operations</w:t>
            </w:r>
          </w:p>
        </w:tc>
        <w:tc>
          <w:tcPr>
            <w:tcW w:w="1032" w:type="dxa"/>
          </w:tcPr>
          <w:p w14:paraId="36FC2A08"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02E54AB4"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316F8E0B" w14:textId="77777777" w:rsidR="009C7AC6" w:rsidRPr="001B68F0" w:rsidRDefault="009C7AC6" w:rsidP="00041079">
            <w:pPr>
              <w:jc w:val="center"/>
              <w:rPr>
                <w:rFonts w:ascii="Calibri" w:eastAsia="Calibri" w:hAnsi="Calibri" w:cs="Times New Roman"/>
                <w:sz w:val="18"/>
              </w:rPr>
            </w:pPr>
          </w:p>
        </w:tc>
        <w:tc>
          <w:tcPr>
            <w:tcW w:w="1190" w:type="dxa"/>
          </w:tcPr>
          <w:p w14:paraId="1FA90DBF"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shd w:val="clear" w:color="auto" w:fill="BFBFBF"/>
          </w:tcPr>
          <w:p w14:paraId="33812963" w14:textId="77777777" w:rsidR="009C7AC6" w:rsidRPr="001B68F0" w:rsidRDefault="009C7AC6" w:rsidP="00041079">
            <w:pPr>
              <w:jc w:val="center"/>
              <w:rPr>
                <w:rFonts w:ascii="Calibri" w:eastAsia="Calibri" w:hAnsi="Calibri" w:cs="Times New Roman"/>
                <w:sz w:val="18"/>
              </w:rPr>
            </w:pPr>
          </w:p>
        </w:tc>
      </w:tr>
      <w:tr w:rsidR="009C7AC6" w:rsidRPr="001B68F0" w14:paraId="41984CD0" w14:textId="77777777" w:rsidTr="00041079">
        <w:trPr>
          <w:jc w:val="center"/>
        </w:trPr>
        <w:tc>
          <w:tcPr>
            <w:tcW w:w="3079" w:type="dxa"/>
          </w:tcPr>
          <w:p w14:paraId="6F2AFF50"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7.2 Team Leaders</w:t>
            </w:r>
          </w:p>
        </w:tc>
        <w:tc>
          <w:tcPr>
            <w:tcW w:w="1032" w:type="dxa"/>
          </w:tcPr>
          <w:p w14:paraId="5F918EE1"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shd w:val="clear" w:color="auto" w:fill="BFBFBF"/>
          </w:tcPr>
          <w:p w14:paraId="6E234073" w14:textId="77777777" w:rsidR="009C7AC6" w:rsidRPr="001B68F0" w:rsidRDefault="009C7AC6" w:rsidP="00041079">
            <w:pPr>
              <w:jc w:val="center"/>
              <w:rPr>
                <w:rFonts w:ascii="Calibri" w:eastAsia="Calibri" w:hAnsi="Calibri" w:cs="Times New Roman"/>
                <w:sz w:val="18"/>
              </w:rPr>
            </w:pPr>
          </w:p>
        </w:tc>
        <w:tc>
          <w:tcPr>
            <w:tcW w:w="949" w:type="dxa"/>
            <w:shd w:val="clear" w:color="auto" w:fill="BFBFBF"/>
          </w:tcPr>
          <w:p w14:paraId="596C7F80" w14:textId="77777777" w:rsidR="009C7AC6" w:rsidRPr="001B68F0" w:rsidRDefault="009C7AC6" w:rsidP="00041079">
            <w:pPr>
              <w:jc w:val="center"/>
              <w:rPr>
                <w:rFonts w:ascii="Calibri" w:eastAsia="Calibri" w:hAnsi="Calibri" w:cs="Times New Roman"/>
                <w:sz w:val="18"/>
              </w:rPr>
            </w:pPr>
          </w:p>
        </w:tc>
        <w:tc>
          <w:tcPr>
            <w:tcW w:w="1190" w:type="dxa"/>
            <w:shd w:val="clear" w:color="auto" w:fill="BFBFBF"/>
          </w:tcPr>
          <w:p w14:paraId="326437EE" w14:textId="77777777" w:rsidR="009C7AC6" w:rsidRPr="001B68F0" w:rsidRDefault="009C7AC6" w:rsidP="00041079">
            <w:pPr>
              <w:jc w:val="center"/>
              <w:rPr>
                <w:rFonts w:ascii="Calibri" w:eastAsia="Calibri" w:hAnsi="Calibri" w:cs="Times New Roman"/>
                <w:sz w:val="18"/>
              </w:rPr>
            </w:pPr>
          </w:p>
        </w:tc>
        <w:tc>
          <w:tcPr>
            <w:tcW w:w="1078" w:type="dxa"/>
          </w:tcPr>
          <w:p w14:paraId="49C2648D"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r>
      <w:tr w:rsidR="009C7AC6" w:rsidRPr="001B68F0" w14:paraId="07FE5607" w14:textId="77777777" w:rsidTr="00041079">
        <w:trPr>
          <w:jc w:val="center"/>
        </w:trPr>
        <w:tc>
          <w:tcPr>
            <w:tcW w:w="3079" w:type="dxa"/>
            <w:tcBorders>
              <w:bottom w:val="single" w:sz="4" w:space="0" w:color="auto"/>
            </w:tcBorders>
          </w:tcPr>
          <w:p w14:paraId="0AC7AE5E"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7.3 Dispatch Personnel</w:t>
            </w:r>
          </w:p>
        </w:tc>
        <w:tc>
          <w:tcPr>
            <w:tcW w:w="1032" w:type="dxa"/>
            <w:tcBorders>
              <w:bottom w:val="single" w:sz="4" w:space="0" w:color="auto"/>
            </w:tcBorders>
          </w:tcPr>
          <w:p w14:paraId="297907B8"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C</w:t>
            </w:r>
          </w:p>
        </w:tc>
        <w:tc>
          <w:tcPr>
            <w:tcW w:w="1036" w:type="dxa"/>
            <w:tcBorders>
              <w:bottom w:val="single" w:sz="4" w:space="0" w:color="auto"/>
            </w:tcBorders>
            <w:shd w:val="clear" w:color="auto" w:fill="BFBFBF"/>
          </w:tcPr>
          <w:p w14:paraId="2329E0D5" w14:textId="77777777" w:rsidR="009C7AC6" w:rsidRPr="001B68F0" w:rsidRDefault="009C7AC6" w:rsidP="00041079">
            <w:pPr>
              <w:jc w:val="center"/>
              <w:rPr>
                <w:rFonts w:ascii="Calibri" w:eastAsia="Calibri" w:hAnsi="Calibri" w:cs="Times New Roman"/>
                <w:sz w:val="18"/>
              </w:rPr>
            </w:pPr>
          </w:p>
        </w:tc>
        <w:tc>
          <w:tcPr>
            <w:tcW w:w="949" w:type="dxa"/>
            <w:tcBorders>
              <w:bottom w:val="single" w:sz="4" w:space="0" w:color="auto"/>
            </w:tcBorders>
            <w:shd w:val="clear" w:color="auto" w:fill="BFBFBF"/>
          </w:tcPr>
          <w:p w14:paraId="18A30DB1" w14:textId="77777777" w:rsidR="009C7AC6" w:rsidRPr="001B68F0" w:rsidRDefault="009C7AC6" w:rsidP="00041079">
            <w:pPr>
              <w:jc w:val="center"/>
              <w:rPr>
                <w:rFonts w:ascii="Calibri" w:eastAsia="Calibri" w:hAnsi="Calibri" w:cs="Times New Roman"/>
                <w:sz w:val="18"/>
              </w:rPr>
            </w:pPr>
          </w:p>
        </w:tc>
        <w:tc>
          <w:tcPr>
            <w:tcW w:w="1190" w:type="dxa"/>
            <w:tcBorders>
              <w:bottom w:val="single" w:sz="4" w:space="0" w:color="auto"/>
            </w:tcBorders>
          </w:tcPr>
          <w:p w14:paraId="42510FA0" w14:textId="77777777" w:rsidR="009C7AC6" w:rsidRPr="001B68F0" w:rsidRDefault="009C7AC6" w:rsidP="00041079">
            <w:pPr>
              <w:jc w:val="center"/>
              <w:rPr>
                <w:rFonts w:ascii="Calibri" w:eastAsia="Calibri" w:hAnsi="Calibri" w:cs="Times New Roman"/>
                <w:sz w:val="18"/>
              </w:rPr>
            </w:pPr>
            <w:r w:rsidRPr="001B68F0">
              <w:rPr>
                <w:rFonts w:ascii="Calibri" w:eastAsia="Calibri" w:hAnsi="Calibri" w:cs="Times New Roman"/>
                <w:sz w:val="18"/>
              </w:rPr>
              <w:t>D</w:t>
            </w:r>
          </w:p>
        </w:tc>
        <w:tc>
          <w:tcPr>
            <w:tcW w:w="1078" w:type="dxa"/>
            <w:tcBorders>
              <w:bottom w:val="single" w:sz="4" w:space="0" w:color="auto"/>
            </w:tcBorders>
            <w:shd w:val="clear" w:color="auto" w:fill="BFBFBF"/>
          </w:tcPr>
          <w:p w14:paraId="3AD13C2D" w14:textId="77777777" w:rsidR="009C7AC6" w:rsidRPr="001B68F0" w:rsidRDefault="009C7AC6" w:rsidP="00041079">
            <w:pPr>
              <w:jc w:val="center"/>
              <w:rPr>
                <w:rFonts w:ascii="Calibri" w:eastAsia="Calibri" w:hAnsi="Calibri" w:cs="Times New Roman"/>
                <w:sz w:val="18"/>
              </w:rPr>
            </w:pPr>
          </w:p>
        </w:tc>
      </w:tr>
      <w:tr w:rsidR="009C7AC6" w:rsidRPr="001B68F0" w14:paraId="3A946925" w14:textId="77777777" w:rsidTr="00041079">
        <w:trPr>
          <w:jc w:val="center"/>
        </w:trPr>
        <w:tc>
          <w:tcPr>
            <w:tcW w:w="3079" w:type="dxa"/>
            <w:tcBorders>
              <w:left w:val="nil"/>
              <w:bottom w:val="nil"/>
              <w:right w:val="nil"/>
            </w:tcBorders>
          </w:tcPr>
          <w:p w14:paraId="43370F8D" w14:textId="77777777" w:rsidR="009C7AC6" w:rsidRPr="001B68F0" w:rsidRDefault="009C7AC6" w:rsidP="00041079">
            <w:pPr>
              <w:rPr>
                <w:rFonts w:ascii="Calibri" w:eastAsia="Calibri" w:hAnsi="Calibri" w:cs="Times New Roman"/>
                <w:sz w:val="18"/>
              </w:rPr>
            </w:pPr>
          </w:p>
        </w:tc>
        <w:tc>
          <w:tcPr>
            <w:tcW w:w="2068" w:type="dxa"/>
            <w:gridSpan w:val="2"/>
            <w:tcBorders>
              <w:left w:val="nil"/>
              <w:bottom w:val="nil"/>
              <w:right w:val="nil"/>
            </w:tcBorders>
          </w:tcPr>
          <w:p w14:paraId="325C793A" w14:textId="77777777" w:rsidR="009C7AC6" w:rsidRPr="001B68F0" w:rsidRDefault="009C7AC6" w:rsidP="00041079">
            <w:pPr>
              <w:rPr>
                <w:rFonts w:ascii="Calibri" w:eastAsia="Calibri" w:hAnsi="Calibri" w:cs="Times New Roman"/>
                <w:sz w:val="18"/>
              </w:rPr>
            </w:pPr>
            <w:r w:rsidRPr="001B68F0">
              <w:rPr>
                <w:rFonts w:ascii="Calibri" w:eastAsia="Calibri" w:hAnsi="Calibri" w:cs="Times New Roman"/>
                <w:sz w:val="18"/>
              </w:rPr>
              <w:t xml:space="preserve">C = Current </w:t>
            </w:r>
          </w:p>
        </w:tc>
        <w:tc>
          <w:tcPr>
            <w:tcW w:w="3217" w:type="dxa"/>
            <w:gridSpan w:val="3"/>
            <w:tcBorders>
              <w:left w:val="nil"/>
              <w:bottom w:val="nil"/>
              <w:right w:val="nil"/>
            </w:tcBorders>
          </w:tcPr>
          <w:p w14:paraId="20A37A38" w14:textId="77777777" w:rsidR="009C7AC6" w:rsidRPr="001B68F0" w:rsidRDefault="009C7AC6" w:rsidP="00041079">
            <w:pPr>
              <w:keepNext/>
              <w:rPr>
                <w:rFonts w:ascii="Calibri" w:eastAsia="Calibri" w:hAnsi="Calibri" w:cs="Times New Roman"/>
                <w:sz w:val="18"/>
              </w:rPr>
            </w:pPr>
            <w:r w:rsidRPr="001B68F0">
              <w:rPr>
                <w:rFonts w:ascii="Calibri" w:eastAsia="Calibri" w:hAnsi="Calibri" w:cs="Times New Roman"/>
                <w:sz w:val="18"/>
              </w:rPr>
              <w:t>D = Desired</w:t>
            </w:r>
          </w:p>
        </w:tc>
      </w:tr>
    </w:tbl>
    <w:p w14:paraId="133A7870" w14:textId="33CD4785" w:rsidR="00333925" w:rsidRPr="00842D7D" w:rsidRDefault="009C7AC6" w:rsidP="00842D7D">
      <w:pPr>
        <w:pStyle w:val="Caption"/>
        <w:rPr>
          <w:b/>
        </w:rPr>
      </w:pPr>
      <w:bookmarkStart w:id="60" w:name="_Ref137375028"/>
      <w:r w:rsidRPr="00842D7D">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4</w:t>
      </w:r>
      <w:r w:rsidR="003A6EC0">
        <w:rPr>
          <w:b/>
        </w:rPr>
        <w:fldChar w:fldCharType="end"/>
      </w:r>
      <w:bookmarkEnd w:id="60"/>
      <w:r w:rsidRPr="00842D7D">
        <w:rPr>
          <w:b/>
        </w:rPr>
        <w:t xml:space="preserve">: Attitude Matrix </w:t>
      </w:r>
      <w:r w:rsidRPr="00842D7D">
        <w:t>mapping each Stakeholders current and desired mind-set towards APQP/PPAP implementation at SGB</w:t>
      </w:r>
    </w:p>
    <w:p w14:paraId="64025F02" w14:textId="77777777" w:rsidR="005676E6" w:rsidRDefault="005676E6"/>
    <w:p w14:paraId="02B75919" w14:textId="302B585D" w:rsidR="00333925" w:rsidRDefault="009C7AC6" w:rsidP="00842D7D">
      <w:pPr>
        <w:jc w:val="both"/>
      </w:pPr>
      <w:r>
        <w:t>Next, the APQP lead met with a customer to identify the deliverables they require</w:t>
      </w:r>
      <w:r w:rsidR="00031C04">
        <w:t>d</w:t>
      </w:r>
      <w:r>
        <w:t xml:space="preserve"> from SGB to </w:t>
      </w:r>
      <w:r w:rsidR="00123341">
        <w:t>determine that APQP has been carried out according to their requirements. The meeting identified a list of 29 deliverables that would be required for a full PPAP pack.</w:t>
      </w:r>
      <w:r w:rsidR="002C6C66">
        <w:t xml:space="preserve"> An agreement with a customer is required as it is mandatory to include any deliverables that a customer requests to be able to claim AS9145 conformity.</w:t>
      </w:r>
      <w:r w:rsidR="00123341">
        <w:t xml:space="preserve"> To better align the list to both SGB and industry standard process for new product development, the deliverables were collated into lists required to complete each phase. The resulting list </w:t>
      </w:r>
      <w:r w:rsidR="003B4D02" w:rsidRPr="003B4D02">
        <w:t>(</w:t>
      </w:r>
      <w:r w:rsidR="00123341" w:rsidRPr="003B4D02">
        <w:fldChar w:fldCharType="begin"/>
      </w:r>
      <w:r w:rsidR="00123341" w:rsidRPr="003B4D02">
        <w:instrText xml:space="preserve"> REF _Ref136173118 \h </w:instrText>
      </w:r>
      <w:r w:rsidR="003B4D02" w:rsidRPr="00CD37AA">
        <w:instrText xml:space="preserve"> \* MERGEFORMAT </w:instrText>
      </w:r>
      <w:r w:rsidR="00123341" w:rsidRPr="003B4D02">
        <w:fldChar w:fldCharType="separate"/>
      </w:r>
      <w:r w:rsidR="008C301E" w:rsidRPr="008C301E">
        <w:t xml:space="preserve">Figure </w:t>
      </w:r>
      <w:r w:rsidR="008C301E" w:rsidRPr="008C301E">
        <w:rPr>
          <w:noProof/>
        </w:rPr>
        <w:t>20</w:t>
      </w:r>
      <w:r w:rsidR="00123341" w:rsidRPr="003B4D02">
        <w:fldChar w:fldCharType="end"/>
      </w:r>
      <w:r w:rsidR="003B4D02" w:rsidRPr="003B4D02">
        <w:t>)</w:t>
      </w:r>
      <w:r w:rsidR="00DC658A">
        <w:t xml:space="preserve"> was then checked against SGB</w:t>
      </w:r>
      <w:r w:rsidR="00954C70">
        <w:t>’</w:t>
      </w:r>
      <w:r w:rsidR="00DC658A">
        <w:t>s internal processes to understand how compliant SGB could potentially be to AS9145 and whether they were contained with</w:t>
      </w:r>
      <w:r w:rsidR="0005360F">
        <w:t>in</w:t>
      </w:r>
      <w:r w:rsidR="00DC658A">
        <w:t xml:space="preserve"> the new product development checklist.</w:t>
      </w:r>
    </w:p>
    <w:p w14:paraId="69F8FD1C" w14:textId="77777777" w:rsidR="00333925" w:rsidRDefault="00333925"/>
    <w:p w14:paraId="0BF66352" w14:textId="77777777" w:rsidR="00333925" w:rsidRDefault="00333925"/>
    <w:p w14:paraId="5A1EB399" w14:textId="77777777" w:rsidR="00333925" w:rsidRDefault="00333925"/>
    <w:p w14:paraId="19308CB6" w14:textId="4EC0EBB1" w:rsidR="00333925" w:rsidRDefault="00333925">
      <w:r>
        <w:br w:type="page"/>
      </w:r>
    </w:p>
    <w:p w14:paraId="2EA583CE" w14:textId="77777777" w:rsidR="001A1D1F" w:rsidRPr="001A1D1F" w:rsidRDefault="001A1D1F" w:rsidP="00842D7D">
      <w:pPr>
        <w:pStyle w:val="Caption"/>
      </w:pPr>
    </w:p>
    <w:p w14:paraId="1EBE35D4" w14:textId="77777777" w:rsidR="001A1D1F" w:rsidRDefault="00192C81" w:rsidP="001A1D1F">
      <w:pPr>
        <w:keepNext/>
        <w:jc w:val="center"/>
      </w:pPr>
      <w:r>
        <w:object w:dxaOrig="15289" w:dyaOrig="11401" w14:anchorId="1F5EBE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85pt;height:348.85pt" o:ole="">
            <v:imagedata r:id="rId35" o:title=""/>
          </v:shape>
          <o:OLEObject Type="Embed" ProgID="Visio.Drawing.15" ShapeID="_x0000_i1025" DrawAspect="Content" ObjectID="_1748421119" r:id="rId36"/>
        </w:object>
      </w:r>
    </w:p>
    <w:p w14:paraId="0223BE24" w14:textId="12CD8269" w:rsidR="00192C81" w:rsidRDefault="001A1D1F" w:rsidP="001A1D1F">
      <w:pPr>
        <w:pStyle w:val="Caption"/>
        <w:jc w:val="center"/>
      </w:pPr>
      <w:bookmarkStart w:id="61" w:name="_Ref136173118"/>
      <w:bookmarkStart w:id="62" w:name="_Toc137807646"/>
      <w:r w:rsidRPr="001A1D1F">
        <w:rPr>
          <w:b/>
        </w:rPr>
        <w:t xml:space="preserve">Figure </w:t>
      </w:r>
      <w:r w:rsidRPr="001A1D1F">
        <w:rPr>
          <w:b/>
        </w:rPr>
        <w:fldChar w:fldCharType="begin"/>
      </w:r>
      <w:r w:rsidRPr="001A1D1F">
        <w:rPr>
          <w:b/>
        </w:rPr>
        <w:instrText xml:space="preserve"> SEQ Figure \* ARABIC </w:instrText>
      </w:r>
      <w:r w:rsidRPr="001A1D1F">
        <w:rPr>
          <w:b/>
        </w:rPr>
        <w:fldChar w:fldCharType="separate"/>
      </w:r>
      <w:r w:rsidR="008C301E">
        <w:rPr>
          <w:b/>
          <w:noProof/>
        </w:rPr>
        <w:t>20</w:t>
      </w:r>
      <w:r w:rsidRPr="001A1D1F">
        <w:rPr>
          <w:b/>
        </w:rPr>
        <w:fldChar w:fldCharType="end"/>
      </w:r>
      <w:bookmarkEnd w:id="61"/>
      <w:r w:rsidRPr="001A1D1F">
        <w:rPr>
          <w:b/>
        </w:rPr>
        <w:t>: PPAP deliverables by APQP Phase</w:t>
      </w:r>
      <w:r>
        <w:t xml:space="preserve"> assessing current SGB processes for each, as well as their requirement in the Master Program Schedule</w:t>
      </w:r>
      <w:bookmarkEnd w:id="62"/>
    </w:p>
    <w:p w14:paraId="56F24F8B" w14:textId="211EEE18" w:rsidR="005676E6" w:rsidRDefault="005676E6" w:rsidP="00842D7D"/>
    <w:p w14:paraId="3AA0D647" w14:textId="1F8FFB04" w:rsidR="005676E6" w:rsidRPr="00842D7D" w:rsidRDefault="005676E6" w:rsidP="00842D7D">
      <w:pPr>
        <w:jc w:val="both"/>
      </w:pPr>
      <w:r>
        <w:t xml:space="preserve">With the stakeholders identified and the deliverables agreed with the customer, the next step was to combine the information into a </w:t>
      </w:r>
      <w:r w:rsidR="0005360F">
        <w:t>single</w:t>
      </w:r>
      <w:r>
        <w:t xml:space="preserve"> tool to identify the roles and responsibilities for the elements of the PPAP. This started with the creation of a </w:t>
      </w:r>
      <w:r w:rsidR="009069E5">
        <w:t>Supplier, Input, Process, Output and Customer (SIPOC) grid to help provide a visual reference to the data flow within an APQP project</w:t>
      </w:r>
      <w:r w:rsidR="009069E5" w:rsidRPr="009C3978">
        <w:t xml:space="preserve"> </w:t>
      </w:r>
      <w:r w:rsidR="009C3978" w:rsidRPr="009C3978">
        <w:t>(</w:t>
      </w:r>
      <w:r w:rsidR="009069E5" w:rsidRPr="009C3978">
        <w:fldChar w:fldCharType="begin"/>
      </w:r>
      <w:r w:rsidR="009069E5" w:rsidRPr="009C3978">
        <w:instrText xml:space="preserve"> REF _Ref136182784 \h  \* MERGEFORMAT </w:instrText>
      </w:r>
      <w:r w:rsidR="009069E5" w:rsidRPr="009C3978">
        <w:fldChar w:fldCharType="separate"/>
      </w:r>
      <w:r w:rsidR="008C301E" w:rsidRPr="008C301E">
        <w:t xml:space="preserve">Figure </w:t>
      </w:r>
      <w:r w:rsidR="008C301E" w:rsidRPr="008C301E">
        <w:rPr>
          <w:noProof/>
        </w:rPr>
        <w:t>21</w:t>
      </w:r>
      <w:r w:rsidR="009069E5" w:rsidRPr="009C3978">
        <w:fldChar w:fldCharType="end"/>
      </w:r>
      <w:r w:rsidR="009C3978" w:rsidRPr="009C3978">
        <w:t>)</w:t>
      </w:r>
      <w:r w:rsidR="009069E5">
        <w:t>.</w:t>
      </w:r>
    </w:p>
    <w:p w14:paraId="3042206E" w14:textId="77777777" w:rsidR="001A1D1F" w:rsidRDefault="00192C81" w:rsidP="001A1D1F">
      <w:pPr>
        <w:keepNext/>
      </w:pPr>
      <w:r w:rsidRPr="00192C81">
        <w:rPr>
          <w:rFonts w:eastAsia="Times New Roman" w:cs="Times New Roman"/>
          <w:sz w:val="20"/>
          <w:szCs w:val="20"/>
        </w:rPr>
        <w:object w:dxaOrig="13095" w:dyaOrig="10575" w14:anchorId="10D1DA63">
          <v:shape id="_x0000_i1026" type="#_x0000_t75" style="width:522.5pt;height:422.45pt" o:ole="">
            <v:imagedata r:id="rId37" o:title=""/>
          </v:shape>
          <o:OLEObject Type="Embed" ProgID="Visio.Drawing.15" ShapeID="_x0000_i1026" DrawAspect="Content" ObjectID="_1748421120" r:id="rId38"/>
        </w:object>
      </w:r>
    </w:p>
    <w:p w14:paraId="73E2DC06" w14:textId="58458559" w:rsidR="00192C81" w:rsidRDefault="001A1D1F" w:rsidP="001A1D1F">
      <w:pPr>
        <w:pStyle w:val="Caption"/>
        <w:rPr>
          <w:rFonts w:eastAsia="Times New Roman" w:cs="Times New Roman"/>
          <w:sz w:val="20"/>
          <w:szCs w:val="20"/>
        </w:rPr>
      </w:pPr>
      <w:bookmarkStart w:id="63" w:name="_Ref136182784"/>
      <w:bookmarkStart w:id="64" w:name="_Toc137807647"/>
      <w:r w:rsidRPr="001A1D1F">
        <w:rPr>
          <w:b/>
        </w:rPr>
        <w:t xml:space="preserve">Figure </w:t>
      </w:r>
      <w:r w:rsidRPr="001A1D1F">
        <w:rPr>
          <w:b/>
        </w:rPr>
        <w:fldChar w:fldCharType="begin"/>
      </w:r>
      <w:r w:rsidRPr="001A1D1F">
        <w:rPr>
          <w:b/>
        </w:rPr>
        <w:instrText xml:space="preserve"> SEQ Figure \* ARABIC </w:instrText>
      </w:r>
      <w:r w:rsidRPr="001A1D1F">
        <w:rPr>
          <w:b/>
        </w:rPr>
        <w:fldChar w:fldCharType="separate"/>
      </w:r>
      <w:r w:rsidR="008C301E">
        <w:rPr>
          <w:b/>
          <w:noProof/>
        </w:rPr>
        <w:t>21</w:t>
      </w:r>
      <w:r w:rsidRPr="001A1D1F">
        <w:rPr>
          <w:b/>
        </w:rPr>
        <w:fldChar w:fldCharType="end"/>
      </w:r>
      <w:bookmarkEnd w:id="63"/>
      <w:r w:rsidRPr="001A1D1F">
        <w:rPr>
          <w:b/>
        </w:rPr>
        <w:t>: APQP SIPOC</w:t>
      </w:r>
      <w:r>
        <w:t xml:space="preserve"> demonstrating the processes required, along with their associated inputs &amp; outputs</w:t>
      </w:r>
      <w:bookmarkEnd w:id="64"/>
    </w:p>
    <w:p w14:paraId="611FCEA2" w14:textId="77777777" w:rsidR="00192C81" w:rsidRDefault="00192C81">
      <w:pPr>
        <w:rPr>
          <w:rFonts w:eastAsia="Times New Roman" w:cs="Times New Roman"/>
          <w:sz w:val="20"/>
          <w:szCs w:val="20"/>
        </w:rPr>
      </w:pPr>
    </w:p>
    <w:p w14:paraId="1C4711D1" w14:textId="5AB84FE3" w:rsidR="00192C81" w:rsidRDefault="009069E5" w:rsidP="00842D7D">
      <w:pPr>
        <w:jc w:val="both"/>
      </w:pPr>
      <w:r>
        <w:t xml:space="preserve">Once the data flow had been established, the next step was to define the roles and responsibilities for the new product development team in the creation of each deliverable. The tool chosen to do this was a Responsible, Accountable, Consulted and Informed (RACI) matrix </w:t>
      </w:r>
      <w:r w:rsidR="00FD5D39">
        <w:t>(</w:t>
      </w:r>
      <w:r w:rsidRPr="00FD5D39">
        <w:fldChar w:fldCharType="begin"/>
      </w:r>
      <w:r w:rsidRPr="00FD5D39">
        <w:instrText xml:space="preserve"> REF _Ref136183044 \h  \* MERGEFORMAT </w:instrText>
      </w:r>
      <w:r w:rsidRPr="00FD5D39">
        <w:fldChar w:fldCharType="separate"/>
      </w:r>
      <w:r w:rsidR="008C301E" w:rsidRPr="008C301E">
        <w:t xml:space="preserve">Table </w:t>
      </w:r>
      <w:r w:rsidR="008C301E" w:rsidRPr="008C301E">
        <w:rPr>
          <w:noProof/>
        </w:rPr>
        <w:t>5</w:t>
      </w:r>
      <w:r w:rsidRPr="00FD5D39">
        <w:fldChar w:fldCharType="end"/>
      </w:r>
      <w:r w:rsidR="00FD5D39">
        <w:t>)</w:t>
      </w:r>
      <w:r>
        <w:t>.  This matrix is the final step in defining the requirements for an APQP project, both from SGBs processes and the new product development team. For any new product, the project team would have to approve the Quality Plan for the full product lifecycle, so the Quality Plan template was updated to include the matrix. This approach helps to communicate the requirements for APQP and the document acceptance from the project team to support the activities listed.</w:t>
      </w:r>
    </w:p>
    <w:p w14:paraId="6D834727" w14:textId="77777777" w:rsidR="008F5358" w:rsidRDefault="008F5358"/>
    <w:p w14:paraId="604DA744" w14:textId="77777777" w:rsidR="008F5358" w:rsidRDefault="008F5358">
      <w:pPr>
        <w:sectPr w:rsidR="008F5358" w:rsidSect="003B7DCD">
          <w:pgSz w:w="11906" w:h="16838"/>
          <w:pgMar w:top="720" w:right="720" w:bottom="720" w:left="720" w:header="708" w:footer="708" w:gutter="0"/>
          <w:cols w:space="708"/>
          <w:titlePg/>
          <w:docGrid w:linePitch="360"/>
        </w:sectPr>
      </w:pPr>
    </w:p>
    <w:tbl>
      <w:tblPr>
        <w:tblpPr w:leftFromText="180" w:rightFromText="180" w:vertAnchor="page" w:horzAnchor="margin" w:tblpXSpec="center" w:tblpY="565"/>
        <w:tblW w:w="15907" w:type="dxa"/>
        <w:tblLook w:val="04A0" w:firstRow="1" w:lastRow="0" w:firstColumn="1" w:lastColumn="0" w:noHBand="0" w:noVBand="1"/>
      </w:tblPr>
      <w:tblGrid>
        <w:gridCol w:w="229"/>
        <w:gridCol w:w="3849"/>
        <w:gridCol w:w="1154"/>
        <w:gridCol w:w="455"/>
        <w:gridCol w:w="371"/>
        <w:gridCol w:w="827"/>
        <w:gridCol w:w="826"/>
        <w:gridCol w:w="858"/>
        <w:gridCol w:w="794"/>
        <w:gridCol w:w="1631"/>
        <w:gridCol w:w="929"/>
        <w:gridCol w:w="1909"/>
        <w:gridCol w:w="1853"/>
        <w:gridCol w:w="222"/>
      </w:tblGrid>
      <w:tr w:rsidR="000A7943" w:rsidRPr="00192C81" w14:paraId="700038A0" w14:textId="77777777" w:rsidTr="00CD37AA">
        <w:trPr>
          <w:trHeight w:val="65"/>
        </w:trPr>
        <w:tc>
          <w:tcPr>
            <w:tcW w:w="229" w:type="dxa"/>
            <w:tcBorders>
              <w:top w:val="nil"/>
              <w:left w:val="nil"/>
              <w:bottom w:val="nil"/>
              <w:right w:val="nil"/>
            </w:tcBorders>
            <w:shd w:val="clear" w:color="auto" w:fill="auto"/>
            <w:noWrap/>
            <w:vAlign w:val="bottom"/>
            <w:hideMark/>
          </w:tcPr>
          <w:p w14:paraId="1E16BE8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nil"/>
              <w:bottom w:val="nil"/>
              <w:right w:val="nil"/>
            </w:tcBorders>
            <w:shd w:val="clear" w:color="auto" w:fill="auto"/>
            <w:vAlign w:val="bottom"/>
            <w:hideMark/>
          </w:tcPr>
          <w:p w14:paraId="699857A6" w14:textId="77777777" w:rsidR="000A7943" w:rsidRPr="00192C81" w:rsidRDefault="000A7943" w:rsidP="000A7943">
            <w:pPr>
              <w:spacing w:before="60" w:after="120" w:line="240" w:lineRule="auto"/>
              <w:jc w:val="both"/>
              <w:rPr>
                <w:rFonts w:ascii="Calibri" w:eastAsia="Times New Roman" w:hAnsi="Calibri" w:cs="Calibri"/>
                <w:b/>
                <w:color w:val="FF0000"/>
                <w:sz w:val="20"/>
                <w:szCs w:val="20"/>
              </w:rPr>
            </w:pPr>
          </w:p>
        </w:tc>
        <w:tc>
          <w:tcPr>
            <w:tcW w:w="1098" w:type="dxa"/>
            <w:tcBorders>
              <w:top w:val="nil"/>
              <w:left w:val="nil"/>
              <w:bottom w:val="nil"/>
              <w:right w:val="nil"/>
            </w:tcBorders>
            <w:shd w:val="clear" w:color="auto" w:fill="auto"/>
            <w:noWrap/>
            <w:vAlign w:val="bottom"/>
            <w:hideMark/>
          </w:tcPr>
          <w:p w14:paraId="146758E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1653" w:type="dxa"/>
            <w:gridSpan w:val="3"/>
            <w:tcBorders>
              <w:top w:val="nil"/>
              <w:left w:val="nil"/>
              <w:bottom w:val="nil"/>
              <w:right w:val="nil"/>
            </w:tcBorders>
            <w:shd w:val="clear" w:color="auto" w:fill="auto"/>
            <w:noWrap/>
            <w:vAlign w:val="bottom"/>
            <w:hideMark/>
          </w:tcPr>
          <w:p w14:paraId="5BC9F7A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826" w:type="dxa"/>
            <w:tcBorders>
              <w:top w:val="nil"/>
              <w:left w:val="nil"/>
              <w:bottom w:val="nil"/>
              <w:right w:val="nil"/>
            </w:tcBorders>
            <w:shd w:val="clear" w:color="auto" w:fill="auto"/>
            <w:noWrap/>
            <w:vAlign w:val="bottom"/>
            <w:hideMark/>
          </w:tcPr>
          <w:p w14:paraId="6E2E667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858" w:type="dxa"/>
            <w:tcBorders>
              <w:top w:val="nil"/>
              <w:left w:val="nil"/>
              <w:bottom w:val="nil"/>
              <w:right w:val="nil"/>
            </w:tcBorders>
            <w:shd w:val="clear" w:color="auto" w:fill="auto"/>
            <w:noWrap/>
            <w:vAlign w:val="bottom"/>
            <w:hideMark/>
          </w:tcPr>
          <w:p w14:paraId="051D7777"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794" w:type="dxa"/>
            <w:tcBorders>
              <w:top w:val="nil"/>
              <w:left w:val="nil"/>
              <w:bottom w:val="nil"/>
              <w:right w:val="nil"/>
            </w:tcBorders>
            <w:shd w:val="clear" w:color="auto" w:fill="auto"/>
            <w:noWrap/>
            <w:vAlign w:val="bottom"/>
            <w:hideMark/>
          </w:tcPr>
          <w:p w14:paraId="567CC58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1631" w:type="dxa"/>
            <w:tcBorders>
              <w:top w:val="nil"/>
              <w:left w:val="nil"/>
              <w:bottom w:val="nil"/>
              <w:right w:val="nil"/>
            </w:tcBorders>
          </w:tcPr>
          <w:p w14:paraId="0BB1C553"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929" w:type="dxa"/>
            <w:tcBorders>
              <w:top w:val="nil"/>
              <w:left w:val="nil"/>
              <w:bottom w:val="nil"/>
              <w:right w:val="nil"/>
            </w:tcBorders>
          </w:tcPr>
          <w:p w14:paraId="3DEBC45D"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1909" w:type="dxa"/>
            <w:tcBorders>
              <w:top w:val="nil"/>
              <w:left w:val="nil"/>
              <w:bottom w:val="nil"/>
              <w:right w:val="nil"/>
            </w:tcBorders>
            <w:shd w:val="clear" w:color="auto" w:fill="auto"/>
            <w:noWrap/>
            <w:vAlign w:val="bottom"/>
            <w:hideMark/>
          </w:tcPr>
          <w:p w14:paraId="18D8FB0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0" w:type="auto"/>
            <w:tcBorders>
              <w:top w:val="nil"/>
              <w:left w:val="nil"/>
              <w:bottom w:val="nil"/>
              <w:right w:val="nil"/>
            </w:tcBorders>
            <w:shd w:val="clear" w:color="auto" w:fill="auto"/>
            <w:vAlign w:val="center"/>
            <w:hideMark/>
          </w:tcPr>
          <w:p w14:paraId="57221952"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0" w:type="auto"/>
            <w:tcBorders>
              <w:top w:val="nil"/>
              <w:left w:val="nil"/>
              <w:bottom w:val="nil"/>
              <w:right w:val="nil"/>
            </w:tcBorders>
            <w:shd w:val="clear" w:color="auto" w:fill="auto"/>
            <w:noWrap/>
            <w:vAlign w:val="bottom"/>
            <w:hideMark/>
          </w:tcPr>
          <w:p w14:paraId="52325553"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08C57D86" w14:textId="77777777" w:rsidTr="00CD37AA">
        <w:trPr>
          <w:trHeight w:val="289"/>
        </w:trPr>
        <w:tc>
          <w:tcPr>
            <w:tcW w:w="229" w:type="dxa"/>
            <w:tcBorders>
              <w:top w:val="nil"/>
              <w:left w:val="nil"/>
              <w:bottom w:val="nil"/>
              <w:right w:val="nil"/>
            </w:tcBorders>
            <w:shd w:val="clear" w:color="auto" w:fill="auto"/>
            <w:noWrap/>
            <w:vAlign w:val="bottom"/>
            <w:hideMark/>
          </w:tcPr>
          <w:p w14:paraId="53894C68"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55451C67" w14:textId="77777777" w:rsidR="000A7943" w:rsidRPr="00192C81" w:rsidRDefault="000A7943" w:rsidP="000A7943">
            <w:pPr>
              <w:spacing w:after="0" w:line="240" w:lineRule="auto"/>
              <w:jc w:val="both"/>
              <w:rPr>
                <w:rFonts w:ascii="Calibri" w:eastAsia="Times New Roman" w:hAnsi="Calibri" w:cs="Calibri"/>
                <w:sz w:val="20"/>
                <w:szCs w:val="20"/>
                <w:lang w:eastAsia="en-GB"/>
              </w:rPr>
            </w:pPr>
            <w:r w:rsidRPr="00192C81">
              <w:rPr>
                <w:rFonts w:ascii="Calibri" w:eastAsia="Times New Roman" w:hAnsi="Calibri" w:cs="Calibri"/>
                <w:sz w:val="20"/>
                <w:szCs w:val="20"/>
                <w:lang w:eastAsia="en-GB"/>
              </w:rPr>
              <w:t>Assurance Activity</w:t>
            </w:r>
          </w:p>
        </w:tc>
        <w:tc>
          <w:tcPr>
            <w:tcW w:w="1098" w:type="dxa"/>
            <w:vMerge w:val="restart"/>
            <w:tcBorders>
              <w:top w:val="single" w:sz="4" w:space="0" w:color="auto"/>
              <w:left w:val="single" w:sz="4" w:space="0" w:color="auto"/>
              <w:bottom w:val="single" w:sz="4" w:space="0" w:color="auto"/>
              <w:right w:val="single" w:sz="4" w:space="0" w:color="auto"/>
            </w:tcBorders>
            <w:shd w:val="clear" w:color="auto" w:fill="BFBFBF"/>
            <w:noWrap/>
            <w:vAlign w:val="center"/>
            <w:hideMark/>
          </w:tcPr>
          <w:p w14:paraId="575F8777" w14:textId="77777777" w:rsidR="000A7943" w:rsidRPr="00192C81" w:rsidRDefault="000A7943" w:rsidP="000A7943">
            <w:pPr>
              <w:spacing w:after="0" w:line="240" w:lineRule="auto"/>
              <w:jc w:val="both"/>
              <w:rPr>
                <w:rFonts w:ascii="Calibri" w:eastAsia="Times New Roman" w:hAnsi="Calibri" w:cs="Calibri"/>
                <w:sz w:val="20"/>
                <w:szCs w:val="20"/>
                <w:lang w:eastAsia="en-GB"/>
              </w:rPr>
            </w:pPr>
            <w:r w:rsidRPr="00192C81">
              <w:rPr>
                <w:rFonts w:ascii="Calibri" w:eastAsia="Times New Roman" w:hAnsi="Calibri" w:cs="Calibri"/>
                <w:sz w:val="20"/>
                <w:szCs w:val="20"/>
                <w:lang w:eastAsia="en-GB"/>
              </w:rPr>
              <w:t>Process reference</w:t>
            </w:r>
          </w:p>
        </w:tc>
        <w:tc>
          <w:tcPr>
            <w:tcW w:w="455" w:type="dxa"/>
            <w:tcBorders>
              <w:top w:val="single" w:sz="4" w:space="0" w:color="auto"/>
              <w:left w:val="nil"/>
              <w:bottom w:val="single" w:sz="4" w:space="0" w:color="auto"/>
              <w:right w:val="nil"/>
            </w:tcBorders>
            <w:shd w:val="clear" w:color="auto" w:fill="BFBFBF"/>
          </w:tcPr>
          <w:p w14:paraId="06DCB73A" w14:textId="77777777" w:rsidR="000A7943" w:rsidRPr="00192C81" w:rsidRDefault="000A7943" w:rsidP="000A7943">
            <w:pPr>
              <w:spacing w:after="0" w:line="240" w:lineRule="auto"/>
              <w:jc w:val="both"/>
              <w:rPr>
                <w:rFonts w:ascii="Calibri" w:eastAsia="Times New Roman" w:hAnsi="Calibri" w:cs="Calibri"/>
                <w:sz w:val="20"/>
                <w:szCs w:val="20"/>
                <w:lang w:eastAsia="en-GB"/>
              </w:rPr>
            </w:pPr>
          </w:p>
        </w:tc>
        <w:tc>
          <w:tcPr>
            <w:tcW w:w="6236" w:type="dxa"/>
            <w:gridSpan w:val="7"/>
            <w:tcBorders>
              <w:top w:val="single" w:sz="4" w:space="0" w:color="auto"/>
              <w:left w:val="nil"/>
              <w:bottom w:val="single" w:sz="4" w:space="0" w:color="auto"/>
              <w:right w:val="single" w:sz="4" w:space="0" w:color="auto"/>
            </w:tcBorders>
            <w:shd w:val="clear" w:color="auto" w:fill="BFBFBF"/>
            <w:noWrap/>
            <w:vAlign w:val="bottom"/>
            <w:hideMark/>
          </w:tcPr>
          <w:p w14:paraId="5C6DDB20" w14:textId="4FBB91C2" w:rsidR="000A7943" w:rsidRPr="00192C81" w:rsidRDefault="000A7943" w:rsidP="000A7943">
            <w:pPr>
              <w:spacing w:after="0" w:line="240" w:lineRule="auto"/>
              <w:jc w:val="both"/>
              <w:rPr>
                <w:rFonts w:ascii="Calibri" w:eastAsia="Times New Roman" w:hAnsi="Calibri" w:cs="Calibri"/>
                <w:sz w:val="20"/>
                <w:szCs w:val="20"/>
                <w:lang w:eastAsia="en-GB"/>
              </w:rPr>
            </w:pPr>
            <w:r w:rsidRPr="00192C81">
              <w:rPr>
                <w:rFonts w:ascii="Calibri" w:eastAsia="Times New Roman" w:hAnsi="Calibri" w:cs="Calibri"/>
                <w:sz w:val="20"/>
                <w:szCs w:val="20"/>
                <w:lang w:eastAsia="en-GB"/>
              </w:rPr>
              <w:t xml:space="preserve">(RACI) </w:t>
            </w:r>
            <w:r w:rsidRPr="00192C81">
              <w:rPr>
                <w:rFonts w:ascii="Calibri" w:eastAsia="Times New Roman" w:hAnsi="Calibri" w:cs="Calibri"/>
                <w:sz w:val="12"/>
                <w:szCs w:val="20"/>
                <w:lang w:eastAsia="en-GB"/>
              </w:rPr>
              <w:t xml:space="preserve"> </w:t>
            </w:r>
            <w:r w:rsidRPr="00192C81">
              <w:rPr>
                <w:rFonts w:ascii="Calibri" w:eastAsia="Times New Roman" w:hAnsi="Calibri" w:cs="Calibri"/>
                <w:sz w:val="16"/>
                <w:szCs w:val="20"/>
                <w:lang w:eastAsia="en-GB"/>
              </w:rPr>
              <w:t>Responsible, Accountable, Consulted, and Informed</w:t>
            </w:r>
          </w:p>
        </w:tc>
        <w:tc>
          <w:tcPr>
            <w:tcW w:w="3785" w:type="dxa"/>
            <w:gridSpan w:val="2"/>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7D7C3728" w14:textId="77777777" w:rsidR="000A7943" w:rsidRPr="00192C81" w:rsidRDefault="000A7943" w:rsidP="000A7943">
            <w:pPr>
              <w:spacing w:after="0" w:line="240" w:lineRule="auto"/>
              <w:jc w:val="both"/>
              <w:rPr>
                <w:rFonts w:ascii="Calibri" w:eastAsia="Times New Roman" w:hAnsi="Calibri" w:cs="Calibri"/>
                <w:sz w:val="20"/>
                <w:szCs w:val="20"/>
                <w:lang w:eastAsia="en-GB"/>
              </w:rPr>
            </w:pPr>
            <w:r w:rsidRPr="00192C81">
              <w:rPr>
                <w:rFonts w:ascii="Calibri" w:eastAsia="Times New Roman" w:hAnsi="Calibri" w:cs="Calibri"/>
                <w:sz w:val="20"/>
                <w:szCs w:val="20"/>
                <w:lang w:eastAsia="en-GB"/>
              </w:rPr>
              <w:t>Required output</w:t>
            </w:r>
          </w:p>
        </w:tc>
        <w:tc>
          <w:tcPr>
            <w:tcW w:w="0" w:type="auto"/>
            <w:tcBorders>
              <w:top w:val="nil"/>
              <w:left w:val="nil"/>
              <w:bottom w:val="nil"/>
              <w:right w:val="nil"/>
            </w:tcBorders>
            <w:shd w:val="clear" w:color="auto" w:fill="auto"/>
            <w:noWrap/>
            <w:vAlign w:val="bottom"/>
            <w:hideMark/>
          </w:tcPr>
          <w:p w14:paraId="215D0640"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0D59933A" w14:textId="77777777" w:rsidTr="00CD37AA">
        <w:trPr>
          <w:trHeight w:val="123"/>
        </w:trPr>
        <w:tc>
          <w:tcPr>
            <w:tcW w:w="229" w:type="dxa"/>
            <w:tcBorders>
              <w:top w:val="nil"/>
              <w:left w:val="nil"/>
              <w:bottom w:val="nil"/>
              <w:right w:val="nil"/>
            </w:tcBorders>
            <w:shd w:val="clear" w:color="auto" w:fill="auto"/>
            <w:noWrap/>
            <w:vAlign w:val="bottom"/>
            <w:hideMark/>
          </w:tcPr>
          <w:p w14:paraId="1B6D40F8"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vMerge/>
            <w:tcBorders>
              <w:top w:val="single" w:sz="4" w:space="0" w:color="auto"/>
              <w:left w:val="single" w:sz="4" w:space="0" w:color="auto"/>
              <w:bottom w:val="single" w:sz="4" w:space="0" w:color="auto"/>
              <w:right w:val="single" w:sz="4" w:space="0" w:color="auto"/>
            </w:tcBorders>
            <w:vAlign w:val="center"/>
            <w:hideMark/>
          </w:tcPr>
          <w:p w14:paraId="496221EA" w14:textId="77777777" w:rsidR="000A7943" w:rsidRPr="00192C81" w:rsidRDefault="000A7943" w:rsidP="000A7943">
            <w:pPr>
              <w:spacing w:after="0" w:line="240" w:lineRule="auto"/>
              <w:jc w:val="both"/>
              <w:rPr>
                <w:rFonts w:ascii="Calibri" w:eastAsia="Times New Roman" w:hAnsi="Calibri" w:cs="Calibri"/>
                <w:sz w:val="20"/>
                <w:szCs w:val="20"/>
                <w:lang w:eastAsia="en-GB"/>
              </w:rPr>
            </w:pPr>
          </w:p>
        </w:tc>
        <w:tc>
          <w:tcPr>
            <w:tcW w:w="1098" w:type="dxa"/>
            <w:vMerge/>
            <w:tcBorders>
              <w:top w:val="single" w:sz="4" w:space="0" w:color="auto"/>
              <w:left w:val="single" w:sz="4" w:space="0" w:color="auto"/>
              <w:bottom w:val="single" w:sz="4" w:space="0" w:color="auto"/>
              <w:right w:val="single" w:sz="4" w:space="0" w:color="auto"/>
            </w:tcBorders>
            <w:vAlign w:val="center"/>
            <w:hideMark/>
          </w:tcPr>
          <w:p w14:paraId="54BBF436" w14:textId="77777777" w:rsidR="000A7943" w:rsidRPr="00192C81" w:rsidRDefault="000A7943" w:rsidP="000A7943">
            <w:pPr>
              <w:spacing w:after="0" w:line="240" w:lineRule="auto"/>
              <w:jc w:val="both"/>
              <w:rPr>
                <w:rFonts w:ascii="Calibri" w:eastAsia="Times New Roman" w:hAnsi="Calibri" w:cs="Calibri"/>
                <w:sz w:val="20"/>
                <w:szCs w:val="20"/>
                <w:lang w:eastAsia="en-GB"/>
              </w:rPr>
            </w:pPr>
          </w:p>
        </w:tc>
        <w:tc>
          <w:tcPr>
            <w:tcW w:w="826" w:type="dxa"/>
            <w:gridSpan w:val="2"/>
            <w:tcBorders>
              <w:top w:val="nil"/>
              <w:left w:val="nil"/>
              <w:bottom w:val="single" w:sz="4" w:space="0" w:color="auto"/>
              <w:right w:val="single" w:sz="4" w:space="0" w:color="auto"/>
            </w:tcBorders>
            <w:shd w:val="clear" w:color="auto" w:fill="BFBFBF"/>
            <w:noWrap/>
            <w:vAlign w:val="bottom"/>
            <w:hideMark/>
          </w:tcPr>
          <w:p w14:paraId="49948C2A" w14:textId="77777777" w:rsidR="000A7943" w:rsidRPr="00192C81" w:rsidRDefault="000A7943" w:rsidP="000A7943">
            <w:pPr>
              <w:spacing w:after="0" w:line="240" w:lineRule="auto"/>
              <w:jc w:val="center"/>
              <w:rPr>
                <w:rFonts w:ascii="Calibri" w:eastAsia="Times New Roman" w:hAnsi="Calibri" w:cs="Calibri"/>
                <w:sz w:val="18"/>
                <w:szCs w:val="18"/>
                <w:lang w:eastAsia="en-GB"/>
              </w:rPr>
            </w:pPr>
            <w:r w:rsidRPr="00192C81">
              <w:rPr>
                <w:rFonts w:ascii="Calibri" w:eastAsia="Times New Roman" w:hAnsi="Calibri" w:cs="Calibri"/>
                <w:sz w:val="18"/>
                <w:szCs w:val="18"/>
                <w:lang w:eastAsia="en-GB"/>
              </w:rPr>
              <w:t>PM</w:t>
            </w:r>
          </w:p>
        </w:tc>
        <w:tc>
          <w:tcPr>
            <w:tcW w:w="827" w:type="dxa"/>
            <w:tcBorders>
              <w:top w:val="nil"/>
              <w:left w:val="nil"/>
              <w:bottom w:val="single" w:sz="4" w:space="0" w:color="auto"/>
              <w:right w:val="single" w:sz="4" w:space="0" w:color="auto"/>
            </w:tcBorders>
            <w:shd w:val="clear" w:color="auto" w:fill="BFBFBF"/>
            <w:noWrap/>
            <w:vAlign w:val="bottom"/>
            <w:hideMark/>
          </w:tcPr>
          <w:p w14:paraId="62D20B36" w14:textId="77777777" w:rsidR="000A7943" w:rsidRPr="00192C81" w:rsidRDefault="000A7943" w:rsidP="000A7943">
            <w:pPr>
              <w:spacing w:after="0" w:line="240" w:lineRule="auto"/>
              <w:jc w:val="center"/>
              <w:rPr>
                <w:rFonts w:ascii="Calibri" w:eastAsia="Times New Roman" w:hAnsi="Calibri" w:cs="Calibri"/>
                <w:sz w:val="18"/>
                <w:szCs w:val="18"/>
                <w:lang w:eastAsia="en-GB"/>
              </w:rPr>
            </w:pPr>
            <w:r w:rsidRPr="00192C81">
              <w:rPr>
                <w:rFonts w:ascii="Calibri" w:eastAsia="Times New Roman" w:hAnsi="Calibri" w:cs="Calibri"/>
                <w:sz w:val="18"/>
                <w:szCs w:val="18"/>
                <w:lang w:eastAsia="en-GB"/>
              </w:rPr>
              <w:t>QE</w:t>
            </w:r>
          </w:p>
        </w:tc>
        <w:tc>
          <w:tcPr>
            <w:tcW w:w="826" w:type="dxa"/>
            <w:tcBorders>
              <w:top w:val="nil"/>
              <w:left w:val="nil"/>
              <w:bottom w:val="single" w:sz="4" w:space="0" w:color="auto"/>
              <w:right w:val="single" w:sz="4" w:space="0" w:color="auto"/>
            </w:tcBorders>
            <w:shd w:val="clear" w:color="auto" w:fill="BFBFBF"/>
            <w:noWrap/>
            <w:vAlign w:val="bottom"/>
            <w:hideMark/>
          </w:tcPr>
          <w:p w14:paraId="2F04FC4C" w14:textId="77777777" w:rsidR="000A7943" w:rsidRPr="00192C81" w:rsidRDefault="000A7943" w:rsidP="000A7943">
            <w:pPr>
              <w:spacing w:after="0" w:line="240" w:lineRule="auto"/>
              <w:jc w:val="center"/>
              <w:rPr>
                <w:rFonts w:ascii="Calibri" w:eastAsia="Times New Roman" w:hAnsi="Calibri" w:cs="Calibri"/>
                <w:sz w:val="18"/>
                <w:szCs w:val="18"/>
                <w:lang w:eastAsia="en-GB"/>
              </w:rPr>
            </w:pPr>
            <w:r w:rsidRPr="00192C81">
              <w:rPr>
                <w:rFonts w:ascii="Calibri" w:eastAsia="Times New Roman" w:hAnsi="Calibri" w:cs="Calibri"/>
                <w:sz w:val="18"/>
                <w:szCs w:val="18"/>
                <w:lang w:eastAsia="en-GB"/>
              </w:rPr>
              <w:t>PUR</w:t>
            </w:r>
          </w:p>
        </w:tc>
        <w:tc>
          <w:tcPr>
            <w:tcW w:w="858" w:type="dxa"/>
            <w:tcBorders>
              <w:top w:val="nil"/>
              <w:left w:val="nil"/>
              <w:bottom w:val="single" w:sz="4" w:space="0" w:color="auto"/>
              <w:right w:val="single" w:sz="4" w:space="0" w:color="auto"/>
            </w:tcBorders>
            <w:shd w:val="clear" w:color="auto" w:fill="BFBFBF"/>
            <w:noWrap/>
            <w:vAlign w:val="bottom"/>
            <w:hideMark/>
          </w:tcPr>
          <w:p w14:paraId="6D4FB5BD" w14:textId="77777777" w:rsidR="000A7943" w:rsidRPr="00192C81" w:rsidRDefault="000A7943" w:rsidP="000A7943">
            <w:pPr>
              <w:spacing w:after="0" w:line="240" w:lineRule="auto"/>
              <w:jc w:val="center"/>
              <w:rPr>
                <w:rFonts w:ascii="Calibri" w:eastAsia="Times New Roman" w:hAnsi="Calibri" w:cs="Calibri"/>
                <w:sz w:val="18"/>
                <w:szCs w:val="18"/>
                <w:lang w:eastAsia="en-GB"/>
              </w:rPr>
            </w:pPr>
            <w:r w:rsidRPr="00192C81">
              <w:rPr>
                <w:rFonts w:ascii="Calibri" w:eastAsia="Times New Roman" w:hAnsi="Calibri" w:cs="Calibri"/>
                <w:sz w:val="18"/>
                <w:szCs w:val="18"/>
                <w:lang w:eastAsia="en-GB"/>
              </w:rPr>
              <w:t>IND</w:t>
            </w:r>
          </w:p>
        </w:tc>
        <w:tc>
          <w:tcPr>
            <w:tcW w:w="794" w:type="dxa"/>
            <w:tcBorders>
              <w:top w:val="nil"/>
              <w:left w:val="nil"/>
              <w:bottom w:val="single" w:sz="4" w:space="0" w:color="auto"/>
              <w:right w:val="single" w:sz="4" w:space="0" w:color="auto"/>
            </w:tcBorders>
            <w:shd w:val="clear" w:color="auto" w:fill="BFBFBF"/>
            <w:noWrap/>
            <w:vAlign w:val="bottom"/>
            <w:hideMark/>
          </w:tcPr>
          <w:p w14:paraId="25FC1477" w14:textId="77777777" w:rsidR="000A7943" w:rsidRPr="00192C81" w:rsidRDefault="000A7943" w:rsidP="000A7943">
            <w:pPr>
              <w:spacing w:after="0" w:line="240" w:lineRule="auto"/>
              <w:jc w:val="center"/>
              <w:rPr>
                <w:rFonts w:ascii="Calibri" w:eastAsia="Times New Roman" w:hAnsi="Calibri" w:cs="Calibri"/>
                <w:sz w:val="18"/>
                <w:szCs w:val="18"/>
                <w:lang w:eastAsia="en-GB"/>
              </w:rPr>
            </w:pPr>
            <w:r w:rsidRPr="00192C81">
              <w:rPr>
                <w:rFonts w:ascii="Calibri" w:eastAsia="Times New Roman" w:hAnsi="Calibri" w:cs="Calibri"/>
                <w:sz w:val="18"/>
                <w:szCs w:val="18"/>
                <w:lang w:eastAsia="en-GB"/>
              </w:rPr>
              <w:t>EPL</w:t>
            </w:r>
          </w:p>
        </w:tc>
        <w:tc>
          <w:tcPr>
            <w:tcW w:w="1631" w:type="dxa"/>
            <w:tcBorders>
              <w:top w:val="single" w:sz="4" w:space="0" w:color="auto"/>
              <w:left w:val="single" w:sz="4" w:space="0" w:color="auto"/>
              <w:bottom w:val="single" w:sz="4" w:space="0" w:color="auto"/>
              <w:right w:val="single" w:sz="4" w:space="0" w:color="auto"/>
            </w:tcBorders>
            <w:shd w:val="clear" w:color="auto" w:fill="BFBFBF"/>
          </w:tcPr>
          <w:p w14:paraId="52A9D5FF" w14:textId="77777777" w:rsidR="000A7943" w:rsidRPr="00192C81" w:rsidRDefault="000A7943" w:rsidP="000A7943">
            <w:pPr>
              <w:spacing w:after="0" w:line="240" w:lineRule="auto"/>
              <w:jc w:val="center"/>
              <w:rPr>
                <w:rFonts w:ascii="Calibri" w:eastAsia="Times New Roman" w:hAnsi="Calibri" w:cs="Calibri"/>
                <w:color w:val="0070C0"/>
                <w:sz w:val="18"/>
                <w:szCs w:val="16"/>
                <w:lang w:eastAsia="en-GB"/>
              </w:rPr>
            </w:pPr>
            <w:r w:rsidRPr="00192C81">
              <w:rPr>
                <w:rFonts w:ascii="Calibri" w:eastAsia="Times New Roman" w:hAnsi="Calibri" w:cs="Calibri"/>
                <w:color w:val="0070C0"/>
                <w:sz w:val="18"/>
                <w:szCs w:val="18"/>
                <w:lang w:eastAsia="en-GB"/>
              </w:rPr>
              <w:t>OPS</w:t>
            </w:r>
          </w:p>
        </w:tc>
        <w:tc>
          <w:tcPr>
            <w:tcW w:w="929" w:type="dxa"/>
            <w:tcBorders>
              <w:top w:val="single" w:sz="4" w:space="0" w:color="auto"/>
              <w:left w:val="single" w:sz="4" w:space="0" w:color="auto"/>
              <w:bottom w:val="single" w:sz="4" w:space="0" w:color="auto"/>
              <w:right w:val="single" w:sz="4" w:space="0" w:color="auto"/>
            </w:tcBorders>
            <w:shd w:val="clear" w:color="auto" w:fill="BFBFBF"/>
          </w:tcPr>
          <w:p w14:paraId="58837D63" w14:textId="77777777" w:rsidR="000A7943" w:rsidRPr="00192C81" w:rsidRDefault="000A7943" w:rsidP="000A7943">
            <w:pPr>
              <w:spacing w:after="0" w:line="240" w:lineRule="auto"/>
              <w:jc w:val="center"/>
              <w:rPr>
                <w:rFonts w:ascii="Calibri" w:eastAsia="Times New Roman" w:hAnsi="Calibri" w:cs="Calibri"/>
                <w:color w:val="0070C0"/>
                <w:sz w:val="18"/>
                <w:szCs w:val="16"/>
                <w:lang w:eastAsia="en-GB"/>
              </w:rPr>
            </w:pPr>
            <w:r w:rsidRPr="00192C81">
              <w:rPr>
                <w:rFonts w:ascii="Calibri" w:eastAsia="Times New Roman" w:hAnsi="Calibri" w:cs="Calibri"/>
                <w:color w:val="0070C0"/>
                <w:sz w:val="18"/>
                <w:szCs w:val="16"/>
                <w:lang w:eastAsia="en-GB"/>
              </w:rPr>
              <w:t>Customer</w:t>
            </w:r>
          </w:p>
        </w:tc>
        <w:tc>
          <w:tcPr>
            <w:tcW w:w="3785" w:type="dxa"/>
            <w:gridSpan w:val="2"/>
            <w:vMerge/>
            <w:tcBorders>
              <w:top w:val="single" w:sz="4" w:space="0" w:color="auto"/>
              <w:left w:val="single" w:sz="4" w:space="0" w:color="auto"/>
              <w:bottom w:val="single" w:sz="4" w:space="0" w:color="auto"/>
              <w:right w:val="single" w:sz="4" w:space="0" w:color="auto"/>
            </w:tcBorders>
            <w:vAlign w:val="center"/>
            <w:hideMark/>
          </w:tcPr>
          <w:p w14:paraId="476E326E" w14:textId="77777777" w:rsidR="000A7943" w:rsidRPr="00192C81" w:rsidRDefault="000A7943" w:rsidP="000A7943">
            <w:pPr>
              <w:spacing w:after="0" w:line="240" w:lineRule="auto"/>
              <w:jc w:val="both"/>
              <w:rPr>
                <w:rFonts w:ascii="Calibri" w:eastAsia="Times New Roman" w:hAnsi="Calibri" w:cs="Calibri"/>
                <w:sz w:val="20"/>
                <w:szCs w:val="20"/>
                <w:lang w:eastAsia="en-GB"/>
              </w:rPr>
            </w:pPr>
          </w:p>
        </w:tc>
        <w:tc>
          <w:tcPr>
            <w:tcW w:w="0" w:type="auto"/>
            <w:tcBorders>
              <w:top w:val="nil"/>
              <w:left w:val="nil"/>
              <w:bottom w:val="nil"/>
              <w:right w:val="nil"/>
            </w:tcBorders>
            <w:shd w:val="clear" w:color="auto" w:fill="auto"/>
            <w:noWrap/>
            <w:vAlign w:val="bottom"/>
            <w:hideMark/>
          </w:tcPr>
          <w:p w14:paraId="69917C47"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3722C85D" w14:textId="77777777" w:rsidTr="00CD37AA">
        <w:trPr>
          <w:trHeight w:val="316"/>
        </w:trPr>
        <w:tc>
          <w:tcPr>
            <w:tcW w:w="229" w:type="dxa"/>
            <w:tcBorders>
              <w:top w:val="nil"/>
              <w:left w:val="nil"/>
              <w:bottom w:val="nil"/>
              <w:right w:val="nil"/>
            </w:tcBorders>
            <w:shd w:val="clear" w:color="auto" w:fill="auto"/>
            <w:noWrap/>
            <w:vAlign w:val="bottom"/>
            <w:hideMark/>
          </w:tcPr>
          <w:p w14:paraId="4071CCF8"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68D12912"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Industrialisation Risk Analysis</w:t>
            </w:r>
          </w:p>
        </w:tc>
        <w:tc>
          <w:tcPr>
            <w:tcW w:w="1098" w:type="dxa"/>
            <w:tcBorders>
              <w:top w:val="nil"/>
              <w:left w:val="nil"/>
              <w:bottom w:val="single" w:sz="4" w:space="0" w:color="auto"/>
              <w:right w:val="single" w:sz="4" w:space="0" w:color="auto"/>
            </w:tcBorders>
            <w:shd w:val="clear" w:color="auto" w:fill="auto"/>
            <w:noWrap/>
            <w:vAlign w:val="center"/>
          </w:tcPr>
          <w:p w14:paraId="3B2195B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GRP-0160</w:t>
            </w:r>
          </w:p>
        </w:tc>
        <w:tc>
          <w:tcPr>
            <w:tcW w:w="826" w:type="dxa"/>
            <w:gridSpan w:val="2"/>
            <w:tcBorders>
              <w:top w:val="nil"/>
              <w:left w:val="nil"/>
              <w:bottom w:val="single" w:sz="4" w:space="0" w:color="auto"/>
              <w:right w:val="single" w:sz="4" w:space="0" w:color="auto"/>
            </w:tcBorders>
            <w:shd w:val="clear" w:color="auto" w:fill="F8D5D4"/>
            <w:noWrap/>
            <w:vAlign w:val="bottom"/>
          </w:tcPr>
          <w:p w14:paraId="1279893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7" w:type="dxa"/>
            <w:tcBorders>
              <w:top w:val="nil"/>
              <w:left w:val="nil"/>
              <w:bottom w:val="single" w:sz="4" w:space="0" w:color="auto"/>
              <w:right w:val="single" w:sz="4" w:space="0" w:color="auto"/>
            </w:tcBorders>
            <w:shd w:val="clear" w:color="auto" w:fill="FCEDD0"/>
            <w:noWrap/>
            <w:vAlign w:val="bottom"/>
          </w:tcPr>
          <w:p w14:paraId="5B90CC0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FCEDD0"/>
            <w:noWrap/>
            <w:vAlign w:val="bottom"/>
          </w:tcPr>
          <w:p w14:paraId="5CEF2CD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58" w:type="dxa"/>
            <w:tcBorders>
              <w:top w:val="nil"/>
              <w:left w:val="nil"/>
              <w:bottom w:val="single" w:sz="4" w:space="0" w:color="auto"/>
              <w:right w:val="single" w:sz="4" w:space="0" w:color="auto"/>
            </w:tcBorders>
            <w:shd w:val="clear" w:color="auto" w:fill="FCEDD0"/>
            <w:noWrap/>
            <w:vAlign w:val="bottom"/>
          </w:tcPr>
          <w:p w14:paraId="5E97EBD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CEDD0"/>
            <w:noWrap/>
            <w:vAlign w:val="bottom"/>
          </w:tcPr>
          <w:p w14:paraId="053FE96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7FEAF5A0"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73DE051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27754674"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APQP Decision Tree</w:t>
            </w:r>
          </w:p>
        </w:tc>
        <w:tc>
          <w:tcPr>
            <w:tcW w:w="0" w:type="auto"/>
            <w:tcBorders>
              <w:top w:val="nil"/>
              <w:left w:val="nil"/>
              <w:bottom w:val="nil"/>
              <w:right w:val="nil"/>
            </w:tcBorders>
            <w:shd w:val="clear" w:color="auto" w:fill="auto"/>
            <w:noWrap/>
            <w:vAlign w:val="bottom"/>
            <w:hideMark/>
          </w:tcPr>
          <w:p w14:paraId="591C8B8F"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09A0C2E1" w14:textId="77777777" w:rsidTr="00CD37AA">
        <w:trPr>
          <w:trHeight w:val="282"/>
        </w:trPr>
        <w:tc>
          <w:tcPr>
            <w:tcW w:w="229" w:type="dxa"/>
            <w:tcBorders>
              <w:top w:val="nil"/>
              <w:left w:val="nil"/>
              <w:bottom w:val="nil"/>
              <w:right w:val="nil"/>
            </w:tcBorders>
            <w:shd w:val="clear" w:color="auto" w:fill="auto"/>
            <w:noWrap/>
            <w:vAlign w:val="bottom"/>
            <w:hideMark/>
          </w:tcPr>
          <w:p w14:paraId="4C6D6257"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1B62732F" w14:textId="06A4285C"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Project Plan Osmoz</w:t>
            </w:r>
            <w:r w:rsidR="00B573B3">
              <w:rPr>
                <w:rFonts w:ascii="Calibri" w:eastAsia="Times New Roman" w:hAnsi="Calibri" w:cs="Calibri"/>
                <w:color w:val="0070C0"/>
                <w:sz w:val="18"/>
                <w:szCs w:val="14"/>
                <w:lang w:eastAsia="en-GB"/>
              </w:rPr>
              <w:t xml:space="preserve"> (SGB’s planning software)</w:t>
            </w:r>
          </w:p>
        </w:tc>
        <w:tc>
          <w:tcPr>
            <w:tcW w:w="1098" w:type="dxa"/>
            <w:tcBorders>
              <w:top w:val="nil"/>
              <w:left w:val="nil"/>
              <w:bottom w:val="single" w:sz="4" w:space="0" w:color="auto"/>
              <w:right w:val="single" w:sz="4" w:space="0" w:color="auto"/>
            </w:tcBorders>
            <w:shd w:val="clear" w:color="auto" w:fill="auto"/>
            <w:noWrap/>
            <w:vAlign w:val="center"/>
          </w:tcPr>
          <w:p w14:paraId="2AE981CE"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PGM01-2</w:t>
            </w:r>
          </w:p>
        </w:tc>
        <w:tc>
          <w:tcPr>
            <w:tcW w:w="826" w:type="dxa"/>
            <w:gridSpan w:val="2"/>
            <w:tcBorders>
              <w:top w:val="nil"/>
              <w:left w:val="nil"/>
              <w:bottom w:val="single" w:sz="4" w:space="0" w:color="auto"/>
              <w:right w:val="single" w:sz="4" w:space="0" w:color="auto"/>
            </w:tcBorders>
            <w:shd w:val="clear" w:color="auto" w:fill="F8D5D4"/>
            <w:noWrap/>
            <w:vAlign w:val="bottom"/>
          </w:tcPr>
          <w:p w14:paraId="5B258A5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7" w:type="dxa"/>
            <w:tcBorders>
              <w:top w:val="nil"/>
              <w:left w:val="nil"/>
              <w:bottom w:val="single" w:sz="4" w:space="0" w:color="auto"/>
              <w:right w:val="single" w:sz="4" w:space="0" w:color="auto"/>
            </w:tcBorders>
            <w:shd w:val="clear" w:color="auto" w:fill="FCEDD0"/>
            <w:noWrap/>
            <w:vAlign w:val="bottom"/>
          </w:tcPr>
          <w:p w14:paraId="4A39D30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FCEDD0"/>
            <w:noWrap/>
            <w:vAlign w:val="bottom"/>
          </w:tcPr>
          <w:p w14:paraId="2762553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58" w:type="dxa"/>
            <w:tcBorders>
              <w:top w:val="nil"/>
              <w:left w:val="nil"/>
              <w:bottom w:val="single" w:sz="4" w:space="0" w:color="auto"/>
              <w:right w:val="single" w:sz="4" w:space="0" w:color="auto"/>
            </w:tcBorders>
            <w:shd w:val="clear" w:color="auto" w:fill="FCEDD0"/>
            <w:noWrap/>
            <w:vAlign w:val="bottom"/>
          </w:tcPr>
          <w:p w14:paraId="026C015E"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CEDD0"/>
            <w:noWrap/>
            <w:vAlign w:val="bottom"/>
          </w:tcPr>
          <w:p w14:paraId="047D133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4D571B4B"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DCFADA"/>
            <w:vAlign w:val="bottom"/>
          </w:tcPr>
          <w:p w14:paraId="21BEF5D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35E8F47F"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hideMark/>
          </w:tcPr>
          <w:p w14:paraId="44F86E00"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15FAD65D" w14:textId="77777777" w:rsidTr="00CD37AA">
        <w:trPr>
          <w:trHeight w:val="229"/>
        </w:trPr>
        <w:tc>
          <w:tcPr>
            <w:tcW w:w="229" w:type="dxa"/>
            <w:tcBorders>
              <w:top w:val="nil"/>
              <w:left w:val="nil"/>
              <w:bottom w:val="nil"/>
              <w:right w:val="nil"/>
            </w:tcBorders>
            <w:shd w:val="clear" w:color="auto" w:fill="auto"/>
            <w:noWrap/>
            <w:vAlign w:val="bottom"/>
            <w:hideMark/>
          </w:tcPr>
          <w:p w14:paraId="7760F326" w14:textId="77777777" w:rsidR="000A7943" w:rsidRPr="00192C81" w:rsidRDefault="000A7943" w:rsidP="000A7943">
            <w:pPr>
              <w:spacing w:after="0" w:line="240" w:lineRule="auto"/>
              <w:jc w:val="both"/>
              <w:rPr>
                <w:rFonts w:ascii="Calibri" w:eastAsia="Times New Roman" w:hAnsi="Calibri" w:cs="Calibri"/>
                <w:color w:val="000000"/>
                <w:highlight w:val="yellow"/>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5D5CE899"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Statement of Work</w:t>
            </w:r>
          </w:p>
        </w:tc>
        <w:tc>
          <w:tcPr>
            <w:tcW w:w="1098" w:type="dxa"/>
            <w:tcBorders>
              <w:top w:val="nil"/>
              <w:left w:val="nil"/>
              <w:bottom w:val="single" w:sz="4" w:space="0" w:color="auto"/>
              <w:right w:val="single" w:sz="4" w:space="0" w:color="auto"/>
            </w:tcBorders>
            <w:shd w:val="clear" w:color="auto" w:fill="auto"/>
            <w:noWrap/>
            <w:vAlign w:val="center"/>
          </w:tcPr>
          <w:p w14:paraId="50540FB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FFD1D2"/>
            <w:noWrap/>
            <w:vAlign w:val="bottom"/>
          </w:tcPr>
          <w:p w14:paraId="43EBF36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7" w:type="dxa"/>
            <w:tcBorders>
              <w:top w:val="nil"/>
              <w:left w:val="nil"/>
              <w:bottom w:val="single" w:sz="4" w:space="0" w:color="auto"/>
              <w:right w:val="single" w:sz="4" w:space="0" w:color="auto"/>
            </w:tcBorders>
            <w:shd w:val="clear" w:color="auto" w:fill="D5FBD5"/>
            <w:noWrap/>
            <w:vAlign w:val="bottom"/>
          </w:tcPr>
          <w:p w14:paraId="4DE50C3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6" w:type="dxa"/>
            <w:tcBorders>
              <w:top w:val="nil"/>
              <w:left w:val="nil"/>
              <w:bottom w:val="single" w:sz="4" w:space="0" w:color="auto"/>
              <w:right w:val="single" w:sz="4" w:space="0" w:color="auto"/>
            </w:tcBorders>
            <w:shd w:val="clear" w:color="auto" w:fill="D5FBD5"/>
            <w:noWrap/>
            <w:vAlign w:val="bottom"/>
          </w:tcPr>
          <w:p w14:paraId="6713298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58" w:type="dxa"/>
            <w:tcBorders>
              <w:top w:val="nil"/>
              <w:left w:val="nil"/>
              <w:bottom w:val="single" w:sz="4" w:space="0" w:color="auto"/>
              <w:right w:val="single" w:sz="4" w:space="0" w:color="auto"/>
            </w:tcBorders>
            <w:shd w:val="clear" w:color="auto" w:fill="D5FBD5"/>
            <w:noWrap/>
            <w:vAlign w:val="bottom"/>
          </w:tcPr>
          <w:p w14:paraId="652CB75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794" w:type="dxa"/>
            <w:tcBorders>
              <w:top w:val="nil"/>
              <w:left w:val="nil"/>
              <w:bottom w:val="single" w:sz="4" w:space="0" w:color="auto"/>
              <w:right w:val="single" w:sz="4" w:space="0" w:color="auto"/>
            </w:tcBorders>
            <w:shd w:val="clear" w:color="auto" w:fill="D5FBD5"/>
            <w:noWrap/>
            <w:vAlign w:val="bottom"/>
          </w:tcPr>
          <w:p w14:paraId="7F82979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BFBFBF"/>
          </w:tcPr>
          <w:p w14:paraId="4FFF4A69"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0FD6790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31EE0E69"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hideMark/>
          </w:tcPr>
          <w:p w14:paraId="14AB983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37D23297" w14:textId="77777777" w:rsidTr="00CD37AA">
        <w:trPr>
          <w:trHeight w:val="275"/>
        </w:trPr>
        <w:tc>
          <w:tcPr>
            <w:tcW w:w="229" w:type="dxa"/>
            <w:tcBorders>
              <w:top w:val="nil"/>
              <w:left w:val="nil"/>
              <w:bottom w:val="nil"/>
              <w:right w:val="nil"/>
            </w:tcBorders>
            <w:shd w:val="clear" w:color="auto" w:fill="auto"/>
            <w:noWrap/>
            <w:vAlign w:val="bottom"/>
            <w:hideMark/>
          </w:tcPr>
          <w:p w14:paraId="52FE6E9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05E5C1FF" w14:textId="77777777" w:rsidR="000A7943" w:rsidRPr="00192C81" w:rsidRDefault="000A7943" w:rsidP="000A7943">
            <w:pPr>
              <w:spacing w:after="0" w:line="240" w:lineRule="auto"/>
              <w:rPr>
                <w:rFonts w:ascii="Calibri" w:eastAsia="Times New Roman" w:hAnsi="Calibri" w:cs="Calibri"/>
                <w:color w:val="0070C0"/>
                <w:sz w:val="18"/>
                <w:szCs w:val="14"/>
                <w:highlight w:val="yellow"/>
                <w:lang w:eastAsia="en-GB"/>
              </w:rPr>
            </w:pPr>
            <w:r w:rsidRPr="00192C81">
              <w:rPr>
                <w:rFonts w:ascii="Calibri" w:eastAsia="Times New Roman" w:hAnsi="Calibri" w:cs="Calibri"/>
                <w:color w:val="0070C0"/>
                <w:sz w:val="18"/>
                <w:szCs w:val="14"/>
                <w:lang w:eastAsia="en-GB"/>
              </w:rPr>
              <w:t>Sourcing Plan Risk Analysis</w:t>
            </w:r>
          </w:p>
        </w:tc>
        <w:tc>
          <w:tcPr>
            <w:tcW w:w="1098" w:type="dxa"/>
            <w:tcBorders>
              <w:top w:val="nil"/>
              <w:left w:val="nil"/>
              <w:bottom w:val="single" w:sz="4" w:space="0" w:color="auto"/>
              <w:right w:val="single" w:sz="4" w:space="0" w:color="auto"/>
            </w:tcBorders>
            <w:shd w:val="clear" w:color="auto" w:fill="auto"/>
            <w:noWrap/>
            <w:vAlign w:val="center"/>
          </w:tcPr>
          <w:p w14:paraId="5A50020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FCEDD0"/>
            <w:noWrap/>
            <w:vAlign w:val="bottom"/>
          </w:tcPr>
          <w:p w14:paraId="4A6A3E0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DCFADA"/>
            <w:noWrap/>
            <w:vAlign w:val="bottom"/>
          </w:tcPr>
          <w:p w14:paraId="68D96B1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6" w:type="dxa"/>
            <w:tcBorders>
              <w:top w:val="nil"/>
              <w:left w:val="nil"/>
              <w:bottom w:val="single" w:sz="4" w:space="0" w:color="auto"/>
              <w:right w:val="single" w:sz="4" w:space="0" w:color="auto"/>
            </w:tcBorders>
            <w:shd w:val="clear" w:color="auto" w:fill="F8D5D4"/>
            <w:noWrap/>
            <w:vAlign w:val="bottom"/>
          </w:tcPr>
          <w:p w14:paraId="77EDB96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58" w:type="dxa"/>
            <w:tcBorders>
              <w:top w:val="nil"/>
              <w:left w:val="nil"/>
              <w:bottom w:val="single" w:sz="4" w:space="0" w:color="auto"/>
              <w:right w:val="single" w:sz="4" w:space="0" w:color="auto"/>
            </w:tcBorders>
            <w:shd w:val="clear" w:color="auto" w:fill="DCFADA"/>
            <w:noWrap/>
            <w:vAlign w:val="bottom"/>
          </w:tcPr>
          <w:p w14:paraId="75ED934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794" w:type="dxa"/>
            <w:tcBorders>
              <w:top w:val="nil"/>
              <w:left w:val="nil"/>
              <w:bottom w:val="single" w:sz="4" w:space="0" w:color="auto"/>
              <w:right w:val="single" w:sz="4" w:space="0" w:color="auto"/>
            </w:tcBorders>
            <w:shd w:val="clear" w:color="auto" w:fill="DCFADA"/>
            <w:noWrap/>
            <w:vAlign w:val="bottom"/>
          </w:tcPr>
          <w:p w14:paraId="3638114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DCFADA"/>
          </w:tcPr>
          <w:p w14:paraId="1FFC1F86"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265210C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355A6581"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hideMark/>
          </w:tcPr>
          <w:p w14:paraId="67F4DD14"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2EEF0042" w14:textId="77777777" w:rsidTr="00CD37AA">
        <w:trPr>
          <w:trHeight w:val="289"/>
        </w:trPr>
        <w:tc>
          <w:tcPr>
            <w:tcW w:w="229" w:type="dxa"/>
            <w:tcBorders>
              <w:top w:val="nil"/>
              <w:left w:val="nil"/>
              <w:bottom w:val="nil"/>
              <w:right w:val="nil"/>
            </w:tcBorders>
            <w:shd w:val="clear" w:color="auto" w:fill="auto"/>
            <w:noWrap/>
            <w:vAlign w:val="bottom"/>
          </w:tcPr>
          <w:p w14:paraId="15EB9B08" w14:textId="77777777" w:rsidR="000A7943" w:rsidRPr="00192C81" w:rsidRDefault="000A7943" w:rsidP="000A7943">
            <w:pPr>
              <w:spacing w:after="0" w:line="240" w:lineRule="auto"/>
              <w:jc w:val="both"/>
              <w:rPr>
                <w:rFonts w:ascii="Calibri" w:eastAsia="Times New Roman" w:hAnsi="Calibri" w:cs="Calibri"/>
                <w:color w:val="000000"/>
                <w:highlight w:val="yellow"/>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0AA74306" w14:textId="63C224FE" w:rsidR="000A7943" w:rsidRPr="00192C81" w:rsidRDefault="000A7943" w:rsidP="000A7943">
            <w:pPr>
              <w:spacing w:after="0" w:line="240" w:lineRule="auto"/>
              <w:rPr>
                <w:rFonts w:ascii="Calibri" w:eastAsia="Times New Roman" w:hAnsi="Calibri" w:cs="Calibri"/>
                <w:color w:val="0070C0"/>
                <w:sz w:val="18"/>
                <w:szCs w:val="14"/>
                <w:highlight w:val="yellow"/>
                <w:lang w:eastAsia="en-GB"/>
              </w:rPr>
            </w:pPr>
            <w:r w:rsidRPr="00192C81">
              <w:rPr>
                <w:rFonts w:ascii="Calibri" w:eastAsia="Times New Roman" w:hAnsi="Calibri" w:cs="Calibri"/>
                <w:color w:val="0070C0"/>
                <w:sz w:val="18"/>
                <w:szCs w:val="14"/>
                <w:lang w:eastAsia="en-GB"/>
              </w:rPr>
              <w:t>V &amp; V</w:t>
            </w:r>
            <w:r w:rsidR="00B51157">
              <w:rPr>
                <w:rFonts w:ascii="Calibri" w:eastAsia="Times New Roman" w:hAnsi="Calibri" w:cs="Calibri"/>
                <w:color w:val="0070C0"/>
                <w:sz w:val="18"/>
                <w:szCs w:val="14"/>
                <w:lang w:eastAsia="en-GB"/>
              </w:rPr>
              <w:t xml:space="preserve"> (Verification &amp; Validation) </w:t>
            </w:r>
            <w:r w:rsidRPr="00192C81">
              <w:rPr>
                <w:rFonts w:ascii="Calibri" w:eastAsia="Times New Roman" w:hAnsi="Calibri" w:cs="Calibri"/>
                <w:color w:val="0070C0"/>
                <w:sz w:val="18"/>
                <w:szCs w:val="14"/>
                <w:lang w:eastAsia="en-GB"/>
              </w:rPr>
              <w:t xml:space="preserve"> Plan</w:t>
            </w:r>
          </w:p>
        </w:tc>
        <w:tc>
          <w:tcPr>
            <w:tcW w:w="1098" w:type="dxa"/>
            <w:tcBorders>
              <w:top w:val="nil"/>
              <w:left w:val="nil"/>
              <w:bottom w:val="single" w:sz="4" w:space="0" w:color="auto"/>
              <w:right w:val="single" w:sz="4" w:space="0" w:color="auto"/>
            </w:tcBorders>
            <w:shd w:val="clear" w:color="auto" w:fill="auto"/>
            <w:noWrap/>
            <w:vAlign w:val="center"/>
          </w:tcPr>
          <w:p w14:paraId="4DC2EAB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NPIE01</w:t>
            </w:r>
          </w:p>
        </w:tc>
        <w:tc>
          <w:tcPr>
            <w:tcW w:w="826" w:type="dxa"/>
            <w:gridSpan w:val="2"/>
            <w:tcBorders>
              <w:top w:val="nil"/>
              <w:left w:val="nil"/>
              <w:bottom w:val="single" w:sz="4" w:space="0" w:color="auto"/>
              <w:right w:val="single" w:sz="4" w:space="0" w:color="auto"/>
            </w:tcBorders>
            <w:shd w:val="clear" w:color="auto" w:fill="DCFADA"/>
            <w:noWrap/>
            <w:vAlign w:val="bottom"/>
          </w:tcPr>
          <w:p w14:paraId="49B418E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DCFADA"/>
            <w:noWrap/>
            <w:vAlign w:val="bottom"/>
          </w:tcPr>
          <w:p w14:paraId="1D2CDB6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6" w:type="dxa"/>
            <w:tcBorders>
              <w:top w:val="nil"/>
              <w:left w:val="nil"/>
              <w:bottom w:val="single" w:sz="4" w:space="0" w:color="auto"/>
              <w:right w:val="single" w:sz="4" w:space="0" w:color="auto"/>
            </w:tcBorders>
            <w:shd w:val="clear" w:color="auto" w:fill="DCFADA"/>
            <w:noWrap/>
            <w:vAlign w:val="bottom"/>
          </w:tcPr>
          <w:p w14:paraId="5CEA6ED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58" w:type="dxa"/>
            <w:tcBorders>
              <w:top w:val="nil"/>
              <w:left w:val="nil"/>
              <w:bottom w:val="single" w:sz="4" w:space="0" w:color="auto"/>
              <w:right w:val="single" w:sz="4" w:space="0" w:color="auto"/>
            </w:tcBorders>
            <w:shd w:val="clear" w:color="auto" w:fill="DCFADA"/>
            <w:noWrap/>
            <w:vAlign w:val="bottom"/>
          </w:tcPr>
          <w:p w14:paraId="28ABE9B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794" w:type="dxa"/>
            <w:tcBorders>
              <w:top w:val="nil"/>
              <w:left w:val="nil"/>
              <w:bottom w:val="single" w:sz="4" w:space="0" w:color="auto"/>
              <w:right w:val="single" w:sz="4" w:space="0" w:color="auto"/>
            </w:tcBorders>
            <w:shd w:val="clear" w:color="auto" w:fill="F8D5D4"/>
            <w:noWrap/>
            <w:vAlign w:val="bottom"/>
          </w:tcPr>
          <w:p w14:paraId="66317AE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1631" w:type="dxa"/>
            <w:tcBorders>
              <w:top w:val="single" w:sz="4" w:space="0" w:color="auto"/>
              <w:left w:val="nil"/>
              <w:bottom w:val="single" w:sz="4" w:space="0" w:color="auto"/>
              <w:right w:val="single" w:sz="4" w:space="0" w:color="auto"/>
            </w:tcBorders>
            <w:shd w:val="clear" w:color="auto" w:fill="BFBFBF"/>
          </w:tcPr>
          <w:p w14:paraId="1345BC74"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929" w:type="dxa"/>
            <w:tcBorders>
              <w:top w:val="single" w:sz="4" w:space="0" w:color="auto"/>
              <w:left w:val="single" w:sz="4" w:space="0" w:color="auto"/>
              <w:bottom w:val="single" w:sz="4" w:space="0" w:color="auto"/>
              <w:right w:val="single" w:sz="4" w:space="0" w:color="auto"/>
            </w:tcBorders>
            <w:shd w:val="clear" w:color="auto" w:fill="FCEDD0"/>
            <w:vAlign w:val="bottom"/>
          </w:tcPr>
          <w:p w14:paraId="755B664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4E6EF40D"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Product Compliance Matrix – SST-DEV-006-02</w:t>
            </w:r>
          </w:p>
        </w:tc>
        <w:tc>
          <w:tcPr>
            <w:tcW w:w="0" w:type="auto"/>
            <w:tcBorders>
              <w:top w:val="nil"/>
              <w:left w:val="nil"/>
              <w:bottom w:val="nil"/>
              <w:right w:val="nil"/>
            </w:tcBorders>
            <w:shd w:val="clear" w:color="auto" w:fill="auto"/>
            <w:noWrap/>
            <w:vAlign w:val="bottom"/>
          </w:tcPr>
          <w:p w14:paraId="11957D27"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652E8885" w14:textId="77777777" w:rsidTr="00CD37AA">
        <w:trPr>
          <w:trHeight w:val="241"/>
        </w:trPr>
        <w:tc>
          <w:tcPr>
            <w:tcW w:w="229" w:type="dxa"/>
            <w:tcBorders>
              <w:top w:val="nil"/>
              <w:left w:val="nil"/>
              <w:bottom w:val="nil"/>
              <w:right w:val="nil"/>
            </w:tcBorders>
            <w:shd w:val="clear" w:color="auto" w:fill="auto"/>
            <w:noWrap/>
            <w:vAlign w:val="bottom"/>
            <w:hideMark/>
          </w:tcPr>
          <w:p w14:paraId="21E9BB92"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1ECD907B" w14:textId="2B03AEE7" w:rsidR="000A7943" w:rsidRPr="00192C81" w:rsidRDefault="000A7943" w:rsidP="00CD37AA">
            <w:pPr>
              <w:spacing w:after="0" w:line="240" w:lineRule="auto"/>
              <w:rPr>
                <w:rFonts w:ascii="Calibri" w:eastAsia="Times New Roman" w:hAnsi="Calibri" w:cs="Calibri"/>
                <w:color w:val="0070C0"/>
                <w:sz w:val="18"/>
                <w:szCs w:val="14"/>
                <w:highlight w:val="yellow"/>
                <w:lang w:eastAsia="en-GB"/>
              </w:rPr>
            </w:pPr>
            <w:r w:rsidRPr="00192C81">
              <w:rPr>
                <w:rFonts w:ascii="Calibri" w:eastAsia="Times New Roman" w:hAnsi="Calibri" w:cs="Calibri"/>
                <w:color w:val="0070C0"/>
                <w:sz w:val="18"/>
                <w:szCs w:val="14"/>
                <w:lang w:eastAsia="en-GB"/>
              </w:rPr>
              <w:t>DFMEA</w:t>
            </w:r>
            <w:r w:rsidR="00B51157">
              <w:rPr>
                <w:rFonts w:ascii="Calibri" w:eastAsia="Times New Roman" w:hAnsi="Calibri" w:cs="Calibri"/>
                <w:color w:val="0070C0"/>
                <w:sz w:val="18"/>
                <w:szCs w:val="14"/>
                <w:lang w:eastAsia="en-GB"/>
              </w:rPr>
              <w:t xml:space="preserve"> (Design Failure Mode Effect Analysis)</w:t>
            </w:r>
          </w:p>
        </w:tc>
        <w:tc>
          <w:tcPr>
            <w:tcW w:w="1098" w:type="dxa"/>
            <w:tcBorders>
              <w:top w:val="nil"/>
              <w:left w:val="nil"/>
              <w:bottom w:val="single" w:sz="4" w:space="0" w:color="auto"/>
              <w:right w:val="single" w:sz="4" w:space="0" w:color="auto"/>
            </w:tcBorders>
            <w:shd w:val="clear" w:color="auto" w:fill="auto"/>
            <w:noWrap/>
            <w:vAlign w:val="center"/>
          </w:tcPr>
          <w:p w14:paraId="4F2C7A4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NPIE01/W22</w:t>
            </w:r>
          </w:p>
        </w:tc>
        <w:tc>
          <w:tcPr>
            <w:tcW w:w="826" w:type="dxa"/>
            <w:gridSpan w:val="2"/>
            <w:tcBorders>
              <w:top w:val="nil"/>
              <w:left w:val="nil"/>
              <w:bottom w:val="single" w:sz="4" w:space="0" w:color="auto"/>
              <w:right w:val="single" w:sz="4" w:space="0" w:color="auto"/>
            </w:tcBorders>
            <w:shd w:val="clear" w:color="auto" w:fill="FCEDD0"/>
            <w:noWrap/>
            <w:vAlign w:val="bottom"/>
          </w:tcPr>
          <w:p w14:paraId="785AD29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FCEDD0"/>
            <w:noWrap/>
            <w:vAlign w:val="bottom"/>
          </w:tcPr>
          <w:p w14:paraId="4F4E204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FCEDD0"/>
            <w:noWrap/>
            <w:vAlign w:val="bottom"/>
          </w:tcPr>
          <w:p w14:paraId="0338546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58" w:type="dxa"/>
            <w:tcBorders>
              <w:top w:val="nil"/>
              <w:left w:val="nil"/>
              <w:bottom w:val="single" w:sz="4" w:space="0" w:color="auto"/>
              <w:right w:val="single" w:sz="4" w:space="0" w:color="auto"/>
            </w:tcBorders>
            <w:shd w:val="clear" w:color="auto" w:fill="FCEDD0"/>
            <w:noWrap/>
            <w:vAlign w:val="bottom"/>
          </w:tcPr>
          <w:p w14:paraId="2309BCE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8D5D4"/>
            <w:noWrap/>
            <w:vAlign w:val="bottom"/>
          </w:tcPr>
          <w:p w14:paraId="47A064C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1631" w:type="dxa"/>
            <w:tcBorders>
              <w:top w:val="single" w:sz="4" w:space="0" w:color="auto"/>
              <w:left w:val="nil"/>
              <w:bottom w:val="single" w:sz="4" w:space="0" w:color="auto"/>
              <w:right w:val="single" w:sz="4" w:space="0" w:color="auto"/>
            </w:tcBorders>
            <w:shd w:val="clear" w:color="auto" w:fill="FCEDD0"/>
          </w:tcPr>
          <w:p w14:paraId="6F45F622"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6A00752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2E9A59B7"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DFMEA - NPIE01/F29</w:t>
            </w:r>
          </w:p>
        </w:tc>
        <w:tc>
          <w:tcPr>
            <w:tcW w:w="0" w:type="auto"/>
            <w:tcBorders>
              <w:top w:val="nil"/>
              <w:left w:val="nil"/>
              <w:bottom w:val="nil"/>
              <w:right w:val="nil"/>
            </w:tcBorders>
            <w:shd w:val="clear" w:color="auto" w:fill="auto"/>
            <w:noWrap/>
            <w:vAlign w:val="bottom"/>
            <w:hideMark/>
          </w:tcPr>
          <w:p w14:paraId="72709C7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130A5C39" w14:textId="77777777" w:rsidTr="00CD37AA">
        <w:trPr>
          <w:trHeight w:val="260"/>
        </w:trPr>
        <w:tc>
          <w:tcPr>
            <w:tcW w:w="229" w:type="dxa"/>
            <w:tcBorders>
              <w:top w:val="nil"/>
              <w:left w:val="nil"/>
              <w:bottom w:val="nil"/>
              <w:right w:val="nil"/>
            </w:tcBorders>
            <w:shd w:val="clear" w:color="auto" w:fill="auto"/>
            <w:noWrap/>
            <w:vAlign w:val="bottom"/>
            <w:hideMark/>
          </w:tcPr>
          <w:p w14:paraId="45383EB1" w14:textId="77777777" w:rsidR="000A7943" w:rsidRPr="00192C81" w:rsidRDefault="000A7943" w:rsidP="000A7943">
            <w:pPr>
              <w:spacing w:after="0" w:line="240" w:lineRule="auto"/>
              <w:jc w:val="both"/>
              <w:rPr>
                <w:rFonts w:ascii="Calibri" w:eastAsia="Times New Roman" w:hAnsi="Calibri" w:cs="Calibri"/>
                <w:color w:val="000000"/>
                <w:highlight w:val="yellow"/>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19C9E71E" w14:textId="04460CEB"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 xml:space="preserve">Product KC </w:t>
            </w:r>
            <w:r w:rsidR="00B573B3">
              <w:rPr>
                <w:rFonts w:ascii="Calibri" w:eastAsia="Times New Roman" w:hAnsi="Calibri" w:cs="Calibri"/>
                <w:color w:val="0070C0"/>
                <w:sz w:val="18"/>
                <w:szCs w:val="14"/>
                <w:lang w:eastAsia="en-GB"/>
              </w:rPr>
              <w:t xml:space="preserve">(Key Characteristics) </w:t>
            </w:r>
            <w:r w:rsidRPr="00192C81">
              <w:rPr>
                <w:rFonts w:ascii="Calibri" w:eastAsia="Times New Roman" w:hAnsi="Calibri" w:cs="Calibri"/>
                <w:color w:val="0070C0"/>
                <w:sz w:val="18"/>
                <w:szCs w:val="14"/>
                <w:lang w:eastAsia="en-GB"/>
              </w:rPr>
              <w:t>List (Internal)</w:t>
            </w:r>
          </w:p>
        </w:tc>
        <w:tc>
          <w:tcPr>
            <w:tcW w:w="1098" w:type="dxa"/>
            <w:tcBorders>
              <w:top w:val="nil"/>
              <w:left w:val="nil"/>
              <w:bottom w:val="single" w:sz="4" w:space="0" w:color="auto"/>
              <w:right w:val="single" w:sz="4" w:space="0" w:color="auto"/>
            </w:tcBorders>
            <w:shd w:val="clear" w:color="auto" w:fill="auto"/>
            <w:noWrap/>
            <w:vAlign w:val="center"/>
          </w:tcPr>
          <w:p w14:paraId="71B4231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NPIE01/W23</w:t>
            </w:r>
          </w:p>
        </w:tc>
        <w:tc>
          <w:tcPr>
            <w:tcW w:w="826" w:type="dxa"/>
            <w:gridSpan w:val="2"/>
            <w:tcBorders>
              <w:top w:val="nil"/>
              <w:left w:val="nil"/>
              <w:bottom w:val="single" w:sz="4" w:space="0" w:color="auto"/>
              <w:right w:val="single" w:sz="4" w:space="0" w:color="auto"/>
            </w:tcBorders>
            <w:shd w:val="clear" w:color="auto" w:fill="DCFADA"/>
            <w:noWrap/>
            <w:vAlign w:val="bottom"/>
          </w:tcPr>
          <w:p w14:paraId="26B233B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DCFADA"/>
            <w:noWrap/>
            <w:vAlign w:val="bottom"/>
          </w:tcPr>
          <w:p w14:paraId="1D76ED1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6" w:type="dxa"/>
            <w:tcBorders>
              <w:top w:val="nil"/>
              <w:left w:val="nil"/>
              <w:bottom w:val="single" w:sz="4" w:space="0" w:color="auto"/>
              <w:right w:val="single" w:sz="4" w:space="0" w:color="auto"/>
            </w:tcBorders>
            <w:shd w:val="clear" w:color="auto" w:fill="BFBFBF"/>
            <w:noWrap/>
            <w:vAlign w:val="bottom"/>
          </w:tcPr>
          <w:p w14:paraId="76725DA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1C7EADE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8D5D4"/>
            <w:noWrap/>
            <w:vAlign w:val="bottom"/>
          </w:tcPr>
          <w:p w14:paraId="42E2244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1631" w:type="dxa"/>
            <w:tcBorders>
              <w:top w:val="single" w:sz="4" w:space="0" w:color="auto"/>
              <w:left w:val="nil"/>
              <w:bottom w:val="single" w:sz="4" w:space="0" w:color="auto"/>
              <w:right w:val="single" w:sz="4" w:space="0" w:color="auto"/>
            </w:tcBorders>
            <w:shd w:val="clear" w:color="auto" w:fill="DCFADA"/>
          </w:tcPr>
          <w:p w14:paraId="789580F7"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1A817C2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4844705"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KC List - NPIE01/F133</w:t>
            </w:r>
          </w:p>
        </w:tc>
        <w:tc>
          <w:tcPr>
            <w:tcW w:w="0" w:type="auto"/>
            <w:tcBorders>
              <w:top w:val="nil"/>
              <w:left w:val="nil"/>
              <w:bottom w:val="nil"/>
              <w:right w:val="nil"/>
            </w:tcBorders>
            <w:shd w:val="clear" w:color="auto" w:fill="auto"/>
            <w:noWrap/>
            <w:vAlign w:val="bottom"/>
            <w:hideMark/>
          </w:tcPr>
          <w:p w14:paraId="11A571C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50E3369F" w14:textId="77777777" w:rsidTr="00CD37AA">
        <w:trPr>
          <w:trHeight w:val="267"/>
        </w:trPr>
        <w:tc>
          <w:tcPr>
            <w:tcW w:w="229" w:type="dxa"/>
            <w:tcBorders>
              <w:top w:val="nil"/>
              <w:left w:val="nil"/>
              <w:bottom w:val="nil"/>
              <w:right w:val="nil"/>
            </w:tcBorders>
            <w:shd w:val="clear" w:color="auto" w:fill="auto"/>
            <w:noWrap/>
            <w:vAlign w:val="bottom"/>
          </w:tcPr>
          <w:p w14:paraId="0F80BF64"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593B1A25" w14:textId="655DEA59"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Product KC</w:t>
            </w:r>
            <w:r w:rsidR="00B573B3">
              <w:rPr>
                <w:rFonts w:ascii="Calibri" w:eastAsia="Times New Roman" w:hAnsi="Calibri" w:cs="Calibri"/>
                <w:color w:val="0070C0"/>
                <w:sz w:val="18"/>
                <w:szCs w:val="14"/>
                <w:lang w:eastAsia="en-GB"/>
              </w:rPr>
              <w:t xml:space="preserve"> (Key Characteristics) </w:t>
            </w:r>
            <w:r w:rsidRPr="00192C81">
              <w:rPr>
                <w:rFonts w:ascii="Calibri" w:eastAsia="Times New Roman" w:hAnsi="Calibri" w:cs="Calibri"/>
                <w:color w:val="0070C0"/>
                <w:sz w:val="18"/>
                <w:szCs w:val="14"/>
                <w:lang w:eastAsia="en-GB"/>
              </w:rPr>
              <w:t xml:space="preserve"> List (Supplier)</w:t>
            </w:r>
          </w:p>
        </w:tc>
        <w:tc>
          <w:tcPr>
            <w:tcW w:w="1098" w:type="dxa"/>
            <w:tcBorders>
              <w:top w:val="nil"/>
              <w:left w:val="nil"/>
              <w:bottom w:val="single" w:sz="4" w:space="0" w:color="auto"/>
              <w:right w:val="single" w:sz="4" w:space="0" w:color="auto"/>
            </w:tcBorders>
            <w:shd w:val="clear" w:color="auto" w:fill="auto"/>
            <w:noWrap/>
            <w:vAlign w:val="center"/>
          </w:tcPr>
          <w:p w14:paraId="4B66EDD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GRP-0087</w:t>
            </w:r>
          </w:p>
        </w:tc>
        <w:tc>
          <w:tcPr>
            <w:tcW w:w="826" w:type="dxa"/>
            <w:gridSpan w:val="2"/>
            <w:tcBorders>
              <w:top w:val="nil"/>
              <w:left w:val="nil"/>
              <w:bottom w:val="single" w:sz="4" w:space="0" w:color="auto"/>
              <w:right w:val="single" w:sz="4" w:space="0" w:color="auto"/>
            </w:tcBorders>
            <w:shd w:val="clear" w:color="auto" w:fill="DCFADA"/>
            <w:noWrap/>
            <w:vAlign w:val="bottom"/>
          </w:tcPr>
          <w:p w14:paraId="46BEEFE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26063D7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F8D5D4"/>
            <w:noWrap/>
            <w:vAlign w:val="bottom"/>
          </w:tcPr>
          <w:p w14:paraId="5871FD0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58" w:type="dxa"/>
            <w:tcBorders>
              <w:top w:val="nil"/>
              <w:left w:val="nil"/>
              <w:bottom w:val="single" w:sz="4" w:space="0" w:color="auto"/>
              <w:right w:val="single" w:sz="4" w:space="0" w:color="auto"/>
            </w:tcBorders>
            <w:shd w:val="clear" w:color="auto" w:fill="BFBFBF"/>
            <w:noWrap/>
            <w:vAlign w:val="bottom"/>
          </w:tcPr>
          <w:p w14:paraId="2805428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794" w:type="dxa"/>
            <w:tcBorders>
              <w:top w:val="nil"/>
              <w:left w:val="nil"/>
              <w:bottom w:val="single" w:sz="4" w:space="0" w:color="auto"/>
              <w:right w:val="single" w:sz="4" w:space="0" w:color="auto"/>
            </w:tcBorders>
            <w:shd w:val="clear" w:color="auto" w:fill="FCEDD0"/>
            <w:noWrap/>
            <w:vAlign w:val="bottom"/>
          </w:tcPr>
          <w:p w14:paraId="6CD6CD7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BFBFBF"/>
          </w:tcPr>
          <w:p w14:paraId="07967CC6"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333D605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54A4D998"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DVI-PPAP Form – GRP-0041</w:t>
            </w:r>
          </w:p>
        </w:tc>
        <w:tc>
          <w:tcPr>
            <w:tcW w:w="0" w:type="auto"/>
            <w:tcBorders>
              <w:top w:val="nil"/>
              <w:left w:val="nil"/>
              <w:bottom w:val="nil"/>
              <w:right w:val="nil"/>
            </w:tcBorders>
            <w:shd w:val="clear" w:color="auto" w:fill="auto"/>
            <w:noWrap/>
            <w:vAlign w:val="bottom"/>
          </w:tcPr>
          <w:p w14:paraId="533C71B6"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65457846" w14:textId="77777777" w:rsidTr="00CD37AA">
        <w:trPr>
          <w:trHeight w:val="267"/>
        </w:trPr>
        <w:tc>
          <w:tcPr>
            <w:tcW w:w="229" w:type="dxa"/>
            <w:tcBorders>
              <w:top w:val="nil"/>
              <w:left w:val="nil"/>
              <w:bottom w:val="nil"/>
              <w:right w:val="nil"/>
            </w:tcBorders>
            <w:shd w:val="clear" w:color="auto" w:fill="auto"/>
            <w:noWrap/>
            <w:vAlign w:val="bottom"/>
            <w:hideMark/>
          </w:tcPr>
          <w:p w14:paraId="37B353FE"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75AA1621" w14:textId="2FA7A1BC"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DFMA</w:t>
            </w:r>
            <w:r w:rsidR="00B51157">
              <w:rPr>
                <w:rFonts w:ascii="Calibri" w:eastAsia="Times New Roman" w:hAnsi="Calibri" w:cs="Calibri"/>
                <w:color w:val="0070C0"/>
                <w:sz w:val="18"/>
                <w:szCs w:val="14"/>
                <w:lang w:eastAsia="en-GB"/>
              </w:rPr>
              <w:t xml:space="preserve"> (Design For Manufacturing &amp; Assembly)</w:t>
            </w:r>
          </w:p>
        </w:tc>
        <w:tc>
          <w:tcPr>
            <w:tcW w:w="1098" w:type="dxa"/>
            <w:tcBorders>
              <w:top w:val="nil"/>
              <w:left w:val="nil"/>
              <w:bottom w:val="single" w:sz="4" w:space="0" w:color="auto"/>
              <w:right w:val="single" w:sz="4" w:space="0" w:color="auto"/>
            </w:tcBorders>
            <w:shd w:val="clear" w:color="auto" w:fill="auto"/>
            <w:noWrap/>
            <w:vAlign w:val="center"/>
          </w:tcPr>
          <w:p w14:paraId="191FEE8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t>
            </w:r>
          </w:p>
        </w:tc>
        <w:tc>
          <w:tcPr>
            <w:tcW w:w="826" w:type="dxa"/>
            <w:gridSpan w:val="2"/>
            <w:tcBorders>
              <w:top w:val="nil"/>
              <w:left w:val="nil"/>
              <w:bottom w:val="single" w:sz="4" w:space="0" w:color="auto"/>
              <w:right w:val="single" w:sz="4" w:space="0" w:color="auto"/>
            </w:tcBorders>
            <w:shd w:val="clear" w:color="auto" w:fill="BFBFBF"/>
            <w:noWrap/>
            <w:vAlign w:val="bottom"/>
          </w:tcPr>
          <w:p w14:paraId="790F1C6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27" w:type="dxa"/>
            <w:tcBorders>
              <w:top w:val="nil"/>
              <w:left w:val="nil"/>
              <w:bottom w:val="single" w:sz="4" w:space="0" w:color="auto"/>
              <w:right w:val="single" w:sz="4" w:space="0" w:color="auto"/>
            </w:tcBorders>
            <w:shd w:val="clear" w:color="auto" w:fill="FCEDD0"/>
            <w:noWrap/>
            <w:vAlign w:val="bottom"/>
          </w:tcPr>
          <w:p w14:paraId="53C1169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318DB9F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2524EBC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FCEDD0"/>
            <w:noWrap/>
            <w:vAlign w:val="bottom"/>
          </w:tcPr>
          <w:p w14:paraId="147665C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1D2C0C8B"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3DE9E44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50E7189C"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Digital Build Review - NPII01/F04 &amp; F05</w:t>
            </w:r>
          </w:p>
        </w:tc>
        <w:tc>
          <w:tcPr>
            <w:tcW w:w="0" w:type="auto"/>
            <w:tcBorders>
              <w:top w:val="nil"/>
              <w:left w:val="nil"/>
              <w:bottom w:val="nil"/>
              <w:right w:val="nil"/>
            </w:tcBorders>
            <w:shd w:val="clear" w:color="auto" w:fill="auto"/>
            <w:noWrap/>
            <w:vAlign w:val="bottom"/>
            <w:hideMark/>
          </w:tcPr>
          <w:p w14:paraId="4CA807F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74E7283B" w14:textId="77777777" w:rsidTr="00CD37AA">
        <w:trPr>
          <w:trHeight w:val="259"/>
        </w:trPr>
        <w:tc>
          <w:tcPr>
            <w:tcW w:w="229" w:type="dxa"/>
            <w:tcBorders>
              <w:top w:val="nil"/>
              <w:left w:val="nil"/>
              <w:bottom w:val="nil"/>
              <w:right w:val="nil"/>
            </w:tcBorders>
            <w:shd w:val="clear" w:color="auto" w:fill="auto"/>
            <w:noWrap/>
            <w:vAlign w:val="bottom"/>
            <w:hideMark/>
          </w:tcPr>
          <w:p w14:paraId="3523F976"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4025EA26"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Packaging Plan</w:t>
            </w:r>
          </w:p>
        </w:tc>
        <w:tc>
          <w:tcPr>
            <w:tcW w:w="1098" w:type="dxa"/>
            <w:tcBorders>
              <w:top w:val="nil"/>
              <w:left w:val="nil"/>
              <w:bottom w:val="single" w:sz="4" w:space="0" w:color="auto"/>
              <w:right w:val="single" w:sz="4" w:space="0" w:color="auto"/>
            </w:tcBorders>
            <w:shd w:val="clear" w:color="auto" w:fill="auto"/>
            <w:noWrap/>
            <w:vAlign w:val="center"/>
          </w:tcPr>
          <w:p w14:paraId="09949C2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t>
            </w:r>
          </w:p>
        </w:tc>
        <w:tc>
          <w:tcPr>
            <w:tcW w:w="826" w:type="dxa"/>
            <w:gridSpan w:val="2"/>
            <w:tcBorders>
              <w:top w:val="nil"/>
              <w:left w:val="nil"/>
              <w:bottom w:val="single" w:sz="4" w:space="0" w:color="auto"/>
              <w:right w:val="single" w:sz="4" w:space="0" w:color="auto"/>
            </w:tcBorders>
            <w:shd w:val="clear" w:color="auto" w:fill="DCFADA"/>
            <w:noWrap/>
            <w:vAlign w:val="bottom"/>
          </w:tcPr>
          <w:p w14:paraId="25386B8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0081D33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0F90AF2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vAlign w:val="bottom"/>
          </w:tcPr>
          <w:p w14:paraId="3C9C8AFE"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FCEDD0"/>
            <w:vAlign w:val="bottom"/>
          </w:tcPr>
          <w:p w14:paraId="5C8D021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2896C770"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DCFADA"/>
            <w:vAlign w:val="bottom"/>
          </w:tcPr>
          <w:p w14:paraId="3B6DD04E"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EDD1826"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Packaging Specification Template - NPII01/F18</w:t>
            </w:r>
          </w:p>
        </w:tc>
        <w:tc>
          <w:tcPr>
            <w:tcW w:w="0" w:type="auto"/>
            <w:tcBorders>
              <w:top w:val="nil"/>
              <w:left w:val="nil"/>
              <w:bottom w:val="nil"/>
              <w:right w:val="nil"/>
            </w:tcBorders>
            <w:shd w:val="clear" w:color="auto" w:fill="auto"/>
            <w:noWrap/>
            <w:vAlign w:val="bottom"/>
            <w:hideMark/>
          </w:tcPr>
          <w:p w14:paraId="02F46584"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46503FA7" w14:textId="77777777" w:rsidTr="00CD37AA">
        <w:trPr>
          <w:trHeight w:val="294"/>
        </w:trPr>
        <w:tc>
          <w:tcPr>
            <w:tcW w:w="229" w:type="dxa"/>
            <w:tcBorders>
              <w:top w:val="nil"/>
              <w:left w:val="nil"/>
              <w:bottom w:val="nil"/>
              <w:right w:val="nil"/>
            </w:tcBorders>
            <w:shd w:val="clear" w:color="auto" w:fill="auto"/>
            <w:noWrap/>
            <w:vAlign w:val="bottom"/>
            <w:hideMark/>
          </w:tcPr>
          <w:p w14:paraId="62FF50E0"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77CE9270"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Process Flow Diagram</w:t>
            </w:r>
          </w:p>
        </w:tc>
        <w:tc>
          <w:tcPr>
            <w:tcW w:w="1098" w:type="dxa"/>
            <w:tcBorders>
              <w:top w:val="nil"/>
              <w:left w:val="nil"/>
              <w:bottom w:val="single" w:sz="4" w:space="0" w:color="auto"/>
              <w:right w:val="single" w:sz="4" w:space="0" w:color="auto"/>
            </w:tcBorders>
            <w:shd w:val="clear" w:color="auto" w:fill="auto"/>
            <w:noWrap/>
            <w:vAlign w:val="center"/>
          </w:tcPr>
          <w:p w14:paraId="4AD4D69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t>
            </w:r>
          </w:p>
        </w:tc>
        <w:tc>
          <w:tcPr>
            <w:tcW w:w="826" w:type="dxa"/>
            <w:gridSpan w:val="2"/>
            <w:tcBorders>
              <w:top w:val="nil"/>
              <w:left w:val="nil"/>
              <w:bottom w:val="single" w:sz="4" w:space="0" w:color="auto"/>
              <w:right w:val="single" w:sz="4" w:space="0" w:color="auto"/>
            </w:tcBorders>
            <w:shd w:val="clear" w:color="auto" w:fill="DCFADA"/>
            <w:noWrap/>
            <w:vAlign w:val="bottom"/>
          </w:tcPr>
          <w:p w14:paraId="6238202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1E36BA8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349ED3F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4C376FE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DCFADA"/>
            <w:noWrap/>
            <w:vAlign w:val="bottom"/>
          </w:tcPr>
          <w:p w14:paraId="05CD708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FCEDD0"/>
          </w:tcPr>
          <w:p w14:paraId="3561A815"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7E79EF5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26DFC1E9"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Assembly Process Flow Template - NPII01/F07</w:t>
            </w:r>
          </w:p>
        </w:tc>
        <w:tc>
          <w:tcPr>
            <w:tcW w:w="0" w:type="auto"/>
            <w:tcBorders>
              <w:top w:val="nil"/>
              <w:left w:val="nil"/>
              <w:bottom w:val="nil"/>
              <w:right w:val="nil"/>
            </w:tcBorders>
            <w:shd w:val="clear" w:color="auto" w:fill="auto"/>
            <w:noWrap/>
            <w:vAlign w:val="bottom"/>
            <w:hideMark/>
          </w:tcPr>
          <w:p w14:paraId="711ED14C"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224C160D" w14:textId="77777777" w:rsidTr="00CD37AA">
        <w:trPr>
          <w:trHeight w:val="289"/>
        </w:trPr>
        <w:tc>
          <w:tcPr>
            <w:tcW w:w="229" w:type="dxa"/>
            <w:tcBorders>
              <w:top w:val="nil"/>
              <w:left w:val="nil"/>
              <w:bottom w:val="nil"/>
              <w:right w:val="nil"/>
            </w:tcBorders>
            <w:shd w:val="clear" w:color="auto" w:fill="auto"/>
            <w:noWrap/>
            <w:vAlign w:val="bottom"/>
            <w:hideMark/>
          </w:tcPr>
          <w:p w14:paraId="0FA6CB0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0CC696F8"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Floor Plan Layout</w:t>
            </w:r>
          </w:p>
        </w:tc>
        <w:tc>
          <w:tcPr>
            <w:tcW w:w="1098" w:type="dxa"/>
            <w:tcBorders>
              <w:top w:val="nil"/>
              <w:left w:val="nil"/>
              <w:bottom w:val="single" w:sz="4" w:space="0" w:color="auto"/>
              <w:right w:val="single" w:sz="4" w:space="0" w:color="auto"/>
            </w:tcBorders>
            <w:shd w:val="clear" w:color="auto" w:fill="auto"/>
            <w:noWrap/>
            <w:vAlign w:val="center"/>
          </w:tcPr>
          <w:p w14:paraId="399A650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DCFADA"/>
            <w:noWrap/>
            <w:vAlign w:val="bottom"/>
          </w:tcPr>
          <w:p w14:paraId="7321F16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78375AB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7EA08F1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709DAF5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BFBFBF"/>
            <w:noWrap/>
            <w:vAlign w:val="bottom"/>
          </w:tcPr>
          <w:p w14:paraId="6C5C2B3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F8D5D4"/>
          </w:tcPr>
          <w:p w14:paraId="26F2C702"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4AC94C1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27795A03"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hideMark/>
          </w:tcPr>
          <w:p w14:paraId="757EF363"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726E2829" w14:textId="77777777" w:rsidTr="00CD37AA">
        <w:trPr>
          <w:trHeight w:val="304"/>
        </w:trPr>
        <w:tc>
          <w:tcPr>
            <w:tcW w:w="229" w:type="dxa"/>
            <w:tcBorders>
              <w:top w:val="nil"/>
              <w:left w:val="nil"/>
              <w:bottom w:val="nil"/>
              <w:right w:val="nil"/>
            </w:tcBorders>
            <w:shd w:val="clear" w:color="auto" w:fill="auto"/>
            <w:noWrap/>
            <w:vAlign w:val="bottom"/>
            <w:hideMark/>
          </w:tcPr>
          <w:p w14:paraId="5BF6B894"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2313E706" w14:textId="6FC21002"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 xml:space="preserve">MSA </w:t>
            </w:r>
            <w:r w:rsidR="00B573B3">
              <w:rPr>
                <w:rFonts w:ascii="Calibri" w:eastAsia="Times New Roman" w:hAnsi="Calibri" w:cs="Calibri"/>
                <w:color w:val="0070C0"/>
                <w:sz w:val="18"/>
                <w:szCs w:val="14"/>
                <w:lang w:eastAsia="en-GB"/>
              </w:rPr>
              <w:t xml:space="preserve">(Measurement System Analysis) </w:t>
            </w:r>
            <w:r w:rsidRPr="00192C81">
              <w:rPr>
                <w:rFonts w:ascii="Calibri" w:eastAsia="Times New Roman" w:hAnsi="Calibri" w:cs="Calibri"/>
                <w:color w:val="0070C0"/>
                <w:sz w:val="18"/>
                <w:szCs w:val="14"/>
                <w:lang w:eastAsia="en-GB"/>
              </w:rPr>
              <w:t>Plan</w:t>
            </w:r>
          </w:p>
        </w:tc>
        <w:tc>
          <w:tcPr>
            <w:tcW w:w="1098" w:type="dxa"/>
            <w:tcBorders>
              <w:top w:val="nil"/>
              <w:left w:val="nil"/>
              <w:bottom w:val="single" w:sz="4" w:space="0" w:color="auto"/>
              <w:right w:val="single" w:sz="4" w:space="0" w:color="auto"/>
            </w:tcBorders>
            <w:shd w:val="clear" w:color="auto" w:fill="auto"/>
            <w:noWrap/>
            <w:vAlign w:val="center"/>
          </w:tcPr>
          <w:p w14:paraId="4D92A22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BFBFBF"/>
            <w:noWrap/>
            <w:vAlign w:val="bottom"/>
          </w:tcPr>
          <w:p w14:paraId="0D647FC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27" w:type="dxa"/>
            <w:tcBorders>
              <w:top w:val="nil"/>
              <w:left w:val="nil"/>
              <w:bottom w:val="single" w:sz="4" w:space="0" w:color="auto"/>
              <w:right w:val="single" w:sz="4" w:space="0" w:color="auto"/>
            </w:tcBorders>
            <w:shd w:val="clear" w:color="auto" w:fill="F8D5D4"/>
            <w:noWrap/>
            <w:vAlign w:val="bottom"/>
          </w:tcPr>
          <w:p w14:paraId="6385B5B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6" w:type="dxa"/>
            <w:tcBorders>
              <w:top w:val="nil"/>
              <w:left w:val="nil"/>
              <w:bottom w:val="single" w:sz="4" w:space="0" w:color="auto"/>
              <w:right w:val="single" w:sz="4" w:space="0" w:color="auto"/>
            </w:tcBorders>
            <w:shd w:val="clear" w:color="auto" w:fill="BFBFBF"/>
            <w:noWrap/>
            <w:vAlign w:val="bottom"/>
          </w:tcPr>
          <w:p w14:paraId="1B9882C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44DDAB3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BFBFBF"/>
            <w:noWrap/>
            <w:vAlign w:val="bottom"/>
          </w:tcPr>
          <w:p w14:paraId="06FF1DA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DCFADA"/>
          </w:tcPr>
          <w:p w14:paraId="04223983"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30050AE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4C7F9E6D"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hideMark/>
          </w:tcPr>
          <w:p w14:paraId="56ED8E0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051B4C6A" w14:textId="77777777" w:rsidTr="00CD37AA">
        <w:trPr>
          <w:trHeight w:val="269"/>
        </w:trPr>
        <w:tc>
          <w:tcPr>
            <w:tcW w:w="229" w:type="dxa"/>
            <w:tcBorders>
              <w:top w:val="nil"/>
              <w:left w:val="nil"/>
              <w:bottom w:val="nil"/>
              <w:right w:val="nil"/>
            </w:tcBorders>
            <w:shd w:val="clear" w:color="auto" w:fill="auto"/>
            <w:noWrap/>
            <w:vAlign w:val="bottom"/>
            <w:hideMark/>
          </w:tcPr>
          <w:p w14:paraId="07079EA4"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4A5DA2DD" w14:textId="4FD1E7AF" w:rsidR="000A7943" w:rsidRPr="00192C81" w:rsidRDefault="000A7943" w:rsidP="000A7943">
            <w:pPr>
              <w:spacing w:after="0" w:line="240" w:lineRule="auto"/>
              <w:rPr>
                <w:rFonts w:ascii="Calibri" w:eastAsia="Times New Roman" w:hAnsi="Calibri" w:cs="Calibri"/>
                <w:color w:val="0070C0"/>
                <w:sz w:val="18"/>
                <w:szCs w:val="14"/>
                <w:highlight w:val="yellow"/>
                <w:lang w:eastAsia="en-GB"/>
              </w:rPr>
            </w:pPr>
            <w:r w:rsidRPr="00192C81">
              <w:rPr>
                <w:rFonts w:ascii="Calibri" w:eastAsia="Times New Roman" w:hAnsi="Calibri" w:cs="Calibri"/>
                <w:color w:val="0070C0"/>
                <w:sz w:val="18"/>
                <w:szCs w:val="14"/>
                <w:lang w:eastAsia="en-GB"/>
              </w:rPr>
              <w:t>PFMEA</w:t>
            </w:r>
            <w:r w:rsidR="00B573B3">
              <w:rPr>
                <w:rFonts w:ascii="Calibri" w:eastAsia="Times New Roman" w:hAnsi="Calibri" w:cs="Calibri"/>
                <w:color w:val="0070C0"/>
                <w:sz w:val="18"/>
                <w:szCs w:val="14"/>
                <w:lang w:eastAsia="en-GB"/>
              </w:rPr>
              <w:t xml:space="preserve"> (Product Failure Mode Effect Analysis)</w:t>
            </w:r>
          </w:p>
        </w:tc>
        <w:tc>
          <w:tcPr>
            <w:tcW w:w="1098" w:type="dxa"/>
            <w:tcBorders>
              <w:top w:val="nil"/>
              <w:left w:val="nil"/>
              <w:bottom w:val="single" w:sz="4" w:space="0" w:color="auto"/>
              <w:right w:val="single" w:sz="4" w:space="0" w:color="auto"/>
            </w:tcBorders>
            <w:shd w:val="clear" w:color="auto" w:fill="auto"/>
            <w:noWrap/>
            <w:vAlign w:val="center"/>
          </w:tcPr>
          <w:p w14:paraId="053DD55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NPII01/W02</w:t>
            </w:r>
          </w:p>
        </w:tc>
        <w:tc>
          <w:tcPr>
            <w:tcW w:w="826" w:type="dxa"/>
            <w:gridSpan w:val="2"/>
            <w:tcBorders>
              <w:top w:val="nil"/>
              <w:left w:val="nil"/>
              <w:bottom w:val="single" w:sz="4" w:space="0" w:color="auto"/>
              <w:right w:val="single" w:sz="4" w:space="0" w:color="auto"/>
            </w:tcBorders>
            <w:shd w:val="clear" w:color="auto" w:fill="DCFADA"/>
            <w:noWrap/>
            <w:vAlign w:val="bottom"/>
          </w:tcPr>
          <w:p w14:paraId="302E81B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0333F14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vAlign w:val="bottom"/>
          </w:tcPr>
          <w:p w14:paraId="7ABCCEF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vAlign w:val="bottom"/>
          </w:tcPr>
          <w:p w14:paraId="385BE7B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FCEDD0"/>
            <w:noWrap/>
            <w:vAlign w:val="bottom"/>
          </w:tcPr>
          <w:p w14:paraId="38D450A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44282C2E"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5433BC0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5FC2024E"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PFMEA - NPII01/F23</w:t>
            </w:r>
          </w:p>
        </w:tc>
        <w:tc>
          <w:tcPr>
            <w:tcW w:w="0" w:type="auto"/>
            <w:tcBorders>
              <w:top w:val="nil"/>
              <w:left w:val="nil"/>
              <w:bottom w:val="nil"/>
              <w:right w:val="nil"/>
            </w:tcBorders>
            <w:shd w:val="clear" w:color="auto" w:fill="auto"/>
            <w:noWrap/>
            <w:vAlign w:val="bottom"/>
            <w:hideMark/>
          </w:tcPr>
          <w:p w14:paraId="30DF646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015EF00A" w14:textId="77777777" w:rsidTr="00CD37AA">
        <w:trPr>
          <w:trHeight w:val="289"/>
        </w:trPr>
        <w:tc>
          <w:tcPr>
            <w:tcW w:w="229" w:type="dxa"/>
            <w:tcBorders>
              <w:top w:val="nil"/>
              <w:left w:val="nil"/>
              <w:bottom w:val="nil"/>
              <w:right w:val="nil"/>
            </w:tcBorders>
            <w:shd w:val="clear" w:color="auto" w:fill="auto"/>
            <w:noWrap/>
            <w:vAlign w:val="bottom"/>
            <w:hideMark/>
          </w:tcPr>
          <w:p w14:paraId="034F2A32" w14:textId="77777777" w:rsidR="000A7943" w:rsidRPr="00192C81" w:rsidRDefault="000A7943" w:rsidP="000A7943">
            <w:pPr>
              <w:spacing w:after="0" w:line="240" w:lineRule="auto"/>
              <w:jc w:val="both"/>
              <w:rPr>
                <w:rFonts w:ascii="Calibri" w:eastAsia="Times New Roman" w:hAnsi="Calibri" w:cs="Calibri"/>
                <w:color w:val="000000"/>
                <w:highlight w:val="yellow"/>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0F126FAC" w14:textId="56B61D6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Process KC</w:t>
            </w:r>
            <w:r w:rsidR="00B51157">
              <w:rPr>
                <w:rFonts w:ascii="Calibri" w:eastAsia="Times New Roman" w:hAnsi="Calibri" w:cs="Calibri"/>
                <w:color w:val="0070C0"/>
                <w:sz w:val="18"/>
                <w:szCs w:val="14"/>
                <w:lang w:eastAsia="en-GB"/>
              </w:rPr>
              <w:t xml:space="preserve"> (Key Characteristics) </w:t>
            </w:r>
            <w:r w:rsidR="00B51157" w:rsidRPr="00192C81">
              <w:rPr>
                <w:rFonts w:ascii="Calibri" w:eastAsia="Times New Roman" w:hAnsi="Calibri" w:cs="Calibri"/>
                <w:color w:val="0070C0"/>
                <w:sz w:val="18"/>
                <w:szCs w:val="14"/>
                <w:lang w:eastAsia="en-GB"/>
              </w:rPr>
              <w:t xml:space="preserve"> </w:t>
            </w:r>
            <w:r w:rsidRPr="00192C81">
              <w:rPr>
                <w:rFonts w:ascii="Calibri" w:eastAsia="Times New Roman" w:hAnsi="Calibri" w:cs="Calibri"/>
                <w:color w:val="0070C0"/>
                <w:sz w:val="18"/>
                <w:szCs w:val="14"/>
                <w:lang w:eastAsia="en-GB"/>
              </w:rPr>
              <w:t xml:space="preserve"> List</w:t>
            </w:r>
          </w:p>
        </w:tc>
        <w:tc>
          <w:tcPr>
            <w:tcW w:w="1098" w:type="dxa"/>
            <w:tcBorders>
              <w:top w:val="nil"/>
              <w:left w:val="nil"/>
              <w:bottom w:val="single" w:sz="4" w:space="0" w:color="auto"/>
              <w:right w:val="single" w:sz="4" w:space="0" w:color="auto"/>
            </w:tcBorders>
            <w:shd w:val="clear" w:color="auto" w:fill="auto"/>
            <w:noWrap/>
            <w:vAlign w:val="center"/>
          </w:tcPr>
          <w:p w14:paraId="5152D31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NPII01/W02</w:t>
            </w:r>
          </w:p>
        </w:tc>
        <w:tc>
          <w:tcPr>
            <w:tcW w:w="826" w:type="dxa"/>
            <w:gridSpan w:val="2"/>
            <w:tcBorders>
              <w:top w:val="nil"/>
              <w:left w:val="nil"/>
              <w:bottom w:val="single" w:sz="4" w:space="0" w:color="auto"/>
              <w:right w:val="single" w:sz="4" w:space="0" w:color="auto"/>
            </w:tcBorders>
            <w:shd w:val="clear" w:color="auto" w:fill="DCFADA"/>
            <w:noWrap/>
            <w:vAlign w:val="bottom"/>
          </w:tcPr>
          <w:p w14:paraId="7179976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60B37B5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6090199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133387C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DCFADA"/>
            <w:noWrap/>
            <w:vAlign w:val="bottom"/>
          </w:tcPr>
          <w:p w14:paraId="3AECE52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FCEDD0"/>
          </w:tcPr>
          <w:p w14:paraId="2D1F559E"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2624697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5DEDBBC3"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Control Plan - NPII01/F19</w:t>
            </w:r>
          </w:p>
        </w:tc>
        <w:tc>
          <w:tcPr>
            <w:tcW w:w="0" w:type="auto"/>
            <w:tcBorders>
              <w:top w:val="nil"/>
              <w:left w:val="nil"/>
              <w:bottom w:val="nil"/>
              <w:right w:val="nil"/>
            </w:tcBorders>
            <w:shd w:val="clear" w:color="auto" w:fill="auto"/>
            <w:noWrap/>
            <w:vAlign w:val="bottom"/>
            <w:hideMark/>
          </w:tcPr>
          <w:p w14:paraId="04490C06"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3958AC12" w14:textId="77777777" w:rsidTr="00CD37AA">
        <w:trPr>
          <w:trHeight w:val="289"/>
        </w:trPr>
        <w:tc>
          <w:tcPr>
            <w:tcW w:w="229" w:type="dxa"/>
            <w:tcBorders>
              <w:top w:val="nil"/>
              <w:left w:val="nil"/>
              <w:bottom w:val="nil"/>
              <w:right w:val="nil"/>
            </w:tcBorders>
            <w:shd w:val="clear" w:color="auto" w:fill="auto"/>
            <w:noWrap/>
            <w:vAlign w:val="bottom"/>
          </w:tcPr>
          <w:p w14:paraId="322B6967"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46776FFB" w14:textId="25D2330B"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PWI</w:t>
            </w:r>
            <w:r w:rsidR="00B573B3">
              <w:rPr>
                <w:rFonts w:ascii="Calibri" w:eastAsia="Times New Roman" w:hAnsi="Calibri" w:cs="Calibri"/>
                <w:color w:val="0070C0"/>
                <w:sz w:val="18"/>
                <w:szCs w:val="14"/>
                <w:lang w:eastAsia="en-GB"/>
              </w:rPr>
              <w:t xml:space="preserve"> (Production Work Instruction)</w:t>
            </w:r>
          </w:p>
        </w:tc>
        <w:tc>
          <w:tcPr>
            <w:tcW w:w="1098" w:type="dxa"/>
            <w:tcBorders>
              <w:top w:val="nil"/>
              <w:left w:val="nil"/>
              <w:bottom w:val="single" w:sz="4" w:space="0" w:color="auto"/>
              <w:right w:val="single" w:sz="4" w:space="0" w:color="auto"/>
            </w:tcBorders>
            <w:shd w:val="clear" w:color="auto" w:fill="auto"/>
            <w:noWrap/>
            <w:vAlign w:val="center"/>
          </w:tcPr>
          <w:p w14:paraId="6F0FD42C"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NPII01/G09</w:t>
            </w:r>
          </w:p>
        </w:tc>
        <w:tc>
          <w:tcPr>
            <w:tcW w:w="826" w:type="dxa"/>
            <w:gridSpan w:val="2"/>
            <w:tcBorders>
              <w:top w:val="nil"/>
              <w:left w:val="nil"/>
              <w:bottom w:val="single" w:sz="4" w:space="0" w:color="auto"/>
              <w:right w:val="single" w:sz="4" w:space="0" w:color="auto"/>
            </w:tcBorders>
            <w:shd w:val="clear" w:color="auto" w:fill="DCFADA"/>
            <w:noWrap/>
            <w:vAlign w:val="bottom"/>
          </w:tcPr>
          <w:p w14:paraId="4D4B985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682115B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584A862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3E08CE3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DCFADA"/>
            <w:noWrap/>
            <w:vAlign w:val="bottom"/>
          </w:tcPr>
          <w:p w14:paraId="72DB3A1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FCEDD0"/>
          </w:tcPr>
          <w:p w14:paraId="5F4F7936"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06EA012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5A3A3A22"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PWI Form -  NPII01/F12</w:t>
            </w:r>
          </w:p>
        </w:tc>
        <w:tc>
          <w:tcPr>
            <w:tcW w:w="0" w:type="auto"/>
            <w:tcBorders>
              <w:top w:val="nil"/>
              <w:left w:val="nil"/>
              <w:bottom w:val="nil"/>
              <w:right w:val="nil"/>
            </w:tcBorders>
            <w:shd w:val="clear" w:color="auto" w:fill="auto"/>
            <w:noWrap/>
            <w:vAlign w:val="bottom"/>
          </w:tcPr>
          <w:p w14:paraId="06D520D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2CBF613C" w14:textId="77777777" w:rsidTr="00CD37AA">
        <w:trPr>
          <w:trHeight w:val="289"/>
        </w:trPr>
        <w:tc>
          <w:tcPr>
            <w:tcW w:w="229" w:type="dxa"/>
            <w:tcBorders>
              <w:top w:val="nil"/>
              <w:left w:val="nil"/>
              <w:bottom w:val="nil"/>
              <w:right w:val="nil"/>
            </w:tcBorders>
            <w:shd w:val="clear" w:color="auto" w:fill="auto"/>
            <w:noWrap/>
            <w:vAlign w:val="bottom"/>
          </w:tcPr>
          <w:p w14:paraId="19CE069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0FDF4604" w14:textId="7AC7848C"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Dev</w:t>
            </w:r>
            <w:r w:rsidR="00B51157">
              <w:rPr>
                <w:rFonts w:ascii="Calibri" w:eastAsia="Times New Roman" w:hAnsi="Calibri" w:cs="Calibri"/>
                <w:color w:val="0070C0"/>
                <w:sz w:val="18"/>
                <w:szCs w:val="14"/>
                <w:lang w:eastAsia="en-GB"/>
              </w:rPr>
              <w:t>elopment</w:t>
            </w:r>
            <w:r w:rsidRPr="00192C81">
              <w:rPr>
                <w:rFonts w:ascii="Calibri" w:eastAsia="Times New Roman" w:hAnsi="Calibri" w:cs="Calibri"/>
                <w:color w:val="0070C0"/>
                <w:sz w:val="18"/>
                <w:szCs w:val="14"/>
                <w:lang w:eastAsia="en-GB"/>
              </w:rPr>
              <w:t xml:space="preserve"> Control Plan</w:t>
            </w:r>
          </w:p>
        </w:tc>
        <w:tc>
          <w:tcPr>
            <w:tcW w:w="1098" w:type="dxa"/>
            <w:tcBorders>
              <w:top w:val="nil"/>
              <w:left w:val="nil"/>
              <w:bottom w:val="single" w:sz="4" w:space="0" w:color="auto"/>
              <w:right w:val="single" w:sz="4" w:space="0" w:color="auto"/>
            </w:tcBorders>
            <w:shd w:val="clear" w:color="auto" w:fill="auto"/>
            <w:noWrap/>
            <w:vAlign w:val="center"/>
          </w:tcPr>
          <w:p w14:paraId="038DD0A9"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NPII01/G14</w:t>
            </w:r>
          </w:p>
        </w:tc>
        <w:tc>
          <w:tcPr>
            <w:tcW w:w="826" w:type="dxa"/>
            <w:gridSpan w:val="2"/>
            <w:tcBorders>
              <w:top w:val="nil"/>
              <w:left w:val="nil"/>
              <w:bottom w:val="single" w:sz="4" w:space="0" w:color="auto"/>
              <w:right w:val="single" w:sz="4" w:space="0" w:color="auto"/>
            </w:tcBorders>
            <w:shd w:val="clear" w:color="auto" w:fill="DCFADA"/>
            <w:noWrap/>
            <w:vAlign w:val="bottom"/>
          </w:tcPr>
          <w:p w14:paraId="728AA8A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4C73FC0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1898AD2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343685E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DCFADA"/>
            <w:noWrap/>
            <w:vAlign w:val="bottom"/>
          </w:tcPr>
          <w:p w14:paraId="2ABB001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DCFADA"/>
          </w:tcPr>
          <w:p w14:paraId="62FFA67B"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04A2B00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046B861"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Control Plan - NPII01/F19</w:t>
            </w:r>
          </w:p>
        </w:tc>
        <w:tc>
          <w:tcPr>
            <w:tcW w:w="0" w:type="auto"/>
            <w:tcBorders>
              <w:top w:val="nil"/>
              <w:left w:val="nil"/>
              <w:bottom w:val="nil"/>
              <w:right w:val="nil"/>
            </w:tcBorders>
            <w:shd w:val="clear" w:color="auto" w:fill="auto"/>
            <w:noWrap/>
            <w:vAlign w:val="bottom"/>
          </w:tcPr>
          <w:p w14:paraId="641C4CE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16D1D288" w14:textId="77777777" w:rsidTr="00CD37AA">
        <w:trPr>
          <w:trHeight w:val="289"/>
        </w:trPr>
        <w:tc>
          <w:tcPr>
            <w:tcW w:w="229" w:type="dxa"/>
            <w:tcBorders>
              <w:top w:val="nil"/>
              <w:left w:val="nil"/>
              <w:bottom w:val="nil"/>
              <w:right w:val="nil"/>
            </w:tcBorders>
            <w:shd w:val="clear" w:color="auto" w:fill="auto"/>
            <w:noWrap/>
            <w:vAlign w:val="bottom"/>
          </w:tcPr>
          <w:p w14:paraId="4502056D"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7996FD23"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Material Handling/Labelling</w:t>
            </w:r>
          </w:p>
        </w:tc>
        <w:tc>
          <w:tcPr>
            <w:tcW w:w="1098" w:type="dxa"/>
            <w:tcBorders>
              <w:top w:val="nil"/>
              <w:left w:val="nil"/>
              <w:bottom w:val="single" w:sz="4" w:space="0" w:color="auto"/>
              <w:right w:val="single" w:sz="4" w:space="0" w:color="auto"/>
            </w:tcBorders>
            <w:shd w:val="clear" w:color="auto" w:fill="auto"/>
            <w:noWrap/>
            <w:vAlign w:val="center"/>
          </w:tcPr>
          <w:p w14:paraId="307A200D"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t>
            </w:r>
          </w:p>
        </w:tc>
        <w:tc>
          <w:tcPr>
            <w:tcW w:w="826" w:type="dxa"/>
            <w:gridSpan w:val="2"/>
            <w:tcBorders>
              <w:top w:val="nil"/>
              <w:left w:val="nil"/>
              <w:bottom w:val="single" w:sz="4" w:space="0" w:color="auto"/>
              <w:right w:val="single" w:sz="4" w:space="0" w:color="auto"/>
            </w:tcBorders>
            <w:shd w:val="clear" w:color="auto" w:fill="DCFADA"/>
            <w:noWrap/>
            <w:vAlign w:val="bottom"/>
          </w:tcPr>
          <w:p w14:paraId="582C61C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39AFB49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24B089A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239EBD3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BFBFBF"/>
            <w:noWrap/>
            <w:vAlign w:val="bottom"/>
          </w:tcPr>
          <w:p w14:paraId="1BCDBB2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FCEDD0"/>
          </w:tcPr>
          <w:p w14:paraId="3E9093CA"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DCFADA"/>
            <w:vAlign w:val="bottom"/>
          </w:tcPr>
          <w:p w14:paraId="4B828C1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6A44404A"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Packaging Specification Template - NPII01/F18</w:t>
            </w:r>
          </w:p>
        </w:tc>
        <w:tc>
          <w:tcPr>
            <w:tcW w:w="0" w:type="auto"/>
            <w:tcBorders>
              <w:top w:val="nil"/>
              <w:left w:val="nil"/>
              <w:bottom w:val="nil"/>
              <w:right w:val="nil"/>
            </w:tcBorders>
            <w:shd w:val="clear" w:color="auto" w:fill="auto"/>
            <w:noWrap/>
            <w:vAlign w:val="bottom"/>
          </w:tcPr>
          <w:p w14:paraId="5763481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1D748FA1" w14:textId="77777777" w:rsidTr="00CD37AA">
        <w:trPr>
          <w:trHeight w:val="289"/>
        </w:trPr>
        <w:tc>
          <w:tcPr>
            <w:tcW w:w="229" w:type="dxa"/>
            <w:tcBorders>
              <w:top w:val="nil"/>
              <w:left w:val="nil"/>
              <w:bottom w:val="nil"/>
              <w:right w:val="nil"/>
            </w:tcBorders>
            <w:shd w:val="clear" w:color="auto" w:fill="auto"/>
            <w:noWrap/>
            <w:vAlign w:val="bottom"/>
          </w:tcPr>
          <w:p w14:paraId="0A86710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62AA767A"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Production Readiness Review</w:t>
            </w:r>
          </w:p>
        </w:tc>
        <w:tc>
          <w:tcPr>
            <w:tcW w:w="1098" w:type="dxa"/>
            <w:tcBorders>
              <w:top w:val="nil"/>
              <w:left w:val="nil"/>
              <w:bottom w:val="single" w:sz="4" w:space="0" w:color="auto"/>
              <w:right w:val="single" w:sz="4" w:space="0" w:color="auto"/>
            </w:tcBorders>
            <w:shd w:val="clear" w:color="auto" w:fill="auto"/>
            <w:noWrap/>
            <w:vAlign w:val="center"/>
          </w:tcPr>
          <w:p w14:paraId="408FFFDC"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OEM14.3</w:t>
            </w:r>
          </w:p>
        </w:tc>
        <w:tc>
          <w:tcPr>
            <w:tcW w:w="826" w:type="dxa"/>
            <w:gridSpan w:val="2"/>
            <w:tcBorders>
              <w:top w:val="nil"/>
              <w:left w:val="nil"/>
              <w:bottom w:val="single" w:sz="4" w:space="0" w:color="auto"/>
              <w:right w:val="single" w:sz="4" w:space="0" w:color="auto"/>
            </w:tcBorders>
            <w:shd w:val="clear" w:color="auto" w:fill="FCEDD0"/>
            <w:noWrap/>
            <w:vAlign w:val="bottom"/>
          </w:tcPr>
          <w:p w14:paraId="6F57771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FCEDD0"/>
            <w:noWrap/>
            <w:vAlign w:val="bottom"/>
          </w:tcPr>
          <w:p w14:paraId="09804A8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19B703A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1D14719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CEDD0"/>
            <w:noWrap/>
            <w:vAlign w:val="bottom"/>
          </w:tcPr>
          <w:p w14:paraId="3455953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8D5D4"/>
          </w:tcPr>
          <w:p w14:paraId="524AABD5"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15AEFB7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4F121EC"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Production Readiness Checklist - OEM14.3/F01</w:t>
            </w:r>
          </w:p>
        </w:tc>
        <w:tc>
          <w:tcPr>
            <w:tcW w:w="0" w:type="auto"/>
            <w:tcBorders>
              <w:top w:val="nil"/>
              <w:left w:val="nil"/>
              <w:bottom w:val="nil"/>
              <w:right w:val="nil"/>
            </w:tcBorders>
            <w:shd w:val="clear" w:color="auto" w:fill="auto"/>
            <w:noWrap/>
            <w:vAlign w:val="bottom"/>
          </w:tcPr>
          <w:p w14:paraId="61AF4EF2"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50C3214E" w14:textId="77777777" w:rsidTr="00CD37AA">
        <w:trPr>
          <w:trHeight w:val="289"/>
        </w:trPr>
        <w:tc>
          <w:tcPr>
            <w:tcW w:w="229" w:type="dxa"/>
            <w:tcBorders>
              <w:top w:val="nil"/>
              <w:left w:val="nil"/>
              <w:bottom w:val="nil"/>
              <w:right w:val="nil"/>
            </w:tcBorders>
            <w:shd w:val="clear" w:color="auto" w:fill="auto"/>
            <w:noWrap/>
            <w:vAlign w:val="bottom"/>
          </w:tcPr>
          <w:p w14:paraId="1BB6D4AE"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5009CBBC" w14:textId="47D2768C"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MSA</w:t>
            </w:r>
            <w:r w:rsidR="00B51157">
              <w:rPr>
                <w:rFonts w:ascii="Calibri" w:eastAsia="Times New Roman" w:hAnsi="Calibri" w:cs="Calibri"/>
                <w:color w:val="0070C0"/>
                <w:sz w:val="18"/>
                <w:szCs w:val="14"/>
                <w:lang w:eastAsia="en-GB"/>
              </w:rPr>
              <w:t xml:space="preserve"> (Measurement System Analysis) </w:t>
            </w:r>
            <w:r w:rsidRPr="00192C81">
              <w:rPr>
                <w:rFonts w:ascii="Calibri" w:eastAsia="Times New Roman" w:hAnsi="Calibri" w:cs="Calibri"/>
                <w:color w:val="0070C0"/>
                <w:sz w:val="18"/>
                <w:szCs w:val="14"/>
                <w:lang w:eastAsia="en-GB"/>
              </w:rPr>
              <w:t xml:space="preserve"> Completed</w:t>
            </w:r>
          </w:p>
        </w:tc>
        <w:tc>
          <w:tcPr>
            <w:tcW w:w="1098" w:type="dxa"/>
            <w:tcBorders>
              <w:top w:val="nil"/>
              <w:left w:val="nil"/>
              <w:bottom w:val="single" w:sz="4" w:space="0" w:color="auto"/>
              <w:right w:val="single" w:sz="4" w:space="0" w:color="auto"/>
            </w:tcBorders>
            <w:shd w:val="clear" w:color="auto" w:fill="auto"/>
            <w:noWrap/>
            <w:vAlign w:val="center"/>
          </w:tcPr>
          <w:p w14:paraId="22D9D1CD"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BFBFBF"/>
            <w:noWrap/>
            <w:vAlign w:val="bottom"/>
          </w:tcPr>
          <w:p w14:paraId="19526B8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27" w:type="dxa"/>
            <w:tcBorders>
              <w:top w:val="nil"/>
              <w:left w:val="nil"/>
              <w:bottom w:val="single" w:sz="4" w:space="0" w:color="auto"/>
              <w:right w:val="single" w:sz="4" w:space="0" w:color="auto"/>
            </w:tcBorders>
            <w:shd w:val="clear" w:color="auto" w:fill="F8D5D4"/>
            <w:noWrap/>
            <w:vAlign w:val="bottom"/>
          </w:tcPr>
          <w:p w14:paraId="09F413E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6" w:type="dxa"/>
            <w:tcBorders>
              <w:top w:val="nil"/>
              <w:left w:val="nil"/>
              <w:bottom w:val="single" w:sz="4" w:space="0" w:color="auto"/>
              <w:right w:val="single" w:sz="4" w:space="0" w:color="auto"/>
            </w:tcBorders>
            <w:shd w:val="clear" w:color="auto" w:fill="BFBFBF"/>
            <w:noWrap/>
            <w:vAlign w:val="bottom"/>
          </w:tcPr>
          <w:p w14:paraId="73AB5F8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107D82A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BFBFBF"/>
            <w:noWrap/>
            <w:vAlign w:val="bottom"/>
          </w:tcPr>
          <w:p w14:paraId="3A09559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FCEDD0"/>
          </w:tcPr>
          <w:p w14:paraId="132592C5"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237C4E4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2D3FB44"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tcPr>
          <w:p w14:paraId="495B5B1C"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5D88963C" w14:textId="77777777" w:rsidTr="00CD37AA">
        <w:trPr>
          <w:trHeight w:val="289"/>
        </w:trPr>
        <w:tc>
          <w:tcPr>
            <w:tcW w:w="229" w:type="dxa"/>
            <w:tcBorders>
              <w:top w:val="nil"/>
              <w:left w:val="nil"/>
              <w:bottom w:val="nil"/>
              <w:right w:val="nil"/>
            </w:tcBorders>
            <w:shd w:val="clear" w:color="auto" w:fill="auto"/>
            <w:noWrap/>
            <w:vAlign w:val="bottom"/>
          </w:tcPr>
          <w:p w14:paraId="68E188E5"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2F4DB80C"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Process Capability Study</w:t>
            </w:r>
          </w:p>
        </w:tc>
        <w:tc>
          <w:tcPr>
            <w:tcW w:w="1098" w:type="dxa"/>
            <w:tcBorders>
              <w:top w:val="nil"/>
              <w:left w:val="nil"/>
              <w:bottom w:val="single" w:sz="4" w:space="0" w:color="auto"/>
              <w:right w:val="single" w:sz="4" w:space="0" w:color="auto"/>
            </w:tcBorders>
            <w:shd w:val="clear" w:color="auto" w:fill="auto"/>
            <w:noWrap/>
            <w:vAlign w:val="center"/>
          </w:tcPr>
          <w:p w14:paraId="539A6BB1"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p>
        </w:tc>
        <w:tc>
          <w:tcPr>
            <w:tcW w:w="826" w:type="dxa"/>
            <w:gridSpan w:val="2"/>
            <w:tcBorders>
              <w:top w:val="nil"/>
              <w:left w:val="nil"/>
              <w:bottom w:val="single" w:sz="4" w:space="0" w:color="auto"/>
              <w:right w:val="single" w:sz="4" w:space="0" w:color="auto"/>
            </w:tcBorders>
            <w:shd w:val="clear" w:color="auto" w:fill="DCFADA"/>
            <w:noWrap/>
            <w:vAlign w:val="bottom"/>
          </w:tcPr>
          <w:p w14:paraId="66223C2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4A6A1EE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6431288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4CEC0F3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BFBFBF"/>
            <w:noWrap/>
            <w:vAlign w:val="bottom"/>
          </w:tcPr>
          <w:p w14:paraId="170FB05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F8D5D4"/>
          </w:tcPr>
          <w:p w14:paraId="4FEC6513"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3AEE6C9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67C8726F"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p>
        </w:tc>
        <w:tc>
          <w:tcPr>
            <w:tcW w:w="0" w:type="auto"/>
            <w:tcBorders>
              <w:top w:val="nil"/>
              <w:left w:val="nil"/>
              <w:bottom w:val="nil"/>
              <w:right w:val="nil"/>
            </w:tcBorders>
            <w:shd w:val="clear" w:color="auto" w:fill="auto"/>
            <w:noWrap/>
            <w:vAlign w:val="bottom"/>
          </w:tcPr>
          <w:p w14:paraId="0FDAF228"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7DE86010" w14:textId="77777777" w:rsidTr="00CD37AA">
        <w:trPr>
          <w:trHeight w:val="289"/>
        </w:trPr>
        <w:tc>
          <w:tcPr>
            <w:tcW w:w="229" w:type="dxa"/>
            <w:tcBorders>
              <w:top w:val="nil"/>
              <w:left w:val="nil"/>
              <w:bottom w:val="nil"/>
              <w:right w:val="nil"/>
            </w:tcBorders>
            <w:shd w:val="clear" w:color="auto" w:fill="auto"/>
            <w:noWrap/>
            <w:vAlign w:val="bottom"/>
          </w:tcPr>
          <w:p w14:paraId="5BF8745B"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6594AADC"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Series Control Plan</w:t>
            </w:r>
          </w:p>
        </w:tc>
        <w:tc>
          <w:tcPr>
            <w:tcW w:w="1098" w:type="dxa"/>
            <w:tcBorders>
              <w:top w:val="nil"/>
              <w:left w:val="nil"/>
              <w:bottom w:val="single" w:sz="4" w:space="0" w:color="auto"/>
              <w:right w:val="single" w:sz="4" w:space="0" w:color="auto"/>
            </w:tcBorders>
            <w:shd w:val="clear" w:color="auto" w:fill="auto"/>
            <w:noWrap/>
            <w:vAlign w:val="center"/>
          </w:tcPr>
          <w:p w14:paraId="136BB807"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NPII01/W02</w:t>
            </w:r>
          </w:p>
        </w:tc>
        <w:tc>
          <w:tcPr>
            <w:tcW w:w="826" w:type="dxa"/>
            <w:gridSpan w:val="2"/>
            <w:tcBorders>
              <w:top w:val="nil"/>
              <w:left w:val="nil"/>
              <w:bottom w:val="single" w:sz="4" w:space="0" w:color="auto"/>
              <w:right w:val="single" w:sz="4" w:space="0" w:color="auto"/>
            </w:tcBorders>
            <w:shd w:val="clear" w:color="auto" w:fill="DCFADA"/>
            <w:noWrap/>
            <w:vAlign w:val="bottom"/>
          </w:tcPr>
          <w:p w14:paraId="267FB2E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FCEDD0"/>
            <w:noWrap/>
            <w:vAlign w:val="bottom"/>
          </w:tcPr>
          <w:p w14:paraId="0BFFBB1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6CB8188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8D5D4"/>
            <w:noWrap/>
            <w:vAlign w:val="bottom"/>
          </w:tcPr>
          <w:p w14:paraId="6D92947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794" w:type="dxa"/>
            <w:tcBorders>
              <w:top w:val="nil"/>
              <w:left w:val="nil"/>
              <w:bottom w:val="single" w:sz="4" w:space="0" w:color="auto"/>
              <w:right w:val="single" w:sz="4" w:space="0" w:color="auto"/>
            </w:tcBorders>
            <w:shd w:val="clear" w:color="auto" w:fill="DCFADA"/>
            <w:noWrap/>
            <w:vAlign w:val="bottom"/>
          </w:tcPr>
          <w:p w14:paraId="2B57735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1631" w:type="dxa"/>
            <w:tcBorders>
              <w:top w:val="single" w:sz="4" w:space="0" w:color="auto"/>
              <w:left w:val="nil"/>
              <w:bottom w:val="single" w:sz="4" w:space="0" w:color="auto"/>
              <w:right w:val="single" w:sz="4" w:space="0" w:color="auto"/>
            </w:tcBorders>
            <w:shd w:val="clear" w:color="auto" w:fill="DCFADA"/>
          </w:tcPr>
          <w:p w14:paraId="54F010FE"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18C8B1F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665F6A4D"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Control Plan - NPII01/F19</w:t>
            </w:r>
          </w:p>
        </w:tc>
        <w:tc>
          <w:tcPr>
            <w:tcW w:w="0" w:type="auto"/>
            <w:tcBorders>
              <w:top w:val="nil"/>
              <w:left w:val="nil"/>
              <w:bottom w:val="nil"/>
              <w:right w:val="nil"/>
            </w:tcBorders>
            <w:shd w:val="clear" w:color="auto" w:fill="auto"/>
            <w:noWrap/>
            <w:vAlign w:val="bottom"/>
          </w:tcPr>
          <w:p w14:paraId="757E008F"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289B923B" w14:textId="77777777" w:rsidTr="00CD37AA">
        <w:trPr>
          <w:trHeight w:val="289"/>
        </w:trPr>
        <w:tc>
          <w:tcPr>
            <w:tcW w:w="229" w:type="dxa"/>
            <w:tcBorders>
              <w:top w:val="nil"/>
              <w:left w:val="nil"/>
              <w:bottom w:val="nil"/>
              <w:right w:val="nil"/>
            </w:tcBorders>
            <w:shd w:val="clear" w:color="auto" w:fill="auto"/>
            <w:noWrap/>
            <w:vAlign w:val="bottom"/>
          </w:tcPr>
          <w:p w14:paraId="56BA383A"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410BF0FF" w14:textId="28573F65"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 xml:space="preserve">V &amp; V </w:t>
            </w:r>
            <w:r w:rsidR="00B573B3">
              <w:rPr>
                <w:rFonts w:ascii="Calibri" w:eastAsia="Times New Roman" w:hAnsi="Calibri" w:cs="Calibri"/>
                <w:color w:val="0070C0"/>
                <w:sz w:val="18"/>
                <w:szCs w:val="14"/>
                <w:lang w:eastAsia="en-GB"/>
              </w:rPr>
              <w:t xml:space="preserve">(Verification &amp; Validation) </w:t>
            </w:r>
            <w:r w:rsidRPr="00192C81">
              <w:rPr>
                <w:rFonts w:ascii="Calibri" w:eastAsia="Times New Roman" w:hAnsi="Calibri" w:cs="Calibri"/>
                <w:color w:val="0070C0"/>
                <w:sz w:val="18"/>
                <w:szCs w:val="14"/>
                <w:lang w:eastAsia="en-GB"/>
              </w:rPr>
              <w:t>Results</w:t>
            </w:r>
          </w:p>
        </w:tc>
        <w:tc>
          <w:tcPr>
            <w:tcW w:w="1098" w:type="dxa"/>
            <w:tcBorders>
              <w:top w:val="nil"/>
              <w:left w:val="nil"/>
              <w:bottom w:val="single" w:sz="4" w:space="0" w:color="auto"/>
              <w:right w:val="single" w:sz="4" w:space="0" w:color="auto"/>
            </w:tcBorders>
            <w:shd w:val="clear" w:color="auto" w:fill="auto"/>
            <w:noWrap/>
            <w:vAlign w:val="center"/>
          </w:tcPr>
          <w:p w14:paraId="02293E02"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NPIE01</w:t>
            </w:r>
          </w:p>
        </w:tc>
        <w:tc>
          <w:tcPr>
            <w:tcW w:w="826" w:type="dxa"/>
            <w:gridSpan w:val="2"/>
            <w:tcBorders>
              <w:top w:val="nil"/>
              <w:left w:val="nil"/>
              <w:bottom w:val="single" w:sz="4" w:space="0" w:color="auto"/>
              <w:right w:val="single" w:sz="4" w:space="0" w:color="auto"/>
            </w:tcBorders>
            <w:shd w:val="clear" w:color="auto" w:fill="FCEDD0"/>
            <w:noWrap/>
            <w:vAlign w:val="bottom"/>
          </w:tcPr>
          <w:p w14:paraId="033C7E4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FCEDD0"/>
            <w:noWrap/>
            <w:vAlign w:val="bottom"/>
          </w:tcPr>
          <w:p w14:paraId="42C4984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BFBFBF"/>
            <w:noWrap/>
            <w:vAlign w:val="bottom"/>
          </w:tcPr>
          <w:p w14:paraId="0B128E4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61E98F6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8D5D4"/>
            <w:noWrap/>
            <w:vAlign w:val="bottom"/>
          </w:tcPr>
          <w:p w14:paraId="582FA9E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1631" w:type="dxa"/>
            <w:tcBorders>
              <w:top w:val="single" w:sz="4" w:space="0" w:color="auto"/>
              <w:left w:val="nil"/>
              <w:bottom w:val="single" w:sz="4" w:space="0" w:color="auto"/>
              <w:right w:val="single" w:sz="4" w:space="0" w:color="auto"/>
            </w:tcBorders>
            <w:shd w:val="clear" w:color="auto" w:fill="BFBFBF"/>
          </w:tcPr>
          <w:p w14:paraId="3794E472"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660CBCB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11B1518A"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Product Compliance Matrix – SST-DEV-006-02</w:t>
            </w:r>
          </w:p>
        </w:tc>
        <w:tc>
          <w:tcPr>
            <w:tcW w:w="0" w:type="auto"/>
            <w:tcBorders>
              <w:top w:val="nil"/>
              <w:left w:val="nil"/>
              <w:bottom w:val="nil"/>
              <w:right w:val="nil"/>
            </w:tcBorders>
            <w:shd w:val="clear" w:color="auto" w:fill="auto"/>
            <w:noWrap/>
            <w:vAlign w:val="bottom"/>
          </w:tcPr>
          <w:p w14:paraId="5A91DB6C"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72069C48" w14:textId="77777777" w:rsidTr="00CD37AA">
        <w:trPr>
          <w:trHeight w:val="289"/>
        </w:trPr>
        <w:tc>
          <w:tcPr>
            <w:tcW w:w="229" w:type="dxa"/>
            <w:tcBorders>
              <w:top w:val="nil"/>
              <w:left w:val="nil"/>
              <w:bottom w:val="nil"/>
              <w:right w:val="nil"/>
            </w:tcBorders>
            <w:shd w:val="clear" w:color="auto" w:fill="auto"/>
            <w:noWrap/>
            <w:vAlign w:val="bottom"/>
          </w:tcPr>
          <w:p w14:paraId="7345ACA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52FDB752" w14:textId="427DCC15"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FAI</w:t>
            </w:r>
            <w:r w:rsidR="00B51157">
              <w:rPr>
                <w:rFonts w:ascii="Calibri" w:eastAsia="Times New Roman" w:hAnsi="Calibri" w:cs="Calibri"/>
                <w:color w:val="0070C0"/>
                <w:sz w:val="18"/>
                <w:szCs w:val="14"/>
                <w:lang w:eastAsia="en-GB"/>
              </w:rPr>
              <w:t xml:space="preserve"> (First Article Inspection)</w:t>
            </w:r>
            <w:r w:rsidRPr="00192C81">
              <w:rPr>
                <w:rFonts w:ascii="Calibri" w:eastAsia="Times New Roman" w:hAnsi="Calibri" w:cs="Calibri"/>
                <w:color w:val="0070C0"/>
                <w:sz w:val="18"/>
                <w:szCs w:val="14"/>
                <w:lang w:eastAsia="en-GB"/>
              </w:rPr>
              <w:t xml:space="preserve"> Reports</w:t>
            </w:r>
            <w:r w:rsidR="00B51157">
              <w:rPr>
                <w:rFonts w:ascii="Calibri" w:eastAsia="Times New Roman" w:hAnsi="Calibri" w:cs="Calibri"/>
                <w:color w:val="0070C0"/>
                <w:sz w:val="18"/>
                <w:szCs w:val="14"/>
                <w:lang w:eastAsia="en-GB"/>
              </w:rPr>
              <w:t xml:space="preserve"> </w:t>
            </w:r>
          </w:p>
        </w:tc>
        <w:tc>
          <w:tcPr>
            <w:tcW w:w="1098" w:type="dxa"/>
            <w:tcBorders>
              <w:top w:val="nil"/>
              <w:left w:val="nil"/>
              <w:bottom w:val="single" w:sz="4" w:space="0" w:color="auto"/>
              <w:right w:val="single" w:sz="4" w:space="0" w:color="auto"/>
            </w:tcBorders>
            <w:shd w:val="clear" w:color="auto" w:fill="auto"/>
            <w:noWrap/>
            <w:vAlign w:val="center"/>
          </w:tcPr>
          <w:p w14:paraId="6A6E9C3A"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QUA03</w:t>
            </w:r>
          </w:p>
        </w:tc>
        <w:tc>
          <w:tcPr>
            <w:tcW w:w="826" w:type="dxa"/>
            <w:gridSpan w:val="2"/>
            <w:tcBorders>
              <w:top w:val="nil"/>
              <w:left w:val="nil"/>
              <w:bottom w:val="single" w:sz="4" w:space="0" w:color="auto"/>
              <w:right w:val="single" w:sz="4" w:space="0" w:color="auto"/>
            </w:tcBorders>
            <w:shd w:val="clear" w:color="auto" w:fill="BFBFBF"/>
            <w:noWrap/>
            <w:vAlign w:val="bottom"/>
          </w:tcPr>
          <w:p w14:paraId="306C5C4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27" w:type="dxa"/>
            <w:tcBorders>
              <w:top w:val="nil"/>
              <w:left w:val="nil"/>
              <w:bottom w:val="single" w:sz="4" w:space="0" w:color="auto"/>
              <w:right w:val="single" w:sz="4" w:space="0" w:color="auto"/>
            </w:tcBorders>
            <w:shd w:val="clear" w:color="auto" w:fill="F8D5D4"/>
            <w:noWrap/>
            <w:vAlign w:val="bottom"/>
          </w:tcPr>
          <w:p w14:paraId="481DB9C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6" w:type="dxa"/>
            <w:tcBorders>
              <w:top w:val="nil"/>
              <w:left w:val="nil"/>
              <w:bottom w:val="single" w:sz="4" w:space="0" w:color="auto"/>
              <w:right w:val="single" w:sz="4" w:space="0" w:color="auto"/>
            </w:tcBorders>
            <w:shd w:val="clear" w:color="auto" w:fill="BFBFBF"/>
            <w:noWrap/>
            <w:vAlign w:val="bottom"/>
          </w:tcPr>
          <w:p w14:paraId="376D164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BFBFBF"/>
            <w:noWrap/>
            <w:vAlign w:val="bottom"/>
          </w:tcPr>
          <w:p w14:paraId="6EFBAB54"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794" w:type="dxa"/>
            <w:tcBorders>
              <w:top w:val="nil"/>
              <w:left w:val="nil"/>
              <w:bottom w:val="single" w:sz="4" w:space="0" w:color="auto"/>
              <w:right w:val="single" w:sz="4" w:space="0" w:color="auto"/>
            </w:tcBorders>
            <w:shd w:val="clear" w:color="auto" w:fill="BFBFBF"/>
            <w:noWrap/>
            <w:vAlign w:val="bottom"/>
          </w:tcPr>
          <w:p w14:paraId="47E8AF0D"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FCEDD0"/>
          </w:tcPr>
          <w:p w14:paraId="4490512D"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6F8701D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295D79EE"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FAI Report -  QUA03/F01</w:t>
            </w:r>
          </w:p>
        </w:tc>
        <w:tc>
          <w:tcPr>
            <w:tcW w:w="0" w:type="auto"/>
            <w:tcBorders>
              <w:top w:val="nil"/>
              <w:left w:val="nil"/>
              <w:bottom w:val="nil"/>
              <w:right w:val="nil"/>
            </w:tcBorders>
            <w:shd w:val="clear" w:color="auto" w:fill="auto"/>
            <w:noWrap/>
            <w:vAlign w:val="bottom"/>
          </w:tcPr>
          <w:p w14:paraId="021B728F"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6809C8B1" w14:textId="77777777" w:rsidTr="00CD37AA">
        <w:trPr>
          <w:trHeight w:val="227"/>
        </w:trPr>
        <w:tc>
          <w:tcPr>
            <w:tcW w:w="229" w:type="dxa"/>
            <w:tcBorders>
              <w:top w:val="nil"/>
              <w:left w:val="nil"/>
              <w:bottom w:val="nil"/>
              <w:right w:val="nil"/>
            </w:tcBorders>
            <w:shd w:val="clear" w:color="auto" w:fill="auto"/>
            <w:noWrap/>
            <w:vAlign w:val="bottom"/>
          </w:tcPr>
          <w:p w14:paraId="02A6692D"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451DA6DC"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APQP Pack (Supplier)</w:t>
            </w:r>
          </w:p>
        </w:tc>
        <w:tc>
          <w:tcPr>
            <w:tcW w:w="1098" w:type="dxa"/>
            <w:tcBorders>
              <w:top w:val="nil"/>
              <w:left w:val="nil"/>
              <w:bottom w:val="single" w:sz="4" w:space="0" w:color="auto"/>
              <w:right w:val="single" w:sz="4" w:space="0" w:color="auto"/>
            </w:tcBorders>
            <w:shd w:val="clear" w:color="auto" w:fill="auto"/>
            <w:noWrap/>
            <w:vAlign w:val="center"/>
          </w:tcPr>
          <w:p w14:paraId="1D9712A7" w14:textId="77777777" w:rsidR="000A7943" w:rsidRPr="00192C81" w:rsidDel="009050E3"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GRP-0087</w:t>
            </w:r>
          </w:p>
        </w:tc>
        <w:tc>
          <w:tcPr>
            <w:tcW w:w="826" w:type="dxa"/>
            <w:gridSpan w:val="2"/>
            <w:tcBorders>
              <w:top w:val="nil"/>
              <w:left w:val="nil"/>
              <w:bottom w:val="single" w:sz="4" w:space="0" w:color="auto"/>
              <w:right w:val="single" w:sz="4" w:space="0" w:color="auto"/>
            </w:tcBorders>
            <w:shd w:val="clear" w:color="auto" w:fill="FCEDD0"/>
            <w:noWrap/>
            <w:vAlign w:val="bottom"/>
          </w:tcPr>
          <w:p w14:paraId="47B35B2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FCEDD0"/>
            <w:noWrap/>
            <w:vAlign w:val="bottom"/>
          </w:tcPr>
          <w:p w14:paraId="46BC896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F8D5D4"/>
            <w:noWrap/>
            <w:vAlign w:val="bottom"/>
          </w:tcPr>
          <w:p w14:paraId="49F05B5C"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58" w:type="dxa"/>
            <w:tcBorders>
              <w:top w:val="nil"/>
              <w:left w:val="nil"/>
              <w:bottom w:val="single" w:sz="4" w:space="0" w:color="auto"/>
              <w:right w:val="single" w:sz="4" w:space="0" w:color="auto"/>
            </w:tcBorders>
            <w:shd w:val="clear" w:color="auto" w:fill="BFBFBF"/>
            <w:noWrap/>
            <w:vAlign w:val="bottom"/>
          </w:tcPr>
          <w:p w14:paraId="24EDA69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794" w:type="dxa"/>
            <w:tcBorders>
              <w:top w:val="nil"/>
              <w:left w:val="nil"/>
              <w:bottom w:val="single" w:sz="4" w:space="0" w:color="auto"/>
              <w:right w:val="single" w:sz="4" w:space="0" w:color="auto"/>
            </w:tcBorders>
            <w:shd w:val="clear" w:color="auto" w:fill="BFBFBF"/>
            <w:noWrap/>
            <w:vAlign w:val="bottom"/>
          </w:tcPr>
          <w:p w14:paraId="4C1C1A3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1631" w:type="dxa"/>
            <w:tcBorders>
              <w:top w:val="single" w:sz="4" w:space="0" w:color="auto"/>
              <w:left w:val="nil"/>
              <w:bottom w:val="single" w:sz="4" w:space="0" w:color="auto"/>
              <w:right w:val="single" w:sz="4" w:space="0" w:color="auto"/>
            </w:tcBorders>
            <w:shd w:val="clear" w:color="auto" w:fill="BFBFBF"/>
          </w:tcPr>
          <w:p w14:paraId="6D257389"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50CE2F4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10F88ED6" w14:textId="77777777" w:rsidR="000A7943" w:rsidRPr="00192C81" w:rsidDel="009050E3"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DVI-PPAP Form – GRP-0041</w:t>
            </w:r>
          </w:p>
        </w:tc>
        <w:tc>
          <w:tcPr>
            <w:tcW w:w="0" w:type="auto"/>
            <w:tcBorders>
              <w:top w:val="nil"/>
              <w:left w:val="nil"/>
              <w:bottom w:val="nil"/>
              <w:right w:val="nil"/>
            </w:tcBorders>
            <w:shd w:val="clear" w:color="auto" w:fill="auto"/>
            <w:noWrap/>
            <w:vAlign w:val="bottom"/>
          </w:tcPr>
          <w:p w14:paraId="2A8C6BA1"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6FB8CA55" w14:textId="77777777" w:rsidTr="00CD37AA">
        <w:trPr>
          <w:trHeight w:val="227"/>
        </w:trPr>
        <w:tc>
          <w:tcPr>
            <w:tcW w:w="229" w:type="dxa"/>
            <w:tcBorders>
              <w:top w:val="nil"/>
              <w:left w:val="nil"/>
              <w:bottom w:val="nil"/>
              <w:right w:val="nil"/>
            </w:tcBorders>
            <w:shd w:val="clear" w:color="auto" w:fill="auto"/>
            <w:noWrap/>
            <w:vAlign w:val="bottom"/>
          </w:tcPr>
          <w:p w14:paraId="5A6519E6"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739F6019"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APQP Pack (Internal)</w:t>
            </w:r>
          </w:p>
        </w:tc>
        <w:tc>
          <w:tcPr>
            <w:tcW w:w="1098" w:type="dxa"/>
            <w:tcBorders>
              <w:top w:val="nil"/>
              <w:left w:val="nil"/>
              <w:bottom w:val="single" w:sz="4" w:space="0" w:color="auto"/>
              <w:right w:val="single" w:sz="4" w:space="0" w:color="auto"/>
            </w:tcBorders>
            <w:shd w:val="clear" w:color="auto" w:fill="auto"/>
            <w:noWrap/>
            <w:vAlign w:val="center"/>
          </w:tcPr>
          <w:p w14:paraId="44368D3A"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QUA05</w:t>
            </w:r>
          </w:p>
        </w:tc>
        <w:tc>
          <w:tcPr>
            <w:tcW w:w="826" w:type="dxa"/>
            <w:gridSpan w:val="2"/>
            <w:tcBorders>
              <w:top w:val="nil"/>
              <w:left w:val="nil"/>
              <w:bottom w:val="single" w:sz="4" w:space="0" w:color="auto"/>
              <w:right w:val="single" w:sz="4" w:space="0" w:color="auto"/>
            </w:tcBorders>
            <w:shd w:val="clear" w:color="auto" w:fill="FCEDD0"/>
            <w:noWrap/>
            <w:vAlign w:val="bottom"/>
          </w:tcPr>
          <w:p w14:paraId="7BD4C48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7" w:type="dxa"/>
            <w:tcBorders>
              <w:top w:val="nil"/>
              <w:left w:val="nil"/>
              <w:bottom w:val="single" w:sz="4" w:space="0" w:color="auto"/>
              <w:right w:val="single" w:sz="4" w:space="0" w:color="auto"/>
            </w:tcBorders>
            <w:shd w:val="clear" w:color="auto" w:fill="F8D5D4"/>
            <w:noWrap/>
            <w:vAlign w:val="bottom"/>
          </w:tcPr>
          <w:p w14:paraId="2C839249"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6" w:type="dxa"/>
            <w:tcBorders>
              <w:top w:val="nil"/>
              <w:left w:val="nil"/>
              <w:bottom w:val="single" w:sz="4" w:space="0" w:color="auto"/>
              <w:right w:val="single" w:sz="4" w:space="0" w:color="auto"/>
            </w:tcBorders>
            <w:shd w:val="clear" w:color="auto" w:fill="FCEDD0"/>
            <w:noWrap/>
            <w:vAlign w:val="bottom"/>
          </w:tcPr>
          <w:p w14:paraId="4E8FB31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58" w:type="dxa"/>
            <w:tcBorders>
              <w:top w:val="nil"/>
              <w:left w:val="nil"/>
              <w:bottom w:val="single" w:sz="4" w:space="0" w:color="auto"/>
              <w:right w:val="single" w:sz="4" w:space="0" w:color="auto"/>
            </w:tcBorders>
            <w:shd w:val="clear" w:color="auto" w:fill="FCEDD0"/>
            <w:noWrap/>
            <w:vAlign w:val="bottom"/>
          </w:tcPr>
          <w:p w14:paraId="79D6588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CEDD0"/>
            <w:noWrap/>
            <w:vAlign w:val="bottom"/>
          </w:tcPr>
          <w:p w14:paraId="2F0E8DA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5C5D2771"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BFBFBF"/>
            <w:vAlign w:val="bottom"/>
          </w:tcPr>
          <w:p w14:paraId="7CBF09D7"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47E97D9B"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9145-PPAP Approval Form</w:t>
            </w:r>
          </w:p>
        </w:tc>
        <w:tc>
          <w:tcPr>
            <w:tcW w:w="0" w:type="auto"/>
            <w:tcBorders>
              <w:top w:val="nil"/>
              <w:left w:val="nil"/>
              <w:bottom w:val="nil"/>
              <w:right w:val="nil"/>
            </w:tcBorders>
            <w:shd w:val="clear" w:color="auto" w:fill="auto"/>
            <w:noWrap/>
            <w:vAlign w:val="bottom"/>
          </w:tcPr>
          <w:p w14:paraId="638490ED"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57EF8EE5" w14:textId="77777777" w:rsidTr="00CD37AA">
        <w:trPr>
          <w:trHeight w:val="227"/>
        </w:trPr>
        <w:tc>
          <w:tcPr>
            <w:tcW w:w="229" w:type="dxa"/>
            <w:tcBorders>
              <w:top w:val="nil"/>
              <w:left w:val="nil"/>
              <w:bottom w:val="nil"/>
              <w:right w:val="nil"/>
            </w:tcBorders>
            <w:shd w:val="clear" w:color="auto" w:fill="auto"/>
            <w:noWrap/>
            <w:vAlign w:val="bottom"/>
            <w:hideMark/>
          </w:tcPr>
          <w:p w14:paraId="1F3710D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tcPr>
          <w:p w14:paraId="1E8E12F3"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Agree Quality Requirements (QSM/PAD)</w:t>
            </w:r>
          </w:p>
        </w:tc>
        <w:tc>
          <w:tcPr>
            <w:tcW w:w="1098" w:type="dxa"/>
            <w:tcBorders>
              <w:top w:val="nil"/>
              <w:left w:val="nil"/>
              <w:bottom w:val="single" w:sz="4" w:space="0" w:color="auto"/>
              <w:right w:val="single" w:sz="4" w:space="0" w:color="auto"/>
            </w:tcBorders>
            <w:shd w:val="clear" w:color="auto" w:fill="auto"/>
            <w:noWrap/>
            <w:vAlign w:val="center"/>
          </w:tcPr>
          <w:p w14:paraId="4B79BE02"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SST-TEC-001</w:t>
            </w:r>
          </w:p>
        </w:tc>
        <w:tc>
          <w:tcPr>
            <w:tcW w:w="826" w:type="dxa"/>
            <w:gridSpan w:val="2"/>
            <w:tcBorders>
              <w:top w:val="nil"/>
              <w:left w:val="nil"/>
              <w:bottom w:val="single" w:sz="4" w:space="0" w:color="auto"/>
              <w:right w:val="single" w:sz="4" w:space="0" w:color="auto"/>
            </w:tcBorders>
            <w:shd w:val="clear" w:color="auto" w:fill="DCFADA"/>
            <w:noWrap/>
            <w:vAlign w:val="bottom"/>
          </w:tcPr>
          <w:p w14:paraId="187B2261"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7" w:type="dxa"/>
            <w:tcBorders>
              <w:top w:val="nil"/>
              <w:left w:val="nil"/>
              <w:bottom w:val="single" w:sz="4" w:space="0" w:color="auto"/>
              <w:right w:val="single" w:sz="4" w:space="0" w:color="auto"/>
            </w:tcBorders>
            <w:shd w:val="clear" w:color="auto" w:fill="DCFADA"/>
            <w:noWrap/>
            <w:vAlign w:val="bottom"/>
          </w:tcPr>
          <w:p w14:paraId="46E299F0"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26" w:type="dxa"/>
            <w:tcBorders>
              <w:top w:val="nil"/>
              <w:left w:val="nil"/>
              <w:bottom w:val="single" w:sz="4" w:space="0" w:color="auto"/>
              <w:right w:val="single" w:sz="4" w:space="0" w:color="auto"/>
            </w:tcBorders>
            <w:shd w:val="clear" w:color="auto" w:fill="BFBFBF"/>
            <w:noWrap/>
            <w:vAlign w:val="bottom"/>
          </w:tcPr>
          <w:p w14:paraId="7E38569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I</w:t>
            </w:r>
          </w:p>
        </w:tc>
        <w:tc>
          <w:tcPr>
            <w:tcW w:w="858" w:type="dxa"/>
            <w:tcBorders>
              <w:top w:val="nil"/>
              <w:left w:val="nil"/>
              <w:bottom w:val="single" w:sz="4" w:space="0" w:color="auto"/>
              <w:right w:val="single" w:sz="4" w:space="0" w:color="auto"/>
            </w:tcBorders>
            <w:shd w:val="clear" w:color="auto" w:fill="FCEDD0"/>
            <w:noWrap/>
            <w:vAlign w:val="bottom"/>
          </w:tcPr>
          <w:p w14:paraId="525EC6D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8D5D4"/>
            <w:noWrap/>
            <w:vAlign w:val="bottom"/>
          </w:tcPr>
          <w:p w14:paraId="18FF9DE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1631" w:type="dxa"/>
            <w:tcBorders>
              <w:top w:val="single" w:sz="4" w:space="0" w:color="auto"/>
              <w:left w:val="nil"/>
              <w:bottom w:val="single" w:sz="4" w:space="0" w:color="auto"/>
              <w:right w:val="single" w:sz="4" w:space="0" w:color="auto"/>
            </w:tcBorders>
            <w:shd w:val="clear" w:color="auto" w:fill="FCEDD0"/>
          </w:tcPr>
          <w:p w14:paraId="215927F8" w14:textId="77777777" w:rsidR="000A7943" w:rsidRPr="00192C81" w:rsidDel="009050E3"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DCFADA"/>
            <w:vAlign w:val="bottom"/>
          </w:tcPr>
          <w:p w14:paraId="745F1D66"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FF7B6C1" w14:textId="77777777" w:rsidR="000A7943" w:rsidRPr="00192C81" w:rsidRDefault="000A7943" w:rsidP="000A7943">
            <w:pPr>
              <w:spacing w:after="0" w:line="240" w:lineRule="auto"/>
              <w:rPr>
                <w:rFonts w:ascii="Calibri" w:eastAsia="Times New Roman" w:hAnsi="Calibri" w:cs="Calibri"/>
                <w:color w:val="0070C0"/>
                <w:sz w:val="18"/>
                <w:szCs w:val="14"/>
                <w:highlight w:val="yellow"/>
                <w:lang w:eastAsia="en-GB"/>
              </w:rPr>
            </w:pPr>
            <w:r w:rsidRPr="00192C81">
              <w:rPr>
                <w:rFonts w:ascii="Calibri" w:eastAsia="Times New Roman" w:hAnsi="Calibri" w:cs="Calibri"/>
                <w:color w:val="0070C0"/>
                <w:sz w:val="18"/>
                <w:szCs w:val="14"/>
                <w:lang w:eastAsia="en-GB"/>
              </w:rPr>
              <w:t>PAD – QUA05/F09</w:t>
            </w:r>
          </w:p>
        </w:tc>
        <w:tc>
          <w:tcPr>
            <w:tcW w:w="0" w:type="auto"/>
            <w:tcBorders>
              <w:top w:val="nil"/>
              <w:left w:val="nil"/>
              <w:bottom w:val="nil"/>
              <w:right w:val="nil"/>
            </w:tcBorders>
            <w:shd w:val="clear" w:color="auto" w:fill="auto"/>
            <w:noWrap/>
            <w:vAlign w:val="bottom"/>
            <w:hideMark/>
          </w:tcPr>
          <w:p w14:paraId="5D2B0F1C"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r>
      <w:tr w:rsidR="000A7943" w:rsidRPr="00192C81" w14:paraId="378EEC0E" w14:textId="77777777" w:rsidTr="00CD37AA">
        <w:trPr>
          <w:trHeight w:val="294"/>
        </w:trPr>
        <w:tc>
          <w:tcPr>
            <w:tcW w:w="229" w:type="dxa"/>
            <w:tcBorders>
              <w:top w:val="nil"/>
              <w:left w:val="nil"/>
              <w:bottom w:val="nil"/>
              <w:right w:val="nil"/>
            </w:tcBorders>
            <w:shd w:val="clear" w:color="auto" w:fill="auto"/>
            <w:noWrap/>
            <w:vAlign w:val="bottom"/>
            <w:hideMark/>
          </w:tcPr>
          <w:p w14:paraId="1C49CC59" w14:textId="77777777" w:rsidR="000A7943" w:rsidRPr="00192C81" w:rsidRDefault="000A7943" w:rsidP="000A7943">
            <w:pPr>
              <w:spacing w:after="0" w:line="240" w:lineRule="auto"/>
              <w:jc w:val="both"/>
              <w:rPr>
                <w:rFonts w:ascii="Calibri" w:eastAsia="Times New Roman" w:hAnsi="Calibri" w:cs="Calibri"/>
                <w:color w:val="000000"/>
                <w:lang w:eastAsia="en-GB"/>
              </w:rPr>
            </w:pPr>
          </w:p>
        </w:tc>
        <w:tc>
          <w:tcPr>
            <w:tcW w:w="3882" w:type="dxa"/>
            <w:tcBorders>
              <w:top w:val="nil"/>
              <w:left w:val="single" w:sz="4" w:space="0" w:color="auto"/>
              <w:bottom w:val="single" w:sz="4" w:space="0" w:color="auto"/>
              <w:right w:val="single" w:sz="4" w:space="0" w:color="auto"/>
            </w:tcBorders>
            <w:shd w:val="clear" w:color="auto" w:fill="auto"/>
            <w:vAlign w:val="center"/>
            <w:hideMark/>
          </w:tcPr>
          <w:p w14:paraId="56312E0D"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Facilitate customer events</w:t>
            </w:r>
          </w:p>
        </w:tc>
        <w:tc>
          <w:tcPr>
            <w:tcW w:w="1098" w:type="dxa"/>
            <w:tcBorders>
              <w:top w:val="nil"/>
              <w:left w:val="nil"/>
              <w:bottom w:val="single" w:sz="4" w:space="0" w:color="auto"/>
              <w:right w:val="single" w:sz="4" w:space="0" w:color="auto"/>
            </w:tcBorders>
            <w:shd w:val="clear" w:color="auto" w:fill="auto"/>
            <w:noWrap/>
            <w:vAlign w:val="center"/>
            <w:hideMark/>
          </w:tcPr>
          <w:p w14:paraId="37C079A5"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QUA05/G02</w:t>
            </w:r>
          </w:p>
        </w:tc>
        <w:tc>
          <w:tcPr>
            <w:tcW w:w="826" w:type="dxa"/>
            <w:gridSpan w:val="2"/>
            <w:tcBorders>
              <w:top w:val="nil"/>
              <w:left w:val="nil"/>
              <w:bottom w:val="single" w:sz="4" w:space="0" w:color="auto"/>
              <w:right w:val="single" w:sz="4" w:space="0" w:color="auto"/>
            </w:tcBorders>
            <w:shd w:val="clear" w:color="auto" w:fill="F8D5D4"/>
            <w:noWrap/>
            <w:vAlign w:val="bottom"/>
            <w:hideMark/>
          </w:tcPr>
          <w:p w14:paraId="6E078F5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R/A</w:t>
            </w:r>
          </w:p>
        </w:tc>
        <w:tc>
          <w:tcPr>
            <w:tcW w:w="827" w:type="dxa"/>
            <w:tcBorders>
              <w:top w:val="nil"/>
              <w:left w:val="nil"/>
              <w:bottom w:val="single" w:sz="4" w:space="0" w:color="auto"/>
              <w:right w:val="single" w:sz="4" w:space="0" w:color="auto"/>
            </w:tcBorders>
            <w:shd w:val="clear" w:color="auto" w:fill="FCEDD0"/>
            <w:noWrap/>
            <w:vAlign w:val="bottom"/>
            <w:hideMark/>
          </w:tcPr>
          <w:p w14:paraId="331426F3"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826" w:type="dxa"/>
            <w:tcBorders>
              <w:top w:val="nil"/>
              <w:left w:val="nil"/>
              <w:bottom w:val="single" w:sz="4" w:space="0" w:color="auto"/>
              <w:right w:val="single" w:sz="4" w:space="0" w:color="auto"/>
            </w:tcBorders>
            <w:shd w:val="clear" w:color="auto" w:fill="DCFADA"/>
            <w:noWrap/>
            <w:vAlign w:val="bottom"/>
            <w:hideMark/>
          </w:tcPr>
          <w:p w14:paraId="2727006F"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858" w:type="dxa"/>
            <w:tcBorders>
              <w:top w:val="nil"/>
              <w:left w:val="nil"/>
              <w:bottom w:val="single" w:sz="4" w:space="0" w:color="auto"/>
              <w:right w:val="single" w:sz="4" w:space="0" w:color="auto"/>
            </w:tcBorders>
            <w:shd w:val="clear" w:color="auto" w:fill="FCEDD0"/>
            <w:noWrap/>
            <w:vAlign w:val="bottom"/>
            <w:hideMark/>
          </w:tcPr>
          <w:p w14:paraId="1E487918"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794" w:type="dxa"/>
            <w:tcBorders>
              <w:top w:val="nil"/>
              <w:left w:val="nil"/>
              <w:bottom w:val="single" w:sz="4" w:space="0" w:color="auto"/>
              <w:right w:val="single" w:sz="4" w:space="0" w:color="auto"/>
            </w:tcBorders>
            <w:shd w:val="clear" w:color="auto" w:fill="FCEDD0"/>
            <w:noWrap/>
            <w:vAlign w:val="bottom"/>
            <w:hideMark/>
          </w:tcPr>
          <w:p w14:paraId="5D5A4E3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1631" w:type="dxa"/>
            <w:tcBorders>
              <w:top w:val="single" w:sz="4" w:space="0" w:color="auto"/>
              <w:left w:val="nil"/>
              <w:bottom w:val="single" w:sz="4" w:space="0" w:color="auto"/>
              <w:right w:val="single" w:sz="4" w:space="0" w:color="auto"/>
            </w:tcBorders>
            <w:shd w:val="clear" w:color="auto" w:fill="FCEDD0"/>
          </w:tcPr>
          <w:p w14:paraId="6C781655" w14:textId="77777777" w:rsidR="000A7943" w:rsidRPr="00192C81" w:rsidRDefault="000A7943" w:rsidP="000A7943">
            <w:pPr>
              <w:spacing w:before="60"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R</w:t>
            </w:r>
          </w:p>
        </w:tc>
        <w:tc>
          <w:tcPr>
            <w:tcW w:w="929" w:type="dxa"/>
            <w:tcBorders>
              <w:top w:val="single" w:sz="4" w:space="0" w:color="auto"/>
              <w:left w:val="single" w:sz="4" w:space="0" w:color="auto"/>
              <w:bottom w:val="single" w:sz="4" w:space="0" w:color="auto"/>
              <w:right w:val="single" w:sz="4" w:space="0" w:color="auto"/>
            </w:tcBorders>
            <w:shd w:val="clear" w:color="auto" w:fill="DCFADA"/>
            <w:vAlign w:val="bottom"/>
          </w:tcPr>
          <w:p w14:paraId="55FDA01B" w14:textId="77777777" w:rsidR="000A7943" w:rsidRPr="00192C81" w:rsidRDefault="000A7943" w:rsidP="000A7943">
            <w:pPr>
              <w:spacing w:after="0" w:line="240" w:lineRule="auto"/>
              <w:jc w:val="center"/>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C</w:t>
            </w:r>
          </w:p>
        </w:tc>
        <w:tc>
          <w:tcPr>
            <w:tcW w:w="3785" w:type="dxa"/>
            <w:gridSpan w:val="2"/>
            <w:tcBorders>
              <w:top w:val="nil"/>
              <w:left w:val="single" w:sz="4" w:space="0" w:color="auto"/>
              <w:bottom w:val="single" w:sz="4" w:space="0" w:color="auto"/>
              <w:right w:val="single" w:sz="4" w:space="0" w:color="auto"/>
            </w:tcBorders>
            <w:shd w:val="clear" w:color="auto" w:fill="auto"/>
            <w:vAlign w:val="center"/>
          </w:tcPr>
          <w:p w14:paraId="7DF414EE" w14:textId="77777777" w:rsidR="000A7943" w:rsidRPr="00192C81" w:rsidRDefault="000A7943" w:rsidP="000A7943">
            <w:pPr>
              <w:spacing w:after="0" w:line="240" w:lineRule="auto"/>
              <w:rPr>
                <w:rFonts w:ascii="Calibri" w:eastAsia="Times New Roman" w:hAnsi="Calibri" w:cs="Calibri"/>
                <w:color w:val="0070C0"/>
                <w:sz w:val="18"/>
                <w:szCs w:val="14"/>
                <w:lang w:eastAsia="en-GB"/>
              </w:rPr>
            </w:pPr>
            <w:r w:rsidRPr="00192C81">
              <w:rPr>
                <w:rFonts w:ascii="Calibri" w:eastAsia="Times New Roman" w:hAnsi="Calibri" w:cs="Calibri"/>
                <w:color w:val="0070C0"/>
                <w:sz w:val="18"/>
                <w:szCs w:val="14"/>
                <w:lang w:eastAsia="en-GB"/>
              </w:rPr>
              <w:t>DDR/FSR Tracker – QUA05/F08</w:t>
            </w:r>
          </w:p>
        </w:tc>
        <w:tc>
          <w:tcPr>
            <w:tcW w:w="0" w:type="auto"/>
            <w:tcBorders>
              <w:top w:val="nil"/>
              <w:left w:val="nil"/>
              <w:bottom w:val="nil"/>
              <w:right w:val="nil"/>
            </w:tcBorders>
            <w:shd w:val="clear" w:color="auto" w:fill="auto"/>
            <w:noWrap/>
            <w:vAlign w:val="bottom"/>
            <w:hideMark/>
          </w:tcPr>
          <w:p w14:paraId="17D3E899" w14:textId="77777777" w:rsidR="000A7943" w:rsidRPr="00192C81" w:rsidRDefault="000A7943" w:rsidP="00F260C7">
            <w:pPr>
              <w:keepNext/>
              <w:spacing w:after="0" w:line="240" w:lineRule="auto"/>
              <w:jc w:val="both"/>
              <w:rPr>
                <w:rFonts w:ascii="Calibri" w:eastAsia="Times New Roman" w:hAnsi="Calibri" w:cs="Calibri"/>
                <w:color w:val="000000"/>
                <w:lang w:eastAsia="en-GB"/>
              </w:rPr>
            </w:pPr>
          </w:p>
        </w:tc>
      </w:tr>
    </w:tbl>
    <w:p w14:paraId="0102B0F4" w14:textId="5F877E70" w:rsidR="00F260C7" w:rsidRDefault="00F260C7" w:rsidP="00F260C7">
      <w:pPr>
        <w:pStyle w:val="Caption"/>
        <w:framePr w:hSpace="180" w:wrap="around" w:vAnchor="page" w:hAnchor="page" w:x="493" w:y="10009"/>
      </w:pPr>
      <w:bookmarkStart w:id="65" w:name="_Ref136183044"/>
      <w:r w:rsidRPr="00842D7D">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5</w:t>
      </w:r>
      <w:r w:rsidR="003A6EC0">
        <w:rPr>
          <w:b/>
        </w:rPr>
        <w:fldChar w:fldCharType="end"/>
      </w:r>
      <w:bookmarkEnd w:id="65"/>
      <w:r w:rsidRPr="00842D7D">
        <w:rPr>
          <w:b/>
        </w:rPr>
        <w:t>: APQP RACI matrix</w:t>
      </w:r>
      <w:r w:rsidRPr="00FB245E">
        <w:t xml:space="preserve"> to define each functions roles &amp; responsibilities for APQP/PPAP deliverables</w:t>
      </w:r>
      <w:r w:rsidR="00B573B3">
        <w:t xml:space="preserve">, including the Programme Manager (PM), Quality Engineer (QE), Purchasing (PUR), Industrialisation (IND), Engineering Project Lead (EPL), </w:t>
      </w:r>
      <w:r w:rsidR="00B51157">
        <w:t>Operations (OPS) &amp; Customer</w:t>
      </w:r>
    </w:p>
    <w:p w14:paraId="5F4B2847" w14:textId="77777777" w:rsidR="000A7943" w:rsidRDefault="000A7943" w:rsidP="000A7943"/>
    <w:p w14:paraId="61550901" w14:textId="77777777" w:rsidR="00192C81" w:rsidRPr="000A7943" w:rsidRDefault="00192C81" w:rsidP="000A7943">
      <w:pPr>
        <w:sectPr w:rsidR="00192C81" w:rsidRPr="000A7943" w:rsidSect="003B7DCD">
          <w:pgSz w:w="16838" w:h="11906" w:orient="landscape"/>
          <w:pgMar w:top="142" w:right="720" w:bottom="720" w:left="720" w:header="708" w:footer="708" w:gutter="0"/>
          <w:cols w:space="708"/>
          <w:titlePg/>
          <w:docGrid w:linePitch="360"/>
        </w:sectPr>
      </w:pPr>
    </w:p>
    <w:p w14:paraId="59AD0CBA" w14:textId="722A1DE9" w:rsidR="001F3015" w:rsidRDefault="001F3015" w:rsidP="007A5DF3">
      <w:pPr>
        <w:pStyle w:val="Heading2"/>
        <w:numPr>
          <w:ilvl w:val="1"/>
          <w:numId w:val="6"/>
        </w:numPr>
      </w:pPr>
      <w:bookmarkStart w:id="66" w:name="_Toc137807602"/>
      <w:r>
        <w:lastRenderedPageBreak/>
        <w:t>Developing a Strategy</w:t>
      </w:r>
      <w:bookmarkEnd w:id="66"/>
    </w:p>
    <w:p w14:paraId="54CA787E" w14:textId="0C286A18" w:rsidR="00192E1A" w:rsidRDefault="00192E1A" w:rsidP="00842D7D"/>
    <w:p w14:paraId="057ACAE7" w14:textId="20D931ED" w:rsidR="00192E1A" w:rsidRPr="00842D7D" w:rsidRDefault="00192E1A" w:rsidP="007A5DF3">
      <w:pPr>
        <w:pStyle w:val="Heading3"/>
        <w:numPr>
          <w:ilvl w:val="2"/>
          <w:numId w:val="6"/>
        </w:numPr>
      </w:pPr>
      <w:bookmarkStart w:id="67" w:name="_Toc137807603"/>
      <w:r>
        <w:t>Updating SGB</w:t>
      </w:r>
      <w:r w:rsidR="002B3174">
        <w:t>’</w:t>
      </w:r>
      <w:r>
        <w:t>s Processes</w:t>
      </w:r>
      <w:bookmarkEnd w:id="67"/>
    </w:p>
    <w:p w14:paraId="39DDE696" w14:textId="194452B1" w:rsidR="001F3015" w:rsidRDefault="001F3015" w:rsidP="00842D7D"/>
    <w:p w14:paraId="6D251203" w14:textId="14A2A2B6" w:rsidR="001F3015" w:rsidRDefault="001F3015" w:rsidP="00842D7D">
      <w:pPr>
        <w:jc w:val="both"/>
      </w:pPr>
      <w:r>
        <w:t xml:space="preserve">Although the SGB APQP requirements and their processes for each PPAP deliverable </w:t>
      </w:r>
      <w:r w:rsidR="002B3174">
        <w:t>were</w:t>
      </w:r>
      <w:r>
        <w:t xml:space="preserve"> defined, </w:t>
      </w:r>
      <w:r w:rsidR="002B3174">
        <w:t xml:space="preserve">it was still necessary to assess whether </w:t>
      </w:r>
      <w:r w:rsidR="00E3357C">
        <w:t>the processes align</w:t>
      </w:r>
      <w:r w:rsidR="002B3174">
        <w:t>ed</w:t>
      </w:r>
      <w:r w:rsidR="00E3357C">
        <w:t xml:space="preserve"> to the standard. </w:t>
      </w:r>
      <w:r w:rsidR="00B51157">
        <w:t>Reading the DFMEA and PFMEA processes</w:t>
      </w:r>
      <w:r w:rsidR="00E3357C">
        <w:t xml:space="preserve">, it became apparent that the data flow from deliverable to deliverable was not taking place. This was due to SGB processes being written in isolation of each other, rather than as a system. </w:t>
      </w:r>
    </w:p>
    <w:p w14:paraId="4618BE28" w14:textId="42951261" w:rsidR="00E3357C" w:rsidRDefault="00E3357C" w:rsidP="00842D7D">
      <w:pPr>
        <w:jc w:val="both"/>
      </w:pPr>
    </w:p>
    <w:p w14:paraId="6BEEEA3A" w14:textId="507D1089" w:rsidR="00E3357C" w:rsidRDefault="00E3357C" w:rsidP="00842D7D">
      <w:pPr>
        <w:jc w:val="both"/>
      </w:pPr>
      <w:r>
        <w:t xml:space="preserve">To improve the quality of each deliverable and restore the information flow, a plan was devised to align each of the processes to industry standards. To achieve this, the IAQG APQP Manual </w:t>
      </w:r>
      <w:r w:rsidR="00D55102">
        <w:fldChar w:fldCharType="begin" w:fldLock="1"/>
      </w:r>
      <w:r w:rsidR="00B54D21">
        <w:instrText>ADDIN CSL_CITATION {"citationItems":[{"id":"ITEM-1","itemData":{"author":[{"dropping-particle":"","family":"IAQG","given":"","non-dropping-particle":"","parse-names":false,"suffix":""}],"id":"ITEM-1","issued":{"date-parts":[["2017"]]},"title":"Aerospace APQP/PPAP Manual Guidance material for International Aerospace Standard 9145","type":"report"},"uris":["http://www.mendeley.com/documents/?uuid=3e928d20-03a0-4d13-8b58-2b9cdee27099"]}],"mendeley":{"formattedCitation":"(IAQG, 2017)","plainTextFormattedCitation":"(IAQG, 2017)","previouslyFormattedCitation":"(IAQG, 2017)"},"properties":{"noteIndex":0},"schema":"https://github.com/citation-style-language/schema/raw/master/csl-citation.json"}</w:instrText>
      </w:r>
      <w:r w:rsidR="00D55102">
        <w:fldChar w:fldCharType="separate"/>
      </w:r>
      <w:r w:rsidR="00D55102" w:rsidRPr="00D55102">
        <w:rPr>
          <w:noProof/>
        </w:rPr>
        <w:t>(IAQG, 2017)</w:t>
      </w:r>
      <w:r w:rsidR="00D55102">
        <w:fldChar w:fldCharType="end"/>
      </w:r>
      <w:r>
        <w:t xml:space="preserve"> and the SCMH website</w:t>
      </w:r>
      <w:r w:rsidR="00D55102">
        <w:t xml:space="preserve"> </w:t>
      </w:r>
      <w:r w:rsidR="00D55102">
        <w:fldChar w:fldCharType="begin" w:fldLock="1"/>
      </w:r>
      <w:r w:rsidR="00D55102">
        <w:instrText>ADDIN CSL_CITATION {"citationItems":[{"id":"ITEM-1","itemData":{"URL":"https://scmh.iaqg.org/plan-manage/#1612365454613-62320-undefined","author":[{"dropping-particle":"","family":"SCMH","given":"","non-dropping-particle":"","parse-names":false,"suffix":""}],"id":"ITEM-1","issued":{"date-parts":[["2021"]]},"title":"Plan and Manage - Advanced Product Quality Planning (APQP) 9145","type":"webpage"},"uris":["http://www.mendeley.com/documents/?uuid=91ea565c-1a4e-4f1d-9331-cbb70c315285"]}],"mendeley":{"formattedCitation":"(SCMH, 2021)","plainTextFormattedCitation":"(SCMH, 2021)","previouslyFormattedCitation":"(SCMH, 2021)"},"properties":{"noteIndex":0},"schema":"https://github.com/citation-style-language/schema/raw/master/csl-citation.json"}</w:instrText>
      </w:r>
      <w:r w:rsidR="00D55102">
        <w:fldChar w:fldCharType="separate"/>
      </w:r>
      <w:r w:rsidR="00D55102" w:rsidRPr="00D55102">
        <w:rPr>
          <w:noProof/>
        </w:rPr>
        <w:t>(SCMH, 2021)</w:t>
      </w:r>
      <w:r w:rsidR="00D55102">
        <w:fldChar w:fldCharType="end"/>
      </w:r>
      <w:r w:rsidR="00192E1A">
        <w:t xml:space="preserve"> information</w:t>
      </w:r>
      <w:r>
        <w:t xml:space="preserve"> </w:t>
      </w:r>
      <w:r w:rsidR="00565AF2">
        <w:t xml:space="preserve">are </w:t>
      </w:r>
      <w:r w:rsidR="00D66C41">
        <w:t>going</w:t>
      </w:r>
      <w:r w:rsidR="00565AF2">
        <w:t xml:space="preserve"> to be</w:t>
      </w:r>
      <w:r>
        <w:t xml:space="preserve"> used to review each process and deliverable and update them where any gaps were found. To complete this activity for all 29 deliverables</w:t>
      </w:r>
      <w:r w:rsidR="00192E1A">
        <w:t xml:space="preserve">, a timeline was created to support the updates </w:t>
      </w:r>
      <w:r w:rsidR="00D55102">
        <w:t>(</w:t>
      </w:r>
      <w:r w:rsidR="00192E1A" w:rsidRPr="00D55102">
        <w:fldChar w:fldCharType="begin"/>
      </w:r>
      <w:r w:rsidR="00192E1A" w:rsidRPr="00D55102">
        <w:instrText xml:space="preserve"> REF _Ref134454753 \h </w:instrText>
      </w:r>
      <w:r w:rsidR="00D55102" w:rsidRPr="00CD37AA">
        <w:instrText xml:space="preserve"> \* MERGEFORMAT </w:instrText>
      </w:r>
      <w:r w:rsidR="00192E1A" w:rsidRPr="00D55102">
        <w:fldChar w:fldCharType="separate"/>
      </w:r>
      <w:r w:rsidR="008C301E" w:rsidRPr="008C301E">
        <w:t xml:space="preserve">Appendix </w:t>
      </w:r>
      <w:r w:rsidR="008C301E" w:rsidRPr="008C301E">
        <w:rPr>
          <w:noProof/>
        </w:rPr>
        <w:t>7</w:t>
      </w:r>
      <w:r w:rsidR="00192E1A" w:rsidRPr="00D55102">
        <w:fldChar w:fldCharType="end"/>
      </w:r>
      <w:r w:rsidR="00D55102">
        <w:t>)</w:t>
      </w:r>
      <w:r w:rsidR="00192E1A">
        <w:t>. Due to the high number of processes to review and update, the proposed completion date is 20-02-25.</w:t>
      </w:r>
    </w:p>
    <w:p w14:paraId="453D9225" w14:textId="7ED525A2" w:rsidR="00192E1A" w:rsidRDefault="00192E1A" w:rsidP="00842D7D">
      <w:pPr>
        <w:jc w:val="both"/>
      </w:pPr>
    </w:p>
    <w:p w14:paraId="5211C4A4" w14:textId="258C77E6" w:rsidR="00192E1A" w:rsidRDefault="00192E1A" w:rsidP="007A5DF3">
      <w:pPr>
        <w:pStyle w:val="Heading3"/>
        <w:numPr>
          <w:ilvl w:val="2"/>
          <w:numId w:val="6"/>
        </w:numPr>
      </w:pPr>
      <w:bookmarkStart w:id="68" w:name="_Toc137807604"/>
      <w:r>
        <w:t>Creation of the Industrialisation Risk Analysis</w:t>
      </w:r>
      <w:bookmarkEnd w:id="68"/>
    </w:p>
    <w:p w14:paraId="12C79909" w14:textId="0A35243E" w:rsidR="001F3015" w:rsidRDefault="001F3015" w:rsidP="00842D7D"/>
    <w:p w14:paraId="33BC1466" w14:textId="68C2E6A8" w:rsidR="00192E1A" w:rsidRDefault="00192E1A" w:rsidP="00842D7D">
      <w:pPr>
        <w:jc w:val="both"/>
      </w:pPr>
      <w:r>
        <w:t>To support SGB</w:t>
      </w:r>
      <w:r w:rsidR="00144078">
        <w:t>’</w:t>
      </w:r>
      <w:r w:rsidR="00DA02C1">
        <w:t>s APQP implementation, the requirement for a new process was identified. The ‘Industrialisation Risk Analysis’ was devised as a method to identify the key modules that SGB would carry out APQP on within a completed product. The other modules not chosen would be developed according to SGB</w:t>
      </w:r>
      <w:r w:rsidR="00882AD6">
        <w:t>’</w:t>
      </w:r>
      <w:r w:rsidR="00DA02C1">
        <w:t>s standard process, without a PPAP being created. This approach would allow SGB to be compliant to APQP for the modules that have the highest risk of producing non-conformances within the completed product.</w:t>
      </w:r>
    </w:p>
    <w:p w14:paraId="77268D0F" w14:textId="545BA047" w:rsidR="00DA02C1" w:rsidRDefault="00DA02C1" w:rsidP="00842D7D">
      <w:pPr>
        <w:jc w:val="both"/>
      </w:pPr>
    </w:p>
    <w:p w14:paraId="5A2093E4" w14:textId="45810D11" w:rsidR="00DA02C1" w:rsidRDefault="00DA02C1" w:rsidP="00842D7D">
      <w:pPr>
        <w:jc w:val="both"/>
      </w:pPr>
      <w:r>
        <w:t xml:space="preserve">To carry </w:t>
      </w:r>
      <w:r w:rsidR="000B2E15">
        <w:t xml:space="preserve">out the assessment, the engineering department would have to provide the Product Breakdown Schematic of the product. Next, each module would have to be reviewed </w:t>
      </w:r>
      <w:r w:rsidR="00742D09">
        <w:t>and assigned</w:t>
      </w:r>
      <w:r w:rsidR="000B2E15">
        <w:t xml:space="preserve"> a risk score based on the following criteria;</w:t>
      </w:r>
    </w:p>
    <w:p w14:paraId="0B74DB55" w14:textId="6E2CE81B" w:rsidR="000B2E15" w:rsidRDefault="000B2E15" w:rsidP="007A5DF3">
      <w:pPr>
        <w:pStyle w:val="ListParagraph"/>
        <w:numPr>
          <w:ilvl w:val="0"/>
          <w:numId w:val="24"/>
        </w:numPr>
      </w:pPr>
      <w:r>
        <w:t>Has SGB made the module before?</w:t>
      </w:r>
    </w:p>
    <w:p w14:paraId="4BD14327" w14:textId="02DF2889" w:rsidR="000B2E15" w:rsidRDefault="000B2E15" w:rsidP="007A5DF3">
      <w:pPr>
        <w:pStyle w:val="ListParagraph"/>
        <w:numPr>
          <w:ilvl w:val="0"/>
          <w:numId w:val="24"/>
        </w:numPr>
      </w:pPr>
      <w:r>
        <w:t xml:space="preserve">Has SGB used the supplier of the </w:t>
      </w:r>
      <w:r w:rsidR="0079145B">
        <w:t>lower-level</w:t>
      </w:r>
      <w:r>
        <w:t xml:space="preserve"> parts before?</w:t>
      </w:r>
    </w:p>
    <w:p w14:paraId="7CE2090B" w14:textId="1024761B" w:rsidR="000B2E15" w:rsidRDefault="000B2E15" w:rsidP="007A5DF3">
      <w:pPr>
        <w:pStyle w:val="ListParagraph"/>
        <w:numPr>
          <w:ilvl w:val="0"/>
          <w:numId w:val="24"/>
        </w:numPr>
      </w:pPr>
      <w:r>
        <w:t>What is the risk associated with the supplier?</w:t>
      </w:r>
    </w:p>
    <w:p w14:paraId="61D39B56" w14:textId="74722DE6" w:rsidR="000B2E15" w:rsidRDefault="000B2E15" w:rsidP="007A5DF3">
      <w:pPr>
        <w:pStyle w:val="ListParagraph"/>
        <w:numPr>
          <w:ilvl w:val="1"/>
          <w:numId w:val="24"/>
        </w:numPr>
      </w:pPr>
      <w:r>
        <w:t>Are they new to SGB?</w:t>
      </w:r>
    </w:p>
    <w:p w14:paraId="5B57C66A" w14:textId="2A509BA3" w:rsidR="000B2E15" w:rsidRDefault="000B2E15" w:rsidP="007A5DF3">
      <w:pPr>
        <w:pStyle w:val="ListParagraph"/>
        <w:numPr>
          <w:ilvl w:val="1"/>
          <w:numId w:val="24"/>
        </w:numPr>
      </w:pPr>
      <w:r>
        <w:t>Does the supplier have a good track record for SGB?</w:t>
      </w:r>
    </w:p>
    <w:p w14:paraId="716F7921" w14:textId="619CE89A" w:rsidR="000B2E15" w:rsidRDefault="000B2E15" w:rsidP="007A5DF3">
      <w:pPr>
        <w:pStyle w:val="ListParagraph"/>
        <w:numPr>
          <w:ilvl w:val="1"/>
          <w:numId w:val="24"/>
        </w:numPr>
      </w:pPr>
      <w:r>
        <w:t>Does the supplier hold the relevant aviation accreditations?</w:t>
      </w:r>
    </w:p>
    <w:p w14:paraId="5B9459C0" w14:textId="6C1C3E98" w:rsidR="000B2E15" w:rsidRDefault="000B2E15" w:rsidP="007A5DF3">
      <w:pPr>
        <w:pStyle w:val="ListParagraph"/>
        <w:numPr>
          <w:ilvl w:val="1"/>
          <w:numId w:val="24"/>
        </w:numPr>
      </w:pPr>
      <w:r>
        <w:t>Is an alternative supplier available to transfer work should an issue arise?</w:t>
      </w:r>
    </w:p>
    <w:p w14:paraId="129A2D48" w14:textId="11CE9BFC" w:rsidR="00736903" w:rsidRDefault="00736903" w:rsidP="007A5DF3">
      <w:pPr>
        <w:pStyle w:val="ListParagraph"/>
        <w:numPr>
          <w:ilvl w:val="1"/>
          <w:numId w:val="24"/>
        </w:numPr>
      </w:pPr>
      <w:r>
        <w:lastRenderedPageBreak/>
        <w:t>Is the supplier aligned and contracted to SGB processes?</w:t>
      </w:r>
    </w:p>
    <w:p w14:paraId="3E42D649" w14:textId="17A5A7FA" w:rsidR="00736903" w:rsidRDefault="00736903" w:rsidP="007A5DF3">
      <w:pPr>
        <w:pStyle w:val="ListParagraph"/>
        <w:numPr>
          <w:ilvl w:val="0"/>
          <w:numId w:val="24"/>
        </w:numPr>
      </w:pPr>
      <w:r>
        <w:t>Is the material and process used familiar to SGB?</w:t>
      </w:r>
    </w:p>
    <w:p w14:paraId="4929F165" w14:textId="73BEAD2E" w:rsidR="00736903" w:rsidRDefault="00736903" w:rsidP="007A5DF3">
      <w:pPr>
        <w:pStyle w:val="ListParagraph"/>
        <w:numPr>
          <w:ilvl w:val="0"/>
          <w:numId w:val="24"/>
        </w:numPr>
      </w:pPr>
      <w:r>
        <w:t>Does SGB have evidence of In-Service Issues for similar modules?</w:t>
      </w:r>
    </w:p>
    <w:p w14:paraId="7506A7CE" w14:textId="680C7565" w:rsidR="00736903" w:rsidRDefault="00736903" w:rsidP="00842D7D"/>
    <w:p w14:paraId="41009129" w14:textId="2513074F" w:rsidR="00736903" w:rsidRDefault="00736903" w:rsidP="00842D7D">
      <w:r>
        <w:t xml:space="preserve">Once the assessment is complete, the top 5 scoring modules would be selected for APQP, communicated to the customer and their approval for the selected modules obtained. An example of the potential modules selected for APQP is shown in </w:t>
      </w:r>
      <w:r w:rsidRPr="00C87A5C">
        <w:fldChar w:fldCharType="begin"/>
      </w:r>
      <w:r w:rsidRPr="00C87A5C">
        <w:instrText xml:space="preserve"> REF _Ref136187082 \h </w:instrText>
      </w:r>
      <w:r w:rsidR="00C87A5C" w:rsidRPr="00CD37AA">
        <w:instrText xml:space="preserve"> \* MERGEFORMAT </w:instrText>
      </w:r>
      <w:r w:rsidRPr="00C87A5C">
        <w:fldChar w:fldCharType="separate"/>
      </w:r>
      <w:r w:rsidR="008C301E" w:rsidRPr="008C301E">
        <w:t xml:space="preserve">Figure </w:t>
      </w:r>
      <w:r w:rsidR="008C301E" w:rsidRPr="008C301E">
        <w:rPr>
          <w:noProof/>
        </w:rPr>
        <w:t>22</w:t>
      </w:r>
      <w:r w:rsidRPr="00C87A5C">
        <w:fldChar w:fldCharType="end"/>
      </w:r>
      <w:r>
        <w:t>.</w:t>
      </w:r>
      <w:r w:rsidR="00F8597D">
        <w:t xml:space="preserve"> To ensure this process is formally created, the requirement for the process was included in the APQP rollout plan.</w:t>
      </w:r>
    </w:p>
    <w:p w14:paraId="59976D3A" w14:textId="77777777" w:rsidR="000B2E15" w:rsidRDefault="000B2E15" w:rsidP="00842D7D"/>
    <w:p w14:paraId="794E6906" w14:textId="50201040" w:rsidR="00192E1A" w:rsidRDefault="00192E1A" w:rsidP="00842D7D"/>
    <w:p w14:paraId="425C42AA" w14:textId="77777777" w:rsidR="00192E1A" w:rsidRDefault="00192E1A" w:rsidP="00842D7D">
      <w:pPr>
        <w:keepNext/>
        <w:jc w:val="center"/>
      </w:pPr>
      <w:r w:rsidRPr="00192E1A">
        <w:rPr>
          <w:noProof/>
          <w:lang w:eastAsia="en-GB"/>
        </w:rPr>
        <w:drawing>
          <wp:inline distT="0" distB="0" distL="0" distR="0" wp14:anchorId="7601407D" wp14:editId="3AAFB6D4">
            <wp:extent cx="2698750" cy="2704303"/>
            <wp:effectExtent l="0" t="0" r="6350" b="1270"/>
            <wp:docPr id="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9"/>
                    <a:stretch>
                      <a:fillRect/>
                    </a:stretch>
                  </pic:blipFill>
                  <pic:spPr>
                    <a:xfrm>
                      <a:off x="0" y="0"/>
                      <a:ext cx="2710516" cy="2716093"/>
                    </a:xfrm>
                    <a:prstGeom prst="rect">
                      <a:avLst/>
                    </a:prstGeom>
                  </pic:spPr>
                </pic:pic>
              </a:graphicData>
            </a:graphic>
          </wp:inline>
        </w:drawing>
      </w:r>
    </w:p>
    <w:p w14:paraId="791C57DD" w14:textId="3C93DBBD" w:rsidR="00192E1A" w:rsidRDefault="00192E1A" w:rsidP="00842D7D">
      <w:pPr>
        <w:pStyle w:val="Caption"/>
        <w:jc w:val="center"/>
      </w:pPr>
      <w:bookmarkStart w:id="69" w:name="_Ref136187082"/>
      <w:bookmarkStart w:id="70" w:name="_Ref136187074"/>
      <w:bookmarkStart w:id="71" w:name="_Toc137807648"/>
      <w:r w:rsidRPr="00842D7D">
        <w:rPr>
          <w:b/>
        </w:rPr>
        <w:t xml:space="preserve">Figure </w:t>
      </w:r>
      <w:r w:rsidRPr="00842D7D">
        <w:rPr>
          <w:b/>
        </w:rPr>
        <w:fldChar w:fldCharType="begin"/>
      </w:r>
      <w:r w:rsidRPr="00842D7D">
        <w:rPr>
          <w:b/>
        </w:rPr>
        <w:instrText xml:space="preserve"> SEQ Figure \* ARABIC </w:instrText>
      </w:r>
      <w:r w:rsidRPr="00842D7D">
        <w:rPr>
          <w:b/>
        </w:rPr>
        <w:fldChar w:fldCharType="separate"/>
      </w:r>
      <w:r w:rsidR="008C301E">
        <w:rPr>
          <w:b/>
          <w:noProof/>
        </w:rPr>
        <w:t>22</w:t>
      </w:r>
      <w:r w:rsidRPr="00842D7D">
        <w:rPr>
          <w:b/>
        </w:rPr>
        <w:fldChar w:fldCharType="end"/>
      </w:r>
      <w:bookmarkEnd w:id="69"/>
      <w:r w:rsidRPr="00842D7D">
        <w:rPr>
          <w:b/>
        </w:rPr>
        <w:t>: Industrial Risk Analysis</w:t>
      </w:r>
      <w:r>
        <w:t xml:space="preserve"> demonstrating potential module selection for APQP</w:t>
      </w:r>
      <w:bookmarkEnd w:id="70"/>
      <w:bookmarkEnd w:id="71"/>
    </w:p>
    <w:p w14:paraId="4747A798" w14:textId="22F53D60" w:rsidR="001F3015" w:rsidRDefault="001F3015" w:rsidP="00842D7D"/>
    <w:p w14:paraId="35404678" w14:textId="504C5A33" w:rsidR="001F3015" w:rsidRPr="00842D7D" w:rsidRDefault="001F3015" w:rsidP="007A5DF3">
      <w:pPr>
        <w:pStyle w:val="Heading2"/>
        <w:numPr>
          <w:ilvl w:val="1"/>
          <w:numId w:val="6"/>
        </w:numPr>
      </w:pPr>
      <w:bookmarkStart w:id="72" w:name="_Toc137807605"/>
      <w:r>
        <w:t>Building a PPAP Tool</w:t>
      </w:r>
      <w:bookmarkEnd w:id="72"/>
    </w:p>
    <w:p w14:paraId="26A5F5D9" w14:textId="09F30036" w:rsidR="001F3015" w:rsidRDefault="001F3015" w:rsidP="00842D7D"/>
    <w:p w14:paraId="1E788E72" w14:textId="24CDBE7D" w:rsidR="0098587C" w:rsidRDefault="00041079" w:rsidP="00842D7D">
      <w:pPr>
        <w:jc w:val="both"/>
      </w:pPr>
      <w:r>
        <w:t xml:space="preserve">To support the process updates and ensure that each deliverable </w:t>
      </w:r>
      <w:r w:rsidR="0079145B">
        <w:t xml:space="preserve">is </w:t>
      </w:r>
      <w:r>
        <w:t xml:space="preserve">produced according to the methodology devised by this dissertation, a requirement for a new deliverable tracking tool was identified. The information obtained from the SCMH website </w:t>
      </w:r>
      <w:r w:rsidR="00B54D21">
        <w:fldChar w:fldCharType="begin" w:fldLock="1"/>
      </w:r>
      <w:r w:rsidR="00D926FB">
        <w:instrText>ADDIN CSL_CITATION {"citationItems":[{"id":"ITEM-1","itemData":{"URL":"https://scmh.iaqg.org/plan-manage/#1612365454613-62320-undefined","author":[{"dropping-particle":"","family":"SCMH","given":"","non-dropping-particle":"","parse-names":false,"suffix":""}],"id":"ITEM-1","issued":{"date-parts":[["2021"]]},"title":"Plan and Manage - Advanced Product Quality Planning (APQP) 9145","type":"webpage"},"uris":["http://www.mendeley.com/documents/?uuid=91ea565c-1a4e-4f1d-9331-cbb70c315285"]}],"mendeley":{"formattedCitation":"(SCMH, 2021)","plainTextFormattedCitation":"(SCMH, 2021)","previouslyFormattedCitation":"(SCMH, 2021)"},"properties":{"noteIndex":0},"schema":"https://github.com/citation-style-language/schema/raw/master/csl-citation.json"}</w:instrText>
      </w:r>
      <w:r w:rsidR="00B54D21">
        <w:fldChar w:fldCharType="separate"/>
      </w:r>
      <w:r w:rsidR="00B54D21" w:rsidRPr="00B54D21">
        <w:rPr>
          <w:noProof/>
        </w:rPr>
        <w:t>(SCMH, 2021)</w:t>
      </w:r>
      <w:r w:rsidR="00B54D21">
        <w:fldChar w:fldCharType="end"/>
      </w:r>
      <w:r>
        <w:t xml:space="preserve"> was compiled into a series of audit checklists, one for each deliverable. The audit questions would be asked of the process for the deliverable and evidenced that the requirements have been met in each deliverable.</w:t>
      </w:r>
      <w:r w:rsidR="005B05B8">
        <w:t xml:space="preserve"> For rapid prototyping, the tool was designed in Microsoft Excel.</w:t>
      </w:r>
    </w:p>
    <w:p w14:paraId="388E8A99" w14:textId="48F292FB" w:rsidR="0098587C" w:rsidRDefault="0098587C" w:rsidP="00842D7D">
      <w:pPr>
        <w:jc w:val="both"/>
      </w:pPr>
      <w:r>
        <w:lastRenderedPageBreak/>
        <w:t>To start the PPAP tool, the standard AS9145 PPAP form was attached as the front sheet</w:t>
      </w:r>
      <w:r w:rsidR="00BB56C9">
        <w:t>,</w:t>
      </w:r>
      <w:r>
        <w:t xml:space="preserve"> </w:t>
      </w:r>
      <w:r w:rsidRPr="00E148A6">
        <w:fldChar w:fldCharType="begin"/>
      </w:r>
      <w:r w:rsidRPr="00E148A6">
        <w:instrText xml:space="preserve"> REF _Ref136192880 \h </w:instrText>
      </w:r>
      <w:r w:rsidR="00E148A6" w:rsidRPr="00CD37AA">
        <w:instrText xml:space="preserve"> \* MERGEFORMAT </w:instrText>
      </w:r>
      <w:r w:rsidRPr="00E148A6">
        <w:fldChar w:fldCharType="separate"/>
      </w:r>
      <w:r w:rsidR="008C301E" w:rsidRPr="008C301E">
        <w:t xml:space="preserve">Figure </w:t>
      </w:r>
      <w:r w:rsidR="008C301E" w:rsidRPr="008C301E">
        <w:rPr>
          <w:noProof/>
        </w:rPr>
        <w:t>23</w:t>
      </w:r>
      <w:r w:rsidRPr="00E148A6">
        <w:fldChar w:fldCharType="end"/>
      </w:r>
      <w:r>
        <w:t>.</w:t>
      </w:r>
      <w:r w:rsidR="005B05B8">
        <w:t xml:space="preserve"> By using the standard template, SGB will meet the requirements of AS9145 PPAP approval by ensuring it contains all the fields and requirements for a submittal. This form will be completed once the product has reached completion and all elements are ready for the customer to review. The form must be approved by the customer prior to shipping and typically at the end of the FAI event. Without an approved form, the customer can refuse delivery of the product.</w:t>
      </w:r>
    </w:p>
    <w:p w14:paraId="4102F1E8" w14:textId="5ECE2D1F" w:rsidR="009069E5" w:rsidRDefault="001F3015" w:rsidP="00842D7D">
      <w:pPr>
        <w:jc w:val="both"/>
      </w:pPr>
      <w:r>
        <w:t xml:space="preserve"> </w:t>
      </w:r>
    </w:p>
    <w:p w14:paraId="48B4FC5D" w14:textId="77777777" w:rsidR="00F260C7" w:rsidRDefault="00942248" w:rsidP="00F260C7">
      <w:pPr>
        <w:keepNext/>
        <w:jc w:val="center"/>
      </w:pPr>
      <w:r w:rsidRPr="00942248">
        <w:rPr>
          <w:noProof/>
          <w:lang w:eastAsia="en-GB"/>
        </w:rPr>
        <w:drawing>
          <wp:inline distT="0" distB="0" distL="0" distR="0" wp14:anchorId="5DB3BFB6" wp14:editId="2B99DEAF">
            <wp:extent cx="4142509" cy="518522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49390" cy="5193842"/>
                    </a:xfrm>
                    <a:prstGeom prst="rect">
                      <a:avLst/>
                    </a:prstGeom>
                  </pic:spPr>
                </pic:pic>
              </a:graphicData>
            </a:graphic>
          </wp:inline>
        </w:drawing>
      </w:r>
    </w:p>
    <w:p w14:paraId="62424A29" w14:textId="2B40F1FF" w:rsidR="00942248" w:rsidRDefault="00F260C7" w:rsidP="00F260C7">
      <w:pPr>
        <w:pStyle w:val="Caption"/>
        <w:jc w:val="center"/>
        <w:rPr>
          <w:b/>
        </w:rPr>
      </w:pPr>
      <w:bookmarkStart w:id="73" w:name="_Ref136192880"/>
      <w:bookmarkStart w:id="74" w:name="_Toc137807649"/>
      <w:r w:rsidRPr="00F260C7">
        <w:rPr>
          <w:b/>
        </w:rPr>
        <w:t xml:space="preserve">Figure </w:t>
      </w:r>
      <w:r w:rsidRPr="00F260C7">
        <w:rPr>
          <w:b/>
        </w:rPr>
        <w:fldChar w:fldCharType="begin"/>
      </w:r>
      <w:r w:rsidRPr="00F260C7">
        <w:rPr>
          <w:b/>
        </w:rPr>
        <w:instrText xml:space="preserve"> SEQ Figure \* ARABIC </w:instrText>
      </w:r>
      <w:r w:rsidRPr="00F260C7">
        <w:rPr>
          <w:b/>
        </w:rPr>
        <w:fldChar w:fldCharType="separate"/>
      </w:r>
      <w:r w:rsidR="008C301E">
        <w:rPr>
          <w:b/>
          <w:noProof/>
        </w:rPr>
        <w:t>23</w:t>
      </w:r>
      <w:r w:rsidRPr="00F260C7">
        <w:rPr>
          <w:b/>
        </w:rPr>
        <w:fldChar w:fldCharType="end"/>
      </w:r>
      <w:bookmarkEnd w:id="73"/>
      <w:r w:rsidRPr="00F260C7">
        <w:rPr>
          <w:b/>
        </w:rPr>
        <w:t>: AS9145 APQP Part Approval Form</w:t>
      </w:r>
      <w:r w:rsidR="006D20E3">
        <w:rPr>
          <w:b/>
        </w:rPr>
        <w:t xml:space="preserve"> </w:t>
      </w:r>
      <w:r w:rsidR="006D20E3" w:rsidRPr="006D20E3">
        <w:rPr>
          <w:b/>
        </w:rPr>
        <w:t>(SCMH, 2021)</w:t>
      </w:r>
      <w:bookmarkEnd w:id="74"/>
    </w:p>
    <w:p w14:paraId="6776C51E" w14:textId="47680148" w:rsidR="005B05B8" w:rsidRDefault="005B05B8" w:rsidP="00842D7D"/>
    <w:p w14:paraId="52CF7C08" w14:textId="17AE458E" w:rsidR="005B05B8" w:rsidRDefault="005B05B8" w:rsidP="00CD37AA">
      <w:pPr>
        <w:jc w:val="both"/>
      </w:pPr>
      <w:r>
        <w:t>Although the final form is approved prior to shipping to conform to the standard, this approach is fraught with risk. For example, should the customer review the pack at the FAI event (completion of phase four) and identify an issue with a phase one</w:t>
      </w:r>
      <w:r w:rsidR="00F8597D">
        <w:t xml:space="preserve">, it would be very difficult and expensive to go back and change the deliverable in a way that could have a positive effect on the project. Any change would require rework of </w:t>
      </w:r>
      <w:r w:rsidR="00F8597D">
        <w:lastRenderedPageBreak/>
        <w:t xml:space="preserve">previously manufactured parts and is therefore contradictory to the goals of APQP. To overcome this, the dissertation recommends </w:t>
      </w:r>
      <w:r w:rsidR="00F217AE">
        <w:t>adopting</w:t>
      </w:r>
      <w:r w:rsidR="00FC143B">
        <w:t xml:space="preserve"> </w:t>
      </w:r>
      <w:r w:rsidR="00F8597D">
        <w:t>a phase</w:t>
      </w:r>
      <w:r w:rsidR="00FC143B">
        <w:t>d</w:t>
      </w:r>
      <w:r w:rsidR="00F8597D">
        <w:t xml:space="preserve"> approval approach to APQP. By submitting and gaining the customer approval at the end of each phase, any feedback from the customer can be incorporated into the product. The approach also reduces the amount of work required post FAI to agree and sign off the PPAP as the customer would only be reviewing the deliverables from phase 4.</w:t>
      </w:r>
    </w:p>
    <w:p w14:paraId="6EA5B06E" w14:textId="77777777" w:rsidR="005B05B8" w:rsidRDefault="005B05B8" w:rsidP="00CD37AA">
      <w:pPr>
        <w:jc w:val="both"/>
      </w:pPr>
    </w:p>
    <w:p w14:paraId="34773A2A" w14:textId="57C3FCF2" w:rsidR="00BB56C9" w:rsidRDefault="005B05B8" w:rsidP="00CD37AA">
      <w:pPr>
        <w:jc w:val="both"/>
      </w:pPr>
      <w:r>
        <w:t>The next step created a single sheet that allowed the reviewer to</w:t>
      </w:r>
      <w:r w:rsidR="00BB56C9">
        <w:t xml:space="preserve"> understand the progress of any PPAP deliverable against the audit checklists, </w:t>
      </w:r>
      <w:r w:rsidR="00BB56C9" w:rsidRPr="00CD37AA">
        <w:fldChar w:fldCharType="begin"/>
      </w:r>
      <w:r w:rsidR="00BB56C9" w:rsidRPr="00CD37AA">
        <w:instrText xml:space="preserve"> REF _Ref137279585 \h  \* MERGEFORMAT </w:instrText>
      </w:r>
      <w:r w:rsidR="00BB56C9" w:rsidRPr="00CD37AA">
        <w:fldChar w:fldCharType="separate"/>
      </w:r>
      <w:r w:rsidR="008C301E" w:rsidRPr="008C301E">
        <w:t>Figure</w:t>
      </w:r>
      <w:r w:rsidR="008C301E" w:rsidRPr="00CD37AA">
        <w:rPr>
          <w:b/>
        </w:rPr>
        <w:t xml:space="preserve"> </w:t>
      </w:r>
      <w:r w:rsidR="008C301E" w:rsidRPr="008C301E">
        <w:t>24</w:t>
      </w:r>
      <w:r w:rsidR="00BB56C9" w:rsidRPr="00CD37AA">
        <w:fldChar w:fldCharType="end"/>
      </w:r>
      <w:r w:rsidR="00BB56C9">
        <w:t>. The sheet was designed to automatically interrogate the status of each deliverable checklist and report the current status to the user. By automating the process, the user would not have to spend significant amounts of time reviewing the pack to provide status updates.</w:t>
      </w:r>
    </w:p>
    <w:p w14:paraId="3C525069" w14:textId="77777777" w:rsidR="00BB56C9" w:rsidRPr="00842D7D" w:rsidRDefault="00BB56C9" w:rsidP="00CD37AA">
      <w:pPr>
        <w:jc w:val="both"/>
      </w:pPr>
    </w:p>
    <w:p w14:paraId="2423E096" w14:textId="77777777" w:rsidR="00F260C7" w:rsidRDefault="00233953" w:rsidP="00F260C7">
      <w:pPr>
        <w:keepNext/>
        <w:jc w:val="center"/>
      </w:pPr>
      <w:r w:rsidRPr="00233953">
        <w:rPr>
          <w:noProof/>
          <w:lang w:eastAsia="en-GB"/>
        </w:rPr>
        <w:drawing>
          <wp:inline distT="0" distB="0" distL="0" distR="0" wp14:anchorId="3551B95E" wp14:editId="0A3F7926">
            <wp:extent cx="3387437" cy="5328553"/>
            <wp:effectExtent l="0" t="0" r="381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22290" cy="5383377"/>
                    </a:xfrm>
                    <a:prstGeom prst="rect">
                      <a:avLst/>
                    </a:prstGeom>
                  </pic:spPr>
                </pic:pic>
              </a:graphicData>
            </a:graphic>
          </wp:inline>
        </w:drawing>
      </w:r>
    </w:p>
    <w:p w14:paraId="0F6B9E3B" w14:textId="0E5C0778" w:rsidR="00233953" w:rsidRPr="00CD37AA" w:rsidRDefault="00F260C7" w:rsidP="00F260C7">
      <w:pPr>
        <w:pStyle w:val="Caption"/>
        <w:jc w:val="center"/>
        <w:rPr>
          <w:b/>
        </w:rPr>
      </w:pPr>
      <w:bookmarkStart w:id="75" w:name="_Ref137279585"/>
      <w:bookmarkStart w:id="76" w:name="_Toc137807650"/>
      <w:r w:rsidRPr="00CD37AA">
        <w:rPr>
          <w:b/>
        </w:rPr>
        <w:t xml:space="preserve">Figure </w:t>
      </w:r>
      <w:r w:rsidRPr="00CD37AA">
        <w:rPr>
          <w:b/>
        </w:rPr>
        <w:fldChar w:fldCharType="begin"/>
      </w:r>
      <w:r w:rsidRPr="00CD37AA">
        <w:rPr>
          <w:b/>
        </w:rPr>
        <w:instrText xml:space="preserve"> SEQ Figure \* ARABIC </w:instrText>
      </w:r>
      <w:r w:rsidRPr="00CD37AA">
        <w:rPr>
          <w:b/>
        </w:rPr>
        <w:fldChar w:fldCharType="separate"/>
      </w:r>
      <w:r w:rsidR="008C301E">
        <w:rPr>
          <w:b/>
          <w:noProof/>
        </w:rPr>
        <w:t>24</w:t>
      </w:r>
      <w:r w:rsidRPr="00CD37AA">
        <w:rPr>
          <w:b/>
        </w:rPr>
        <w:fldChar w:fldCharType="end"/>
      </w:r>
      <w:bookmarkEnd w:id="75"/>
      <w:r w:rsidRPr="00CD37AA">
        <w:rPr>
          <w:b/>
        </w:rPr>
        <w:t xml:space="preserve">: SGB PPAP Phase Checklist front sheet </w:t>
      </w:r>
      <w:r w:rsidRPr="00CD37AA">
        <w:t>with self-populating status updates</w:t>
      </w:r>
      <w:bookmarkEnd w:id="76"/>
    </w:p>
    <w:p w14:paraId="2EA1F8B4" w14:textId="118A1695" w:rsidR="00233953" w:rsidRDefault="00916DAF" w:rsidP="00CD37AA">
      <w:pPr>
        <w:jc w:val="both"/>
      </w:pPr>
      <w:r>
        <w:lastRenderedPageBreak/>
        <w:t xml:space="preserve">To help any user navigate the audit checklists for each deliverable, an instruction sheet was built in to the tool to provide guidance on its use, </w:t>
      </w:r>
      <w:r>
        <w:fldChar w:fldCharType="begin"/>
      </w:r>
      <w:r>
        <w:instrText xml:space="preserve"> REF _Ref137285757 \h  \* MERGEFORMAT </w:instrText>
      </w:r>
      <w:r>
        <w:fldChar w:fldCharType="separate"/>
      </w:r>
      <w:r w:rsidR="008C301E" w:rsidRPr="008C301E">
        <w:t>Figure 25</w:t>
      </w:r>
      <w:r>
        <w:fldChar w:fldCharType="end"/>
      </w:r>
      <w:r>
        <w:t>. This provides a quick overview of the detail expected for each section of the check sheet.</w:t>
      </w:r>
    </w:p>
    <w:p w14:paraId="66D4BC89" w14:textId="77777777" w:rsidR="00916DAF" w:rsidRDefault="00916DAF"/>
    <w:p w14:paraId="16CEDEDF" w14:textId="77777777" w:rsidR="00F260C7" w:rsidRDefault="00233953" w:rsidP="00F260C7">
      <w:pPr>
        <w:keepNext/>
      </w:pPr>
      <w:r w:rsidRPr="00233953">
        <w:rPr>
          <w:noProof/>
          <w:lang w:eastAsia="en-GB"/>
        </w:rPr>
        <w:drawing>
          <wp:inline distT="0" distB="0" distL="0" distR="0" wp14:anchorId="28EAC0FC" wp14:editId="50FA5E49">
            <wp:extent cx="6645910" cy="3105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645910" cy="3105150"/>
                    </a:xfrm>
                    <a:prstGeom prst="rect">
                      <a:avLst/>
                    </a:prstGeom>
                  </pic:spPr>
                </pic:pic>
              </a:graphicData>
            </a:graphic>
          </wp:inline>
        </w:drawing>
      </w:r>
    </w:p>
    <w:p w14:paraId="1948BD72" w14:textId="1410083E" w:rsidR="00233953" w:rsidRDefault="00F260C7" w:rsidP="00F260C7">
      <w:pPr>
        <w:pStyle w:val="Caption"/>
      </w:pPr>
      <w:bookmarkStart w:id="77" w:name="_Ref137285757"/>
      <w:bookmarkStart w:id="78" w:name="_Toc137807651"/>
      <w:r w:rsidRPr="00F260C7">
        <w:rPr>
          <w:b/>
        </w:rPr>
        <w:t xml:space="preserve">Figure </w:t>
      </w:r>
      <w:r w:rsidRPr="00F260C7">
        <w:rPr>
          <w:b/>
        </w:rPr>
        <w:fldChar w:fldCharType="begin"/>
      </w:r>
      <w:r w:rsidRPr="00F260C7">
        <w:rPr>
          <w:b/>
        </w:rPr>
        <w:instrText xml:space="preserve"> SEQ Figure \* ARABIC </w:instrText>
      </w:r>
      <w:r w:rsidRPr="00F260C7">
        <w:rPr>
          <w:b/>
        </w:rPr>
        <w:fldChar w:fldCharType="separate"/>
      </w:r>
      <w:r w:rsidR="008C301E">
        <w:rPr>
          <w:b/>
          <w:noProof/>
        </w:rPr>
        <w:t>25</w:t>
      </w:r>
      <w:r w:rsidRPr="00F260C7">
        <w:rPr>
          <w:b/>
        </w:rPr>
        <w:fldChar w:fldCharType="end"/>
      </w:r>
      <w:bookmarkEnd w:id="77"/>
      <w:r w:rsidRPr="00F260C7">
        <w:rPr>
          <w:b/>
        </w:rPr>
        <w:t>: Example of a PPAP Checklist sheet</w:t>
      </w:r>
      <w:r>
        <w:t xml:space="preserve"> with explanation of functionality for the user</w:t>
      </w:r>
      <w:bookmarkEnd w:id="78"/>
    </w:p>
    <w:p w14:paraId="16988D3E" w14:textId="2A2E1858" w:rsidR="00233953" w:rsidRDefault="00233953"/>
    <w:p w14:paraId="4568BD50" w14:textId="34B99738" w:rsidR="00916DAF" w:rsidRDefault="00916DAF" w:rsidP="00CD37AA">
      <w:pPr>
        <w:jc w:val="both"/>
      </w:pPr>
      <w:r>
        <w:t>To complete the tool, a K</w:t>
      </w:r>
      <w:r w:rsidR="00A5475D">
        <w:t xml:space="preserve">ey </w:t>
      </w:r>
      <w:r>
        <w:t>Point Indicator (KPI) tab was created</w:t>
      </w:r>
      <w:r w:rsidR="009D0EFD">
        <w:t xml:space="preserve">, </w:t>
      </w:r>
      <w:r w:rsidR="009D0EFD">
        <w:fldChar w:fldCharType="begin"/>
      </w:r>
      <w:r w:rsidR="009D0EFD">
        <w:instrText xml:space="preserve"> REF _Ref137287971 \h  \* MERGEFORMAT </w:instrText>
      </w:r>
      <w:r w:rsidR="009D0EFD">
        <w:fldChar w:fldCharType="separate"/>
      </w:r>
      <w:r w:rsidR="008C301E" w:rsidRPr="008C301E">
        <w:t>Figure 26</w:t>
      </w:r>
      <w:r w:rsidR="009D0EFD">
        <w:fldChar w:fldCharType="end"/>
      </w:r>
      <w:r>
        <w:t xml:space="preserve">. The purpose of the KPI tab is to reduce the workload on the user in compiling the status of the </w:t>
      </w:r>
      <w:r w:rsidR="007B5825">
        <w:t xml:space="preserve">of the PPAP audit checklist conformity for reporting purposes. The KPI graphs are automatically populated as any change is made to any of the checklist sheets. These graphs are then used to demonstrate </w:t>
      </w:r>
      <w:r w:rsidR="009D0EFD">
        <w:t>to both the project team and the</w:t>
      </w:r>
      <w:r w:rsidR="007B5825">
        <w:t xml:space="preserve"> executive team how mature a new product is at the</w:t>
      </w:r>
      <w:r w:rsidR="009D0EFD">
        <w:t xml:space="preserve"> project reviews.</w:t>
      </w:r>
    </w:p>
    <w:p w14:paraId="58BF3836" w14:textId="430ED5EE" w:rsidR="009D0EFD" w:rsidRDefault="009D0EFD" w:rsidP="00CD37AA">
      <w:pPr>
        <w:jc w:val="both"/>
      </w:pPr>
    </w:p>
    <w:p w14:paraId="2B31E6F3" w14:textId="151DE72B" w:rsidR="009D0EFD" w:rsidRDefault="009D0EFD" w:rsidP="00CD37AA">
      <w:pPr>
        <w:jc w:val="both"/>
      </w:pPr>
      <w:r>
        <w:t>The first graph demonstrates the overall PPAP compliance by phase, whilst the other graphs break down each phase and report the completion percentage of each deliverable within each phase.</w:t>
      </w:r>
      <w:r w:rsidR="005345AC">
        <w:t xml:space="preserve"> The completed tool is </w:t>
      </w:r>
      <w:r w:rsidR="003858FA">
        <w:t xml:space="preserve">attached to this dissertation as </w:t>
      </w:r>
      <w:r w:rsidR="003858FA" w:rsidRPr="003858FA">
        <w:fldChar w:fldCharType="begin"/>
      </w:r>
      <w:r w:rsidR="003858FA" w:rsidRPr="003858FA">
        <w:instrText xml:space="preserve"> REF _Ref137660893 \h </w:instrText>
      </w:r>
      <w:r w:rsidR="003858FA" w:rsidRPr="003858FA">
        <w:instrText xml:space="preserve"> \* MERGEFORMAT </w:instrText>
      </w:r>
      <w:r w:rsidR="003858FA" w:rsidRPr="003858FA">
        <w:fldChar w:fldCharType="separate"/>
      </w:r>
      <w:r w:rsidR="008C301E" w:rsidRPr="008C301E">
        <w:t>Appendix 10</w:t>
      </w:r>
      <w:r w:rsidR="003858FA" w:rsidRPr="003858FA">
        <w:fldChar w:fldCharType="end"/>
      </w:r>
      <w:r w:rsidR="003858FA" w:rsidRPr="003858FA">
        <w:t>.</w:t>
      </w:r>
    </w:p>
    <w:p w14:paraId="756F3A4B" w14:textId="77777777" w:rsidR="00F260C7" w:rsidRDefault="00233953" w:rsidP="00F260C7">
      <w:pPr>
        <w:keepNext/>
      </w:pPr>
      <w:r w:rsidRPr="00233953">
        <w:rPr>
          <w:noProof/>
          <w:lang w:eastAsia="en-GB"/>
        </w:rPr>
        <w:lastRenderedPageBreak/>
        <w:drawing>
          <wp:inline distT="0" distB="0" distL="0" distR="0" wp14:anchorId="2FFFEF16" wp14:editId="69E8F231">
            <wp:extent cx="6645910" cy="49828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4982845"/>
                    </a:xfrm>
                    <a:prstGeom prst="rect">
                      <a:avLst/>
                    </a:prstGeom>
                  </pic:spPr>
                </pic:pic>
              </a:graphicData>
            </a:graphic>
          </wp:inline>
        </w:drawing>
      </w:r>
    </w:p>
    <w:p w14:paraId="471C46FB" w14:textId="4360BCE6" w:rsidR="00192C81" w:rsidRDefault="00F260C7" w:rsidP="00F260C7">
      <w:pPr>
        <w:pStyle w:val="Caption"/>
      </w:pPr>
      <w:bookmarkStart w:id="79" w:name="_Ref137287971"/>
      <w:bookmarkStart w:id="80" w:name="_Toc137807652"/>
      <w:r w:rsidRPr="00F260C7">
        <w:rPr>
          <w:b/>
        </w:rPr>
        <w:t xml:space="preserve">Figure </w:t>
      </w:r>
      <w:r w:rsidRPr="00F260C7">
        <w:rPr>
          <w:b/>
        </w:rPr>
        <w:fldChar w:fldCharType="begin"/>
      </w:r>
      <w:r w:rsidRPr="00F260C7">
        <w:rPr>
          <w:b/>
        </w:rPr>
        <w:instrText xml:space="preserve"> SEQ Figure \* ARABIC </w:instrText>
      </w:r>
      <w:r w:rsidRPr="00F260C7">
        <w:rPr>
          <w:b/>
        </w:rPr>
        <w:fldChar w:fldCharType="separate"/>
      </w:r>
      <w:r w:rsidR="008C301E">
        <w:rPr>
          <w:b/>
          <w:noProof/>
        </w:rPr>
        <w:t>26</w:t>
      </w:r>
      <w:r w:rsidRPr="00F260C7">
        <w:rPr>
          <w:b/>
        </w:rPr>
        <w:fldChar w:fldCharType="end"/>
      </w:r>
      <w:bookmarkEnd w:id="79"/>
      <w:r w:rsidRPr="00F260C7">
        <w:rPr>
          <w:b/>
        </w:rPr>
        <w:t>: Built-In PPAP deliverable KPI deck</w:t>
      </w:r>
      <w:r>
        <w:t xml:space="preserve"> with automatic population</w:t>
      </w:r>
      <w:bookmarkEnd w:id="80"/>
    </w:p>
    <w:p w14:paraId="22DBEF37" w14:textId="48E5460D" w:rsidR="00E75AFC" w:rsidRDefault="00E75AFC"/>
    <w:p w14:paraId="3C741D64" w14:textId="4AE8B077" w:rsidR="00317428" w:rsidRPr="00842D7D" w:rsidRDefault="00317428" w:rsidP="007A5DF3">
      <w:pPr>
        <w:pStyle w:val="Heading2"/>
        <w:numPr>
          <w:ilvl w:val="1"/>
          <w:numId w:val="6"/>
        </w:numPr>
      </w:pPr>
      <w:bookmarkStart w:id="81" w:name="_Toc137807606"/>
      <w:r>
        <w:t>SGB Process Updates</w:t>
      </w:r>
      <w:bookmarkEnd w:id="81"/>
    </w:p>
    <w:p w14:paraId="1EBD2F06" w14:textId="77777777" w:rsidR="00317428" w:rsidRDefault="00317428"/>
    <w:p w14:paraId="6A74D743" w14:textId="3C08B0B9" w:rsidR="00112212" w:rsidRDefault="00317428">
      <w:r>
        <w:t xml:space="preserve">Once the methodology and the tool had been created, the SGB internal process were updated in line with the work carried out in this dissertation. </w:t>
      </w:r>
      <w:r>
        <w:fldChar w:fldCharType="begin"/>
      </w:r>
      <w:r>
        <w:instrText xml:space="preserve"> REF _Ref137301771 \h </w:instrText>
      </w:r>
      <w:r w:rsidR="00346B18">
        <w:instrText xml:space="preserve"> \* MERGEFORMAT </w:instrText>
      </w:r>
      <w:r>
        <w:fldChar w:fldCharType="separate"/>
      </w:r>
      <w:r w:rsidR="008C301E" w:rsidRPr="008C301E">
        <w:t>Table 6</w:t>
      </w:r>
      <w:r>
        <w:fldChar w:fldCharType="end"/>
      </w:r>
      <w:r>
        <w:t xml:space="preserve"> demonstrates the processes affected and the way in which they were changed.</w:t>
      </w:r>
    </w:p>
    <w:p w14:paraId="7FBF8935" w14:textId="77777777" w:rsidR="00583858" w:rsidRDefault="00583858"/>
    <w:tbl>
      <w:tblPr>
        <w:tblStyle w:val="TableGrid"/>
        <w:tblW w:w="0" w:type="auto"/>
        <w:tblLook w:val="04A0" w:firstRow="1" w:lastRow="0" w:firstColumn="1" w:lastColumn="0" w:noHBand="0" w:noVBand="1"/>
      </w:tblPr>
      <w:tblGrid>
        <w:gridCol w:w="3485"/>
        <w:gridCol w:w="1613"/>
        <w:gridCol w:w="5358"/>
      </w:tblGrid>
      <w:tr w:rsidR="0059514F" w14:paraId="6E44D384" w14:textId="77777777" w:rsidTr="00CD37AA">
        <w:tc>
          <w:tcPr>
            <w:tcW w:w="3485" w:type="dxa"/>
            <w:shd w:val="clear" w:color="auto" w:fill="BFBFBF" w:themeFill="background1" w:themeFillShade="BF"/>
          </w:tcPr>
          <w:p w14:paraId="0C411D01" w14:textId="29A82E83" w:rsidR="0059514F" w:rsidRDefault="0059514F">
            <w:r>
              <w:t>SGB Process Name</w:t>
            </w:r>
          </w:p>
        </w:tc>
        <w:tc>
          <w:tcPr>
            <w:tcW w:w="1613" w:type="dxa"/>
            <w:shd w:val="clear" w:color="auto" w:fill="BFBFBF" w:themeFill="background1" w:themeFillShade="BF"/>
          </w:tcPr>
          <w:p w14:paraId="39026E9A" w14:textId="08026E8B" w:rsidR="0059514F" w:rsidRDefault="0059514F">
            <w:r>
              <w:t>SGB Process Number</w:t>
            </w:r>
          </w:p>
        </w:tc>
        <w:tc>
          <w:tcPr>
            <w:tcW w:w="5358" w:type="dxa"/>
            <w:shd w:val="clear" w:color="auto" w:fill="BFBFBF" w:themeFill="background1" w:themeFillShade="BF"/>
          </w:tcPr>
          <w:p w14:paraId="2D59EF7A" w14:textId="2569CCAE" w:rsidR="0059514F" w:rsidRDefault="0059514F">
            <w:r>
              <w:t>Updates</w:t>
            </w:r>
          </w:p>
        </w:tc>
      </w:tr>
      <w:tr w:rsidR="0059514F" w14:paraId="4510A162" w14:textId="77777777" w:rsidTr="00CD37AA">
        <w:tc>
          <w:tcPr>
            <w:tcW w:w="3485" w:type="dxa"/>
          </w:tcPr>
          <w:p w14:paraId="617351A2" w14:textId="1762A5CB" w:rsidR="0059514F" w:rsidRDefault="0059514F">
            <w:r w:rsidRPr="0059514F">
              <w:rPr>
                <w:lang w:val="en-US"/>
              </w:rPr>
              <w:t>Programme Quality Process</w:t>
            </w:r>
          </w:p>
        </w:tc>
        <w:tc>
          <w:tcPr>
            <w:tcW w:w="1613" w:type="dxa"/>
          </w:tcPr>
          <w:p w14:paraId="200F963C" w14:textId="0CC798D6" w:rsidR="0059514F" w:rsidRDefault="0059514F">
            <w:r w:rsidRPr="0059514F">
              <w:rPr>
                <w:lang w:val="en-US"/>
              </w:rPr>
              <w:t>QUA05</w:t>
            </w:r>
          </w:p>
        </w:tc>
        <w:tc>
          <w:tcPr>
            <w:tcW w:w="5358" w:type="dxa"/>
          </w:tcPr>
          <w:p w14:paraId="653643BC" w14:textId="77777777" w:rsidR="0059514F" w:rsidRDefault="003A6EC0">
            <w:r>
              <w:t>- Addition of APQP as a programme requirement</w:t>
            </w:r>
          </w:p>
          <w:p w14:paraId="4A2A0F6A" w14:textId="77777777" w:rsidR="00501DDF" w:rsidRDefault="00501DDF">
            <w:r>
              <w:t>- Detailing phase approval PPAP approach</w:t>
            </w:r>
          </w:p>
          <w:p w14:paraId="1103423C" w14:textId="2AF2E7D3" w:rsidR="00501DDF" w:rsidRDefault="00501DDF">
            <w:r>
              <w:t>- Adding the SIPOC</w:t>
            </w:r>
          </w:p>
        </w:tc>
      </w:tr>
      <w:tr w:rsidR="0059514F" w14:paraId="68AA4023" w14:textId="77777777" w:rsidTr="00CD37AA">
        <w:tc>
          <w:tcPr>
            <w:tcW w:w="3485" w:type="dxa"/>
          </w:tcPr>
          <w:p w14:paraId="2A0BFF2D" w14:textId="7FCDB681" w:rsidR="0059514F" w:rsidRDefault="0059514F">
            <w:r w:rsidRPr="0059514F">
              <w:rPr>
                <w:lang w:val="en-US"/>
              </w:rPr>
              <w:t>Quality Plan Template</w:t>
            </w:r>
          </w:p>
        </w:tc>
        <w:tc>
          <w:tcPr>
            <w:tcW w:w="1613" w:type="dxa"/>
          </w:tcPr>
          <w:p w14:paraId="29491B45" w14:textId="3CDD4772" w:rsidR="0059514F" w:rsidRDefault="0059514F">
            <w:r w:rsidRPr="0059514F">
              <w:rPr>
                <w:lang w:val="en-US"/>
              </w:rPr>
              <w:t>QUA05/F05</w:t>
            </w:r>
          </w:p>
        </w:tc>
        <w:tc>
          <w:tcPr>
            <w:tcW w:w="5358" w:type="dxa"/>
          </w:tcPr>
          <w:p w14:paraId="6ECA97A7" w14:textId="7D8333E3" w:rsidR="00501DDF" w:rsidRDefault="00501DDF">
            <w:r>
              <w:t>- Addition of APQP as a programme requirement</w:t>
            </w:r>
          </w:p>
          <w:p w14:paraId="530F5335" w14:textId="77777777" w:rsidR="0059514F" w:rsidRDefault="00501DDF">
            <w:r>
              <w:t>-</w:t>
            </w:r>
            <w:r w:rsidR="003A6EC0">
              <w:t xml:space="preserve"> Adding RACI</w:t>
            </w:r>
          </w:p>
          <w:p w14:paraId="74A7E933" w14:textId="134640F4" w:rsidR="00501DDF" w:rsidRDefault="00501DDF">
            <w:r>
              <w:t>- Creating section for APQP High Risk modules</w:t>
            </w:r>
          </w:p>
        </w:tc>
      </w:tr>
      <w:tr w:rsidR="0059514F" w14:paraId="66C55E56" w14:textId="77777777" w:rsidTr="00CD37AA">
        <w:tc>
          <w:tcPr>
            <w:tcW w:w="3485" w:type="dxa"/>
          </w:tcPr>
          <w:p w14:paraId="666B6D3B" w14:textId="5E3E9653" w:rsidR="0059514F" w:rsidRDefault="0059514F">
            <w:r w:rsidRPr="0059514F">
              <w:lastRenderedPageBreak/>
              <w:t>First Article Inspection Process</w:t>
            </w:r>
          </w:p>
        </w:tc>
        <w:tc>
          <w:tcPr>
            <w:tcW w:w="1613" w:type="dxa"/>
          </w:tcPr>
          <w:p w14:paraId="424A6D90" w14:textId="467EE0D5" w:rsidR="0059514F" w:rsidRDefault="0059514F">
            <w:r w:rsidRPr="0059514F">
              <w:t>QUA03</w:t>
            </w:r>
          </w:p>
        </w:tc>
        <w:tc>
          <w:tcPr>
            <w:tcW w:w="5358" w:type="dxa"/>
          </w:tcPr>
          <w:p w14:paraId="3C5A1431" w14:textId="1D7BC111" w:rsidR="0059514F" w:rsidRDefault="003A6EC0" w:rsidP="003A6EC0">
            <w:r>
              <w:t>- Adding requirement to measure actual Key      Characteristic measurement values where required on drawing</w:t>
            </w:r>
          </w:p>
        </w:tc>
      </w:tr>
      <w:tr w:rsidR="0059514F" w14:paraId="102CF3C7" w14:textId="77777777" w:rsidTr="00CD37AA">
        <w:tc>
          <w:tcPr>
            <w:tcW w:w="3485" w:type="dxa"/>
          </w:tcPr>
          <w:p w14:paraId="5C71450B" w14:textId="273B832E" w:rsidR="0059514F" w:rsidRPr="0059514F" w:rsidRDefault="0059514F">
            <w:r w:rsidRPr="0059514F">
              <w:t>First Article Inspection Guideline</w:t>
            </w:r>
          </w:p>
        </w:tc>
        <w:tc>
          <w:tcPr>
            <w:tcW w:w="1613" w:type="dxa"/>
          </w:tcPr>
          <w:p w14:paraId="0072903D" w14:textId="702FD16A" w:rsidR="0059514F" w:rsidRDefault="0059514F">
            <w:r w:rsidRPr="0059514F">
              <w:t>QUA03/G01</w:t>
            </w:r>
          </w:p>
        </w:tc>
        <w:tc>
          <w:tcPr>
            <w:tcW w:w="5358" w:type="dxa"/>
          </w:tcPr>
          <w:p w14:paraId="46143473" w14:textId="727C3325" w:rsidR="0059514F" w:rsidRDefault="003A6EC0">
            <w:r>
              <w:t>- Updating FAI instructions for recording of Key Characteristic measurement recording</w:t>
            </w:r>
          </w:p>
        </w:tc>
      </w:tr>
      <w:tr w:rsidR="0059514F" w14:paraId="2766A23D" w14:textId="77777777" w:rsidTr="00CD37AA">
        <w:tc>
          <w:tcPr>
            <w:tcW w:w="3485" w:type="dxa"/>
          </w:tcPr>
          <w:p w14:paraId="3CD36C89" w14:textId="5C2F6012" w:rsidR="0059514F" w:rsidRPr="0059514F" w:rsidRDefault="0059514F">
            <w:r w:rsidRPr="0059514F">
              <w:t>PPAP Phase Checklists</w:t>
            </w:r>
          </w:p>
        </w:tc>
        <w:tc>
          <w:tcPr>
            <w:tcW w:w="1613" w:type="dxa"/>
          </w:tcPr>
          <w:p w14:paraId="15F7A1CF" w14:textId="2786DF8B" w:rsidR="0059514F" w:rsidRDefault="0059514F">
            <w:r w:rsidRPr="0059514F">
              <w:t>QUA05/F13</w:t>
            </w:r>
          </w:p>
        </w:tc>
        <w:tc>
          <w:tcPr>
            <w:tcW w:w="5358" w:type="dxa"/>
          </w:tcPr>
          <w:p w14:paraId="5807341A" w14:textId="3DF79C0D" w:rsidR="0059514F" w:rsidRDefault="003A6EC0">
            <w:r>
              <w:t>- Uploading the new tool to the BMS</w:t>
            </w:r>
          </w:p>
        </w:tc>
      </w:tr>
      <w:tr w:rsidR="0059514F" w14:paraId="67B920F2" w14:textId="77777777" w:rsidTr="00CD37AA">
        <w:tc>
          <w:tcPr>
            <w:tcW w:w="3485" w:type="dxa"/>
          </w:tcPr>
          <w:p w14:paraId="2FDB062B" w14:textId="35F97F30" w:rsidR="0059514F" w:rsidRPr="0059514F" w:rsidRDefault="0059514F">
            <w:r w:rsidRPr="0059514F">
              <w:rPr>
                <w:lang w:val="en-US"/>
              </w:rPr>
              <w:t>QA Signatory Matrix</w:t>
            </w:r>
          </w:p>
        </w:tc>
        <w:tc>
          <w:tcPr>
            <w:tcW w:w="1613" w:type="dxa"/>
          </w:tcPr>
          <w:p w14:paraId="00887D49" w14:textId="379B5DB6" w:rsidR="0059514F" w:rsidRDefault="0059514F">
            <w:r w:rsidRPr="0059514F">
              <w:rPr>
                <w:lang w:val="en-US"/>
              </w:rPr>
              <w:t>QUA13/F05</w:t>
            </w:r>
          </w:p>
        </w:tc>
        <w:tc>
          <w:tcPr>
            <w:tcW w:w="5358" w:type="dxa"/>
          </w:tcPr>
          <w:p w14:paraId="0F3B0EF2" w14:textId="6CD9B8C0" w:rsidR="0059514F" w:rsidRDefault="00501DDF" w:rsidP="00CD37AA">
            <w:pPr>
              <w:keepNext/>
            </w:pPr>
            <w:r>
              <w:t>- Adding PPAP to the matrix and limiting the approvers to people who can demonstrate PPAP proficiency</w:t>
            </w:r>
          </w:p>
        </w:tc>
      </w:tr>
    </w:tbl>
    <w:p w14:paraId="56CBC515" w14:textId="108A8991" w:rsidR="003A6EC0" w:rsidRDefault="003A6EC0">
      <w:pPr>
        <w:pStyle w:val="Caption"/>
      </w:pPr>
      <w:bookmarkStart w:id="82" w:name="_Ref137301771"/>
      <w:bookmarkStart w:id="83" w:name="_Ref137301765"/>
      <w:r w:rsidRPr="00CD37AA">
        <w:rPr>
          <w:b/>
        </w:rPr>
        <w:t xml:space="preserve">Table </w:t>
      </w:r>
      <w:r w:rsidRPr="00CD37AA">
        <w:rPr>
          <w:b/>
        </w:rPr>
        <w:fldChar w:fldCharType="begin"/>
      </w:r>
      <w:r w:rsidRPr="00CD37AA">
        <w:rPr>
          <w:b/>
        </w:rPr>
        <w:instrText xml:space="preserve"> SEQ Table \* ARABIC </w:instrText>
      </w:r>
      <w:r w:rsidRPr="00CD37AA">
        <w:rPr>
          <w:b/>
        </w:rPr>
        <w:fldChar w:fldCharType="separate"/>
      </w:r>
      <w:r w:rsidR="008C301E">
        <w:rPr>
          <w:b/>
          <w:noProof/>
        </w:rPr>
        <w:t>6</w:t>
      </w:r>
      <w:r w:rsidRPr="00CD37AA">
        <w:rPr>
          <w:b/>
        </w:rPr>
        <w:fldChar w:fldCharType="end"/>
      </w:r>
      <w:bookmarkEnd w:id="82"/>
      <w:r w:rsidRPr="00CD37AA">
        <w:rPr>
          <w:b/>
        </w:rPr>
        <w:t>: SGB Processes updated</w:t>
      </w:r>
      <w:r>
        <w:t xml:space="preserve"> with the work carried out as part of this dissertation</w:t>
      </w:r>
      <w:bookmarkEnd w:id="83"/>
    </w:p>
    <w:p w14:paraId="24EA0ABF" w14:textId="4190BB37" w:rsidR="0059514F" w:rsidRPr="00CD37AA" w:rsidRDefault="00E75AFC">
      <w:r>
        <w:br w:type="page"/>
      </w:r>
    </w:p>
    <w:p w14:paraId="64855AD6" w14:textId="26066C83" w:rsidR="00AD209D" w:rsidRDefault="00AD209D" w:rsidP="007A5DF3">
      <w:pPr>
        <w:pStyle w:val="Heading1"/>
        <w:numPr>
          <w:ilvl w:val="0"/>
          <w:numId w:val="6"/>
        </w:numPr>
      </w:pPr>
      <w:bookmarkStart w:id="84" w:name="_Toc137807607"/>
      <w:r>
        <w:lastRenderedPageBreak/>
        <w:t>Results</w:t>
      </w:r>
      <w:bookmarkEnd w:id="84"/>
    </w:p>
    <w:p w14:paraId="6AFAAE70" w14:textId="77777777" w:rsidR="00AD209D" w:rsidRDefault="00AD209D" w:rsidP="00AD209D"/>
    <w:p w14:paraId="7577BB73" w14:textId="1763073F" w:rsidR="008C2042" w:rsidRDefault="008C2042" w:rsidP="00842D7D">
      <w:pPr>
        <w:jc w:val="both"/>
      </w:pPr>
      <w:r>
        <w:t>To determine SGB</w:t>
      </w:r>
      <w:r w:rsidR="00737D56">
        <w:t>’</w:t>
      </w:r>
      <w:r>
        <w:t xml:space="preserve">s current potential to produce a project in line with AS9145, the standard was </w:t>
      </w:r>
      <w:r w:rsidR="00735A1A">
        <w:t>compiled as</w:t>
      </w:r>
      <w:r>
        <w:t xml:space="preserve"> an audit checklist and measured against the Program Quality Plan document QUA</w:t>
      </w:r>
      <w:r w:rsidR="00D637A1">
        <w:t xml:space="preserve">05 </w:t>
      </w:r>
      <w:r>
        <w:t>SGB use</w:t>
      </w:r>
      <w:r w:rsidR="00737D56">
        <w:t>s</w:t>
      </w:r>
      <w:r>
        <w:t xml:space="preserve"> to communicate the quality deployment for the product lifecycle. </w:t>
      </w:r>
      <w:r w:rsidR="00735A1A">
        <w:t xml:space="preserve">The graphs in the following sections have been created using the checklist, which is available in </w:t>
      </w:r>
      <w:r w:rsidR="00735A1A" w:rsidRPr="00CD37AA">
        <w:fldChar w:fldCharType="begin"/>
      </w:r>
      <w:r w:rsidR="00735A1A" w:rsidRPr="00CD37AA">
        <w:instrText xml:space="preserve"> REF _Ref134358187 \h </w:instrText>
      </w:r>
      <w:r w:rsidR="00FD46B5" w:rsidRPr="00CD37AA">
        <w:instrText xml:space="preserve"> \* MERGEFORMAT </w:instrText>
      </w:r>
      <w:r w:rsidR="00735A1A" w:rsidRPr="00CD37AA">
        <w:fldChar w:fldCharType="separate"/>
      </w:r>
      <w:r w:rsidR="008C301E" w:rsidRPr="008C301E">
        <w:t xml:space="preserve">Appendix </w:t>
      </w:r>
      <w:r w:rsidR="008C301E" w:rsidRPr="008C301E">
        <w:rPr>
          <w:noProof/>
        </w:rPr>
        <w:t>8</w:t>
      </w:r>
      <w:r w:rsidR="008C301E" w:rsidRPr="008C301E">
        <w:t>: AS9145 APQP Audit Results</w:t>
      </w:r>
      <w:r w:rsidR="00735A1A" w:rsidRPr="00CD37AA">
        <w:fldChar w:fldCharType="end"/>
      </w:r>
      <w:r w:rsidR="00735A1A" w:rsidRPr="00CD37AA">
        <w:t xml:space="preserve"> and </w:t>
      </w:r>
      <w:r w:rsidR="00735A1A" w:rsidRPr="00CD37AA">
        <w:fldChar w:fldCharType="begin"/>
      </w:r>
      <w:r w:rsidR="00735A1A" w:rsidRPr="00CD37AA">
        <w:instrText xml:space="preserve"> REF _Ref134358192 \h </w:instrText>
      </w:r>
      <w:r w:rsidR="00FD46B5" w:rsidRPr="00CD37AA">
        <w:instrText xml:space="preserve"> \* MERGEFORMAT </w:instrText>
      </w:r>
      <w:r w:rsidR="00735A1A" w:rsidRPr="00CD37AA">
        <w:fldChar w:fldCharType="separate"/>
      </w:r>
      <w:r w:rsidR="008C301E" w:rsidRPr="008C301E">
        <w:t xml:space="preserve">Appendix </w:t>
      </w:r>
      <w:r w:rsidR="008C301E" w:rsidRPr="008C301E">
        <w:rPr>
          <w:noProof/>
        </w:rPr>
        <w:t>9</w:t>
      </w:r>
      <w:r w:rsidR="008C301E" w:rsidRPr="008C301E">
        <w:t>: AS9145 PPAP Audit Results</w:t>
      </w:r>
      <w:r w:rsidR="00735A1A" w:rsidRPr="00CD37AA">
        <w:fldChar w:fldCharType="end"/>
      </w:r>
      <w:r w:rsidR="00735A1A" w:rsidRPr="00CD37AA">
        <w:t>.</w:t>
      </w:r>
    </w:p>
    <w:p w14:paraId="4A374DC2" w14:textId="77777777" w:rsidR="00735A1A" w:rsidRPr="00842D7D" w:rsidRDefault="00735A1A" w:rsidP="00842D7D"/>
    <w:p w14:paraId="60BC28E5" w14:textId="5C54846F" w:rsidR="00CC324B" w:rsidRDefault="003C284F" w:rsidP="00CC324B">
      <w:pPr>
        <w:pStyle w:val="Heading2"/>
      </w:pPr>
      <w:bookmarkStart w:id="85" w:name="_Toc137807608"/>
      <w:r>
        <w:t xml:space="preserve">6.1 </w:t>
      </w:r>
      <w:r w:rsidR="00CC324B">
        <w:t>APQP/PPAP Conformity to AS9145</w:t>
      </w:r>
      <w:bookmarkEnd w:id="85"/>
    </w:p>
    <w:p w14:paraId="2D79BF3F" w14:textId="60D08364" w:rsidR="00CC324B" w:rsidRDefault="00CC324B" w:rsidP="00B84701">
      <w:pPr>
        <w:keepNext/>
        <w:jc w:val="center"/>
      </w:pPr>
    </w:p>
    <w:p w14:paraId="3A4D73C3" w14:textId="3D73CC66" w:rsidR="00155298" w:rsidRDefault="002D0920" w:rsidP="00842D7D">
      <w:pPr>
        <w:keepNext/>
        <w:jc w:val="both"/>
      </w:pPr>
      <w:r w:rsidRPr="00F2298B">
        <w:fldChar w:fldCharType="begin"/>
      </w:r>
      <w:r w:rsidRPr="00F2298B">
        <w:instrText xml:space="preserve"> REF _Ref134360970 \h  \* MERGEFORMAT </w:instrText>
      </w:r>
      <w:r w:rsidRPr="00F2298B">
        <w:fldChar w:fldCharType="separate"/>
      </w:r>
      <w:r w:rsidR="008C301E" w:rsidRPr="008C301E">
        <w:t xml:space="preserve">Figure </w:t>
      </w:r>
      <w:r w:rsidR="008C301E" w:rsidRPr="008C301E">
        <w:rPr>
          <w:noProof/>
        </w:rPr>
        <w:t>27</w:t>
      </w:r>
      <w:r w:rsidRPr="00F2298B">
        <w:fldChar w:fldCharType="end"/>
      </w:r>
      <w:r>
        <w:t xml:space="preserve"> illustrates the status of SGB</w:t>
      </w:r>
      <w:r w:rsidR="00F2298B">
        <w:t>’</w:t>
      </w:r>
      <w:r>
        <w:t>s ability to launch an APQP project, based on both their previous potential as an AS9100 accredited business and the work carried out as part of this project.</w:t>
      </w:r>
      <w:r w:rsidR="00082FE7">
        <w:t xml:space="preserve"> For all the</w:t>
      </w:r>
      <w:r w:rsidR="0074239D">
        <w:t xml:space="preserve"> </w:t>
      </w:r>
      <w:r w:rsidR="00082FE7">
        <w:t>APQP/PPAP audit results in this section, the conformity designation for any question is as one of the following:</w:t>
      </w:r>
    </w:p>
    <w:p w14:paraId="17FBEFAC" w14:textId="694AA29B" w:rsidR="00082FE7" w:rsidRDefault="00082FE7" w:rsidP="00842D7D">
      <w:pPr>
        <w:keepNext/>
        <w:jc w:val="both"/>
      </w:pPr>
    </w:p>
    <w:p w14:paraId="6F4D04B3" w14:textId="347EA4D3" w:rsidR="00082FE7" w:rsidRDefault="00082FE7" w:rsidP="007A5DF3">
      <w:pPr>
        <w:pStyle w:val="ListParagraph"/>
        <w:keepNext/>
        <w:numPr>
          <w:ilvl w:val="0"/>
          <w:numId w:val="20"/>
        </w:numPr>
        <w:jc w:val="both"/>
      </w:pPr>
      <w:r w:rsidRPr="00842D7D">
        <w:rPr>
          <w:b/>
        </w:rPr>
        <w:t xml:space="preserve">Y </w:t>
      </w:r>
      <w:r>
        <w:t>– ‘Yes’, SGB currently meet</w:t>
      </w:r>
      <w:r w:rsidR="00F2298B">
        <w:t>s</w:t>
      </w:r>
      <w:r>
        <w:t xml:space="preserve"> the requirement of the standard</w:t>
      </w:r>
      <w:r w:rsidR="0074239D">
        <w:t xml:space="preserve"> and can provide evidence of conformity</w:t>
      </w:r>
    </w:p>
    <w:p w14:paraId="746F9B90" w14:textId="77777777" w:rsidR="0074239D" w:rsidRDefault="0074239D" w:rsidP="00842D7D">
      <w:pPr>
        <w:pStyle w:val="ListParagraph"/>
        <w:keepNext/>
        <w:jc w:val="both"/>
      </w:pPr>
    </w:p>
    <w:p w14:paraId="050238B3" w14:textId="5E4C0511" w:rsidR="0074239D" w:rsidRDefault="0074239D" w:rsidP="007A5DF3">
      <w:pPr>
        <w:pStyle w:val="ListParagraph"/>
        <w:keepNext/>
        <w:numPr>
          <w:ilvl w:val="0"/>
          <w:numId w:val="20"/>
        </w:numPr>
        <w:jc w:val="both"/>
      </w:pPr>
      <w:r w:rsidRPr="00842D7D">
        <w:rPr>
          <w:b/>
        </w:rPr>
        <w:t>IP</w:t>
      </w:r>
      <w:r>
        <w:t xml:space="preserve"> – ‘In Progress’, SGB intend</w:t>
      </w:r>
      <w:r w:rsidR="00D9759D">
        <w:t>s</w:t>
      </w:r>
      <w:r>
        <w:t xml:space="preserve"> to comply with the requirement, but do not yet. This designation is reserved for questions in the audit checklist that will be conforming once the process and deliverable for the item have been updated in line with the requirements of the dissertation according to the rollout stipulated in the project timeline</w:t>
      </w:r>
    </w:p>
    <w:p w14:paraId="774DE70B" w14:textId="77777777" w:rsidR="0074239D" w:rsidRDefault="0074239D" w:rsidP="00842D7D">
      <w:pPr>
        <w:pStyle w:val="ListParagraph"/>
      </w:pPr>
    </w:p>
    <w:p w14:paraId="6CBFE2A0" w14:textId="2E22D97C" w:rsidR="0074239D" w:rsidRDefault="0074239D" w:rsidP="007A5DF3">
      <w:pPr>
        <w:pStyle w:val="ListParagraph"/>
        <w:keepNext/>
        <w:numPr>
          <w:ilvl w:val="0"/>
          <w:numId w:val="20"/>
        </w:numPr>
        <w:jc w:val="both"/>
      </w:pPr>
      <w:r w:rsidRPr="00842D7D">
        <w:rPr>
          <w:b/>
        </w:rPr>
        <w:t>N</w:t>
      </w:r>
      <w:r>
        <w:t xml:space="preserve"> – ‘No</w:t>
      </w:r>
      <w:r w:rsidR="001E5CC6">
        <w:t>n Conforming</w:t>
      </w:r>
      <w:r>
        <w:t>’, SGB do</w:t>
      </w:r>
      <w:r w:rsidR="00245AEA">
        <w:t>es</w:t>
      </w:r>
      <w:r>
        <w:t xml:space="preserve"> not meet the requirements of AS9145 and the activities are outside the scope of this dissertation. These items will either require further work or a dispensation not to conform to the requirements.</w:t>
      </w:r>
    </w:p>
    <w:p w14:paraId="05CD0FDF" w14:textId="77777777" w:rsidR="0074239D" w:rsidRDefault="0074239D" w:rsidP="00842D7D">
      <w:pPr>
        <w:pStyle w:val="ListParagraph"/>
      </w:pPr>
    </w:p>
    <w:p w14:paraId="24A4C6B5" w14:textId="29030EE0" w:rsidR="0074239D" w:rsidRDefault="0074239D" w:rsidP="007A5DF3">
      <w:pPr>
        <w:pStyle w:val="ListParagraph"/>
        <w:keepNext/>
        <w:numPr>
          <w:ilvl w:val="0"/>
          <w:numId w:val="20"/>
        </w:numPr>
        <w:jc w:val="both"/>
      </w:pPr>
      <w:r w:rsidRPr="00842D7D">
        <w:rPr>
          <w:b/>
        </w:rPr>
        <w:t>N/A</w:t>
      </w:r>
      <w:r>
        <w:t xml:space="preserve"> – </w:t>
      </w:r>
      <w:r w:rsidR="00353054">
        <w:t>‘</w:t>
      </w:r>
      <w:r>
        <w:t>Not applicable</w:t>
      </w:r>
      <w:r w:rsidR="00353054">
        <w:t>’</w:t>
      </w:r>
      <w:r>
        <w:t xml:space="preserve"> to SGB as this requirement is additional information only.</w:t>
      </w:r>
    </w:p>
    <w:p w14:paraId="53A5BB00" w14:textId="77777777" w:rsidR="0074239D" w:rsidRDefault="0074239D" w:rsidP="00842D7D">
      <w:pPr>
        <w:pStyle w:val="ListParagraph"/>
      </w:pPr>
    </w:p>
    <w:p w14:paraId="70DF6469" w14:textId="3D19DFA0" w:rsidR="0074239D" w:rsidRDefault="0074239D" w:rsidP="00842D7D">
      <w:pPr>
        <w:keepNext/>
        <w:jc w:val="both"/>
      </w:pPr>
      <w:r>
        <w:lastRenderedPageBreak/>
        <w:t xml:space="preserve"> </w:t>
      </w:r>
    </w:p>
    <w:p w14:paraId="108EAF0A" w14:textId="77777777" w:rsidR="00155298" w:rsidRDefault="00155298" w:rsidP="00B84701">
      <w:pPr>
        <w:keepNext/>
        <w:jc w:val="center"/>
      </w:pPr>
    </w:p>
    <w:p w14:paraId="32AA9680" w14:textId="77777777" w:rsidR="00B84701" w:rsidRDefault="00B84701" w:rsidP="00B84701">
      <w:pPr>
        <w:keepNext/>
        <w:jc w:val="center"/>
      </w:pPr>
      <w:r>
        <w:rPr>
          <w:noProof/>
          <w:lang w:eastAsia="en-GB"/>
        </w:rPr>
        <w:drawing>
          <wp:inline distT="0" distB="0" distL="0" distR="0" wp14:anchorId="32CE4089" wp14:editId="44ABE314">
            <wp:extent cx="4472940" cy="2743200"/>
            <wp:effectExtent l="0" t="0" r="381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55C7255" w14:textId="7B8B0A04" w:rsidR="00B84701" w:rsidRDefault="00B84701" w:rsidP="00B84701">
      <w:pPr>
        <w:pStyle w:val="Caption"/>
        <w:jc w:val="center"/>
      </w:pPr>
      <w:bookmarkStart w:id="86" w:name="_Ref134360970"/>
      <w:bookmarkStart w:id="87" w:name="_Toc137807653"/>
      <w:r w:rsidRPr="00B84701">
        <w:rPr>
          <w:b/>
        </w:rPr>
        <w:t xml:space="preserve">Figure </w:t>
      </w:r>
      <w:r w:rsidRPr="00B84701">
        <w:rPr>
          <w:b/>
        </w:rPr>
        <w:fldChar w:fldCharType="begin"/>
      </w:r>
      <w:r w:rsidRPr="00B84701">
        <w:rPr>
          <w:b/>
        </w:rPr>
        <w:instrText xml:space="preserve"> SEQ Figure \* ARABIC </w:instrText>
      </w:r>
      <w:r w:rsidRPr="00B84701">
        <w:rPr>
          <w:b/>
        </w:rPr>
        <w:fldChar w:fldCharType="separate"/>
      </w:r>
      <w:r w:rsidR="008C301E">
        <w:rPr>
          <w:b/>
          <w:noProof/>
        </w:rPr>
        <w:t>27</w:t>
      </w:r>
      <w:r w:rsidRPr="00B84701">
        <w:rPr>
          <w:b/>
        </w:rPr>
        <w:fldChar w:fldCharType="end"/>
      </w:r>
      <w:bookmarkEnd w:id="86"/>
      <w:r w:rsidRPr="00B84701">
        <w:rPr>
          <w:b/>
        </w:rPr>
        <w:t>: APQP/PPAP Conformity to AS9145</w:t>
      </w:r>
      <w:r>
        <w:t xml:space="preserve"> results by 'In Progress' (IP), 'Non-Conforming' (N), </w:t>
      </w:r>
      <w:r>
        <w:rPr>
          <w:noProof/>
        </w:rPr>
        <w:t>‘Not Applicable' (N/A), &amp; 'Yes' (Y)</w:t>
      </w:r>
      <w:bookmarkEnd w:id="87"/>
    </w:p>
    <w:p w14:paraId="569B0BCE" w14:textId="5A9D6891" w:rsidR="00B84701" w:rsidRDefault="00B84701" w:rsidP="00B84701">
      <w:pPr>
        <w:jc w:val="center"/>
      </w:pPr>
    </w:p>
    <w:p w14:paraId="63C17517" w14:textId="1C3FDA32" w:rsidR="002D0920" w:rsidRDefault="002D0920" w:rsidP="00842D7D">
      <w:pPr>
        <w:jc w:val="both"/>
      </w:pPr>
      <w:r>
        <w:t xml:space="preserve">The </w:t>
      </w:r>
      <w:r w:rsidR="00F217AE">
        <w:t xml:space="preserve">audit </w:t>
      </w:r>
      <w:r>
        <w:t xml:space="preserve">results show that SGB has a current score </w:t>
      </w:r>
      <w:r w:rsidRPr="00094F47">
        <w:t xml:space="preserve">of </w:t>
      </w:r>
      <w:r w:rsidRPr="00CD37AA">
        <w:t>26%</w:t>
      </w:r>
      <w:r w:rsidRPr="00094F47">
        <w:t xml:space="preserve"> AS9145</w:t>
      </w:r>
      <w:r>
        <w:t xml:space="preserve"> conformity for an APQP project</w:t>
      </w:r>
      <w:r w:rsidR="000001EB">
        <w:t>,</w:t>
      </w:r>
      <w:r w:rsidR="00F217AE">
        <w:t xml:space="preserve"> surprisingly</w:t>
      </w:r>
      <w:r w:rsidR="000001EB">
        <w:t xml:space="preserve"> in </w:t>
      </w:r>
      <w:r w:rsidR="00F217AE">
        <w:t xml:space="preserve">stark </w:t>
      </w:r>
      <w:r w:rsidR="000001EB">
        <w:t xml:space="preserve">contrast with what is </w:t>
      </w:r>
      <w:r w:rsidR="00281AEE">
        <w:t xml:space="preserve">currently </w:t>
      </w:r>
      <w:r w:rsidR="000001EB">
        <w:t>reported by SGB</w:t>
      </w:r>
      <w:r w:rsidR="00F217AE">
        <w:t>’s</w:t>
      </w:r>
      <w:r w:rsidR="000001EB">
        <w:t xml:space="preserve"> management (80%, internal communication)</w:t>
      </w:r>
      <w:r>
        <w:t>. The previous activity completed for APQP was a simple check against the BMS to see whether a process existed within SGB</w:t>
      </w:r>
      <w:r w:rsidR="00DA3DDE">
        <w:t>’</w:t>
      </w:r>
      <w:r>
        <w:t>s</w:t>
      </w:r>
      <w:r w:rsidR="00FD46B5">
        <w:t xml:space="preserve"> normal operating procedures that aligned with the 10 deliverables listed on the PPAP Part Approval Form. By using this approach, SGB have failed to recognise the following limitations:</w:t>
      </w:r>
    </w:p>
    <w:p w14:paraId="6E0F3027" w14:textId="77777777" w:rsidR="004E70A1" w:rsidRDefault="004E70A1" w:rsidP="00842D7D">
      <w:pPr>
        <w:jc w:val="both"/>
      </w:pPr>
    </w:p>
    <w:p w14:paraId="4A88BC39" w14:textId="3B6F946B" w:rsidR="00FD46B5" w:rsidRDefault="00466FA1" w:rsidP="007A5DF3">
      <w:pPr>
        <w:pStyle w:val="ListParagraph"/>
        <w:numPr>
          <w:ilvl w:val="0"/>
          <w:numId w:val="19"/>
        </w:numPr>
        <w:jc w:val="both"/>
      </w:pPr>
      <w:r>
        <w:t>Both the ‘Design Risk’ and ‘Design Analysis’ deliverables have more than one element</w:t>
      </w:r>
      <w:r w:rsidR="004320ED">
        <w:t>.</w:t>
      </w:r>
    </w:p>
    <w:p w14:paraId="3080ECE5" w14:textId="77777777" w:rsidR="00E12F58" w:rsidRDefault="00E12F58" w:rsidP="00842D7D">
      <w:pPr>
        <w:pStyle w:val="ListParagraph"/>
        <w:jc w:val="both"/>
      </w:pPr>
    </w:p>
    <w:p w14:paraId="0FBBBF97" w14:textId="28D1761C" w:rsidR="00E12F58" w:rsidRDefault="00466FA1" w:rsidP="007A5DF3">
      <w:pPr>
        <w:pStyle w:val="ListParagraph"/>
        <w:numPr>
          <w:ilvl w:val="0"/>
          <w:numId w:val="19"/>
        </w:numPr>
        <w:jc w:val="both"/>
      </w:pPr>
      <w:r>
        <w:t xml:space="preserve">Having a process doesn’t mean that the process is conforming to the requirements of AS9145, nor that it matches the standard required for </w:t>
      </w:r>
      <w:r w:rsidR="00E12F58">
        <w:t>PPAP deliverables</w:t>
      </w:r>
      <w:r w:rsidR="004320ED">
        <w:t>.</w:t>
      </w:r>
    </w:p>
    <w:p w14:paraId="03DB954C" w14:textId="77777777" w:rsidR="004320ED" w:rsidRDefault="004320ED" w:rsidP="00842D7D">
      <w:pPr>
        <w:pStyle w:val="ListParagraph"/>
      </w:pPr>
    </w:p>
    <w:p w14:paraId="6B8CF1B8" w14:textId="6AC25611" w:rsidR="004320ED" w:rsidRDefault="004320ED" w:rsidP="007A5DF3">
      <w:pPr>
        <w:pStyle w:val="ListParagraph"/>
        <w:numPr>
          <w:ilvl w:val="0"/>
          <w:numId w:val="19"/>
        </w:numPr>
        <w:jc w:val="both"/>
      </w:pPr>
      <w:r>
        <w:t>The customer</w:t>
      </w:r>
      <w:r w:rsidR="00C97AE3">
        <w:t xml:space="preserve"> can</w:t>
      </w:r>
      <w:r>
        <w:t xml:space="preserve"> request additional deliverables beyond the PPAP Approval Form list that must be provided if requested.</w:t>
      </w:r>
    </w:p>
    <w:p w14:paraId="5528BC90" w14:textId="77777777" w:rsidR="00E12F58" w:rsidRDefault="00E12F58" w:rsidP="00842D7D">
      <w:pPr>
        <w:pStyle w:val="ListParagraph"/>
        <w:jc w:val="both"/>
      </w:pPr>
    </w:p>
    <w:p w14:paraId="472FFD15" w14:textId="39D52119" w:rsidR="00E12F58" w:rsidRDefault="00E12F58" w:rsidP="007A5DF3">
      <w:pPr>
        <w:pStyle w:val="ListParagraph"/>
        <w:numPr>
          <w:ilvl w:val="0"/>
          <w:numId w:val="19"/>
        </w:numPr>
        <w:jc w:val="both"/>
      </w:pPr>
      <w:r>
        <w:t xml:space="preserve">Without a method to measure the status of the project through the deliverables, there is no way to identify where a project </w:t>
      </w:r>
      <w:r w:rsidR="00A957DB">
        <w:t>either is</w:t>
      </w:r>
      <w:r w:rsidR="00082FE7">
        <w:t xml:space="preserve"> </w:t>
      </w:r>
      <w:r>
        <w:t>delayed in producing a deliverable</w:t>
      </w:r>
      <w:r w:rsidR="00082FE7">
        <w:t xml:space="preserve"> or </w:t>
      </w:r>
      <w:r w:rsidR="00A957DB">
        <w:t>has not</w:t>
      </w:r>
      <w:r w:rsidR="00082FE7">
        <w:t xml:space="preserve"> produced one at all</w:t>
      </w:r>
      <w:r w:rsidR="004320ED">
        <w:t>.</w:t>
      </w:r>
    </w:p>
    <w:p w14:paraId="5E3DB15F" w14:textId="77777777" w:rsidR="00E12F58" w:rsidRDefault="00E12F58" w:rsidP="00842D7D">
      <w:pPr>
        <w:pStyle w:val="ListParagraph"/>
        <w:jc w:val="both"/>
      </w:pPr>
    </w:p>
    <w:p w14:paraId="5B7EE897" w14:textId="00794661" w:rsidR="00E12F58" w:rsidRDefault="00E12F58" w:rsidP="007A5DF3">
      <w:pPr>
        <w:pStyle w:val="ListParagraph"/>
        <w:numPr>
          <w:ilvl w:val="0"/>
          <w:numId w:val="19"/>
        </w:numPr>
        <w:jc w:val="both"/>
      </w:pPr>
      <w:r>
        <w:lastRenderedPageBreak/>
        <w:t>SGB</w:t>
      </w:r>
      <w:r w:rsidR="00DA3DDE">
        <w:t>’</w:t>
      </w:r>
      <w:r>
        <w:t>s APQP readiness does not cover any of the requirements for submittal/resubmittal of a PPAP to the customer</w:t>
      </w:r>
      <w:r w:rsidR="004320ED">
        <w:t>.</w:t>
      </w:r>
    </w:p>
    <w:p w14:paraId="22969994" w14:textId="77777777" w:rsidR="00082FE7" w:rsidRDefault="00082FE7" w:rsidP="00842D7D">
      <w:pPr>
        <w:pStyle w:val="ListParagraph"/>
      </w:pPr>
    </w:p>
    <w:p w14:paraId="37B75173" w14:textId="24D17B69" w:rsidR="00082FE7" w:rsidRDefault="00685F98" w:rsidP="00842D7D">
      <w:pPr>
        <w:jc w:val="both"/>
      </w:pPr>
      <w:r>
        <w:t>By updating SGB</w:t>
      </w:r>
      <w:r w:rsidR="00DA3DDE">
        <w:t>’</w:t>
      </w:r>
      <w:r>
        <w:t xml:space="preserve">s processes and deliverables in line with this dissertation, SGB can significantly improve their APQP readiness score </w:t>
      </w:r>
      <w:r w:rsidRPr="00DA3DDE">
        <w:t xml:space="preserve">to </w:t>
      </w:r>
      <w:r w:rsidR="00104800" w:rsidRPr="00CD37AA">
        <w:t>75</w:t>
      </w:r>
      <w:r w:rsidRPr="00CD37AA">
        <w:t>%.</w:t>
      </w:r>
      <w:r>
        <w:t xml:space="preserve"> </w:t>
      </w:r>
      <w:r w:rsidR="00082FE7">
        <w:t>To understand the actions required by SGB, the overall results above must be considered in terms of the overall APQP requirements and the PPAP requirements. These results are analysed in the following sections.</w:t>
      </w:r>
    </w:p>
    <w:p w14:paraId="2D9FC121" w14:textId="77777777" w:rsidR="002D0920" w:rsidRDefault="002D0920" w:rsidP="00B84701">
      <w:pPr>
        <w:jc w:val="center"/>
      </w:pPr>
    </w:p>
    <w:p w14:paraId="1520D161" w14:textId="77777777" w:rsidR="00CC324B" w:rsidRDefault="003C284F" w:rsidP="00CC324B">
      <w:pPr>
        <w:pStyle w:val="Heading2"/>
      </w:pPr>
      <w:bookmarkStart w:id="88" w:name="_Toc137807609"/>
      <w:r>
        <w:t xml:space="preserve">6.2 </w:t>
      </w:r>
      <w:r w:rsidR="00CC324B">
        <w:t>APQP Conformity to AS9145</w:t>
      </w:r>
      <w:bookmarkEnd w:id="88"/>
    </w:p>
    <w:p w14:paraId="270D2D2A" w14:textId="562D2737" w:rsidR="00CC324B" w:rsidRDefault="00CC324B" w:rsidP="00B84701">
      <w:pPr>
        <w:jc w:val="center"/>
      </w:pPr>
    </w:p>
    <w:p w14:paraId="1D465541" w14:textId="6C7E1797" w:rsidR="00082FE7" w:rsidRDefault="00082FE7" w:rsidP="00842D7D">
      <w:pPr>
        <w:jc w:val="both"/>
      </w:pPr>
      <w:r w:rsidRPr="00157798">
        <w:fldChar w:fldCharType="begin"/>
      </w:r>
      <w:r w:rsidRPr="00157798">
        <w:instrText xml:space="preserve"> REF _Ref134364053 \h </w:instrText>
      </w:r>
      <w:r w:rsidR="00157798" w:rsidRPr="00CD37AA">
        <w:instrText xml:space="preserve"> \* MERGEFORMAT </w:instrText>
      </w:r>
      <w:r w:rsidRPr="00157798">
        <w:fldChar w:fldCharType="separate"/>
      </w:r>
      <w:r w:rsidR="008C301E" w:rsidRPr="008C301E">
        <w:t xml:space="preserve">Figure </w:t>
      </w:r>
      <w:r w:rsidR="008C301E" w:rsidRPr="008C301E">
        <w:rPr>
          <w:noProof/>
        </w:rPr>
        <w:t>28</w:t>
      </w:r>
      <w:r w:rsidRPr="00157798">
        <w:fldChar w:fldCharType="end"/>
      </w:r>
      <w:r>
        <w:t xml:space="preserve"> separates the APQP</w:t>
      </w:r>
      <w:r w:rsidR="00157798">
        <w:t>-</w:t>
      </w:r>
      <w:r>
        <w:t xml:space="preserve">specific requirements from the </w:t>
      </w:r>
      <w:r w:rsidR="006A52AD">
        <w:t>overall</w:t>
      </w:r>
      <w:r>
        <w:t xml:space="preserve"> requirements.</w:t>
      </w:r>
    </w:p>
    <w:p w14:paraId="7304D4BF" w14:textId="77777777" w:rsidR="00082FE7" w:rsidRDefault="00082FE7" w:rsidP="00B84701">
      <w:pPr>
        <w:jc w:val="center"/>
      </w:pPr>
    </w:p>
    <w:p w14:paraId="3F8A5D34" w14:textId="77777777" w:rsidR="00B84701" w:rsidRDefault="00B84701" w:rsidP="00B84701">
      <w:pPr>
        <w:keepNext/>
        <w:jc w:val="center"/>
      </w:pPr>
      <w:r>
        <w:rPr>
          <w:noProof/>
          <w:lang w:eastAsia="en-GB"/>
        </w:rPr>
        <w:drawing>
          <wp:inline distT="0" distB="0" distL="0" distR="0" wp14:anchorId="528D3E58" wp14:editId="242BE246">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3A266F87" w14:textId="43F900E5" w:rsidR="00B84701" w:rsidRDefault="00B84701" w:rsidP="00B84701">
      <w:pPr>
        <w:pStyle w:val="Caption"/>
        <w:jc w:val="center"/>
      </w:pPr>
      <w:bookmarkStart w:id="89" w:name="_Ref134364053"/>
      <w:bookmarkStart w:id="90" w:name="_Toc137807654"/>
      <w:r w:rsidRPr="00B84701">
        <w:rPr>
          <w:b/>
        </w:rPr>
        <w:t xml:space="preserve">Figure </w:t>
      </w:r>
      <w:r w:rsidRPr="00B84701">
        <w:rPr>
          <w:b/>
        </w:rPr>
        <w:fldChar w:fldCharType="begin"/>
      </w:r>
      <w:r w:rsidRPr="00B84701">
        <w:rPr>
          <w:b/>
        </w:rPr>
        <w:instrText xml:space="preserve"> SEQ Figure \* ARABIC </w:instrText>
      </w:r>
      <w:r w:rsidRPr="00B84701">
        <w:rPr>
          <w:b/>
        </w:rPr>
        <w:fldChar w:fldCharType="separate"/>
      </w:r>
      <w:r w:rsidR="008C301E">
        <w:rPr>
          <w:b/>
          <w:noProof/>
        </w:rPr>
        <w:t>28</w:t>
      </w:r>
      <w:r w:rsidRPr="00B84701">
        <w:rPr>
          <w:b/>
        </w:rPr>
        <w:fldChar w:fldCharType="end"/>
      </w:r>
      <w:bookmarkEnd w:id="89"/>
      <w:r w:rsidRPr="00B84701">
        <w:rPr>
          <w:b/>
        </w:rPr>
        <w:t>: APQP Conformity to AS9145</w:t>
      </w:r>
      <w:r w:rsidRPr="00DF2ADA">
        <w:t xml:space="preserve"> results by 'In Progress' (IP), 'Non-Conforming' (N), ‘Not Applicable' (N/A), &amp; 'Yes' (Y)</w:t>
      </w:r>
      <w:bookmarkEnd w:id="90"/>
    </w:p>
    <w:p w14:paraId="6F916D80" w14:textId="54057718" w:rsidR="00B84701" w:rsidRDefault="00B84701" w:rsidP="00B84701">
      <w:pPr>
        <w:jc w:val="center"/>
      </w:pPr>
    </w:p>
    <w:p w14:paraId="70B6A457" w14:textId="027C638C" w:rsidR="00082FE7" w:rsidRDefault="00082FE7" w:rsidP="00842D7D">
      <w:pPr>
        <w:jc w:val="both"/>
      </w:pPr>
      <w:r>
        <w:t>T</w:t>
      </w:r>
      <w:r w:rsidR="004E70A1">
        <w:t>he results demonstrate that SGB</w:t>
      </w:r>
      <w:r w:rsidR="00366701">
        <w:t>’</w:t>
      </w:r>
      <w:r w:rsidR="004E70A1">
        <w:t>s APQP capability is:</w:t>
      </w:r>
    </w:p>
    <w:p w14:paraId="7A3BC77C" w14:textId="6D4932D3" w:rsidR="004E70A1" w:rsidRDefault="004E70A1" w:rsidP="00842D7D">
      <w:pPr>
        <w:jc w:val="both"/>
      </w:pPr>
    </w:p>
    <w:p w14:paraId="2C2FCACE" w14:textId="4851CAED" w:rsidR="004E70A1" w:rsidRDefault="004E70A1" w:rsidP="007A5DF3">
      <w:pPr>
        <w:pStyle w:val="ListParagraph"/>
        <w:numPr>
          <w:ilvl w:val="0"/>
          <w:numId w:val="21"/>
        </w:numPr>
        <w:jc w:val="both"/>
      </w:pPr>
      <w:r w:rsidRPr="00842D7D">
        <w:rPr>
          <w:b/>
        </w:rPr>
        <w:t>Y (21%)</w:t>
      </w:r>
      <w:r>
        <w:t xml:space="preserve"> –</w:t>
      </w:r>
      <w:r w:rsidR="00353054" w:rsidRPr="00353054">
        <w:t xml:space="preserve"> ‘Yes’,</w:t>
      </w:r>
      <w:r w:rsidR="00353054">
        <w:t xml:space="preserve"> t</w:t>
      </w:r>
      <w:r>
        <w:t xml:space="preserve">hese items </w:t>
      </w:r>
      <w:r w:rsidR="00366701">
        <w:t xml:space="preserve">assess whether </w:t>
      </w:r>
      <w:r>
        <w:t xml:space="preserve">a company </w:t>
      </w:r>
      <w:r w:rsidR="00366701">
        <w:t>has</w:t>
      </w:r>
      <w:r>
        <w:t xml:space="preserve"> the requirement</w:t>
      </w:r>
      <w:r w:rsidR="00366701">
        <w:t>s</w:t>
      </w:r>
      <w:r>
        <w:t xml:space="preserve"> to carry out certain activities within the new product development process and that the persons responsible for the activities have been identified. The evidence for the audit questions are the SIPOC and RACI diagrams compiled in the earlier stages of this dissertation.</w:t>
      </w:r>
    </w:p>
    <w:p w14:paraId="2F2F4830" w14:textId="77777777" w:rsidR="00104800" w:rsidRDefault="00104800" w:rsidP="00842D7D">
      <w:pPr>
        <w:pStyle w:val="ListParagraph"/>
        <w:jc w:val="both"/>
      </w:pPr>
    </w:p>
    <w:p w14:paraId="7CF505C9" w14:textId="774418FD" w:rsidR="00685F98" w:rsidRDefault="00685F98" w:rsidP="007A5DF3">
      <w:pPr>
        <w:pStyle w:val="ListParagraph"/>
        <w:numPr>
          <w:ilvl w:val="0"/>
          <w:numId w:val="21"/>
        </w:numPr>
        <w:jc w:val="both"/>
      </w:pPr>
      <w:r>
        <w:rPr>
          <w:b/>
        </w:rPr>
        <w:lastRenderedPageBreak/>
        <w:t xml:space="preserve">IP (58%) </w:t>
      </w:r>
      <w:r w:rsidR="00353054">
        <w:t>–</w:t>
      </w:r>
      <w:r w:rsidR="00353054" w:rsidRPr="00353054">
        <w:t xml:space="preserve"> ‘</w:t>
      </w:r>
      <w:r w:rsidR="00353054">
        <w:t>In Progress</w:t>
      </w:r>
      <w:r w:rsidR="00353054" w:rsidRPr="00353054">
        <w:t>’</w:t>
      </w:r>
      <w:r w:rsidR="00353054">
        <w:t xml:space="preserve"> </w:t>
      </w:r>
      <w:r>
        <w:t xml:space="preserve">items are audit questions that will be evidenced once the process and deliverable have been updated according to this dissertation. As such, it is </w:t>
      </w:r>
      <w:r w:rsidR="00EA5A91">
        <w:t>expected</w:t>
      </w:r>
      <w:r>
        <w:t xml:space="preserve"> that at the end of the APQP rollout these items will be updated to ‘Y’ items.</w:t>
      </w:r>
    </w:p>
    <w:p w14:paraId="0196D9F7" w14:textId="77777777" w:rsidR="00211251" w:rsidRDefault="00211251" w:rsidP="00211251">
      <w:pPr>
        <w:pStyle w:val="ListParagraph"/>
      </w:pPr>
    </w:p>
    <w:p w14:paraId="10549039" w14:textId="77777777" w:rsidR="00104800" w:rsidRDefault="00104800" w:rsidP="00842D7D">
      <w:pPr>
        <w:pStyle w:val="ListParagraph"/>
      </w:pPr>
    </w:p>
    <w:p w14:paraId="6DE3B64F" w14:textId="5B309EAA" w:rsidR="00104800" w:rsidRDefault="00104800" w:rsidP="007A5DF3">
      <w:pPr>
        <w:pStyle w:val="ListParagraph"/>
        <w:numPr>
          <w:ilvl w:val="0"/>
          <w:numId w:val="21"/>
        </w:numPr>
        <w:jc w:val="both"/>
      </w:pPr>
      <w:r w:rsidRPr="00842D7D">
        <w:rPr>
          <w:b/>
        </w:rPr>
        <w:t>N (20%)</w:t>
      </w:r>
      <w:r>
        <w:t xml:space="preserve"> </w:t>
      </w:r>
      <w:r w:rsidR="00211251" w:rsidRPr="00211251">
        <w:t>– ‘</w:t>
      </w:r>
      <w:r w:rsidR="00211251">
        <w:t>Non Conforming</w:t>
      </w:r>
      <w:r w:rsidR="00211251" w:rsidRPr="00211251">
        <w:t xml:space="preserve">’ </w:t>
      </w:r>
      <w:r>
        <w:t xml:space="preserve">items are not covered within the scope of this dissertation. These items are specifically relating to ‘Production Process Runs’ providing the data for validating the process. Although SGB could </w:t>
      </w:r>
      <w:r w:rsidR="00D2375C">
        <w:t>implement</w:t>
      </w:r>
      <w:r w:rsidR="00EB42CF">
        <w:t xml:space="preserve"> </w:t>
      </w:r>
      <w:r>
        <w:t>a production process run for a large order of business-class products, the low overall numbers of units purchased for first-class products mean that any such run on these projects would potentially exceed the total number of parts required. For these items, SGB would either have to reach an alternative solution with the customer or declare a deviation from AS9145.</w:t>
      </w:r>
    </w:p>
    <w:p w14:paraId="25A681A4" w14:textId="77777777" w:rsidR="00104800" w:rsidRDefault="00104800" w:rsidP="00842D7D">
      <w:pPr>
        <w:pStyle w:val="ListParagraph"/>
      </w:pPr>
    </w:p>
    <w:p w14:paraId="7344C6EE" w14:textId="3017640A" w:rsidR="00104800" w:rsidRDefault="00104800" w:rsidP="00842D7D">
      <w:pPr>
        <w:pStyle w:val="ListParagraph"/>
        <w:jc w:val="both"/>
      </w:pPr>
      <w:r>
        <w:t>Other Non-conforming items refer to the implementation of a comprehensive ‘</w:t>
      </w:r>
      <w:r w:rsidR="00AA14C5">
        <w:t>Lessons</w:t>
      </w:r>
      <w:r>
        <w:t xml:space="preserve"> Learnt’ process to capture all in-service issues. SGB do</w:t>
      </w:r>
      <w:r w:rsidR="00E71B43">
        <w:t>es</w:t>
      </w:r>
      <w:r>
        <w:t xml:space="preserve"> not currently have quality resource allocated to the Aftermarket area of the business that deals with these issues. Until SGB decide</w:t>
      </w:r>
      <w:r w:rsidR="000C4EBF">
        <w:t>s</w:t>
      </w:r>
      <w:r>
        <w:t xml:space="preserve"> what resource to allocate to this area of the business, it is not possible to create the process to capture these issues.</w:t>
      </w:r>
    </w:p>
    <w:p w14:paraId="590B435A" w14:textId="77777777" w:rsidR="00104800" w:rsidRDefault="00104800" w:rsidP="00842D7D">
      <w:pPr>
        <w:pStyle w:val="ListParagraph"/>
        <w:jc w:val="both"/>
      </w:pPr>
    </w:p>
    <w:p w14:paraId="3922B113" w14:textId="77777777" w:rsidR="00B84701" w:rsidRDefault="003C284F" w:rsidP="00CC324B">
      <w:pPr>
        <w:pStyle w:val="Heading2"/>
      </w:pPr>
      <w:bookmarkStart w:id="91" w:name="_Toc137807610"/>
      <w:r>
        <w:t xml:space="preserve">6.3 </w:t>
      </w:r>
      <w:r w:rsidR="00CC324B">
        <w:t>PPAP Conformity to AS9145</w:t>
      </w:r>
      <w:bookmarkEnd w:id="91"/>
    </w:p>
    <w:p w14:paraId="02EFFD33" w14:textId="1087AA8E" w:rsidR="00B84701" w:rsidRDefault="00B84701" w:rsidP="00B84701">
      <w:pPr>
        <w:jc w:val="center"/>
      </w:pPr>
    </w:p>
    <w:p w14:paraId="3FA6CBAC" w14:textId="7AEC7560" w:rsidR="006A52AD" w:rsidRDefault="006A52AD" w:rsidP="00842D7D">
      <w:pPr>
        <w:jc w:val="both"/>
      </w:pPr>
      <w:r w:rsidRPr="001E5CC6">
        <w:fldChar w:fldCharType="begin"/>
      </w:r>
      <w:r w:rsidRPr="001E5CC6">
        <w:instrText xml:space="preserve"> REF _Ref134367268 \h </w:instrText>
      </w:r>
      <w:r w:rsidR="001E5CC6" w:rsidRPr="00CD37AA">
        <w:instrText xml:space="preserve"> \* MERGEFORMAT </w:instrText>
      </w:r>
      <w:r w:rsidRPr="001E5CC6">
        <w:fldChar w:fldCharType="separate"/>
      </w:r>
      <w:r w:rsidR="008C301E" w:rsidRPr="008C301E">
        <w:t xml:space="preserve">Figure </w:t>
      </w:r>
      <w:r w:rsidR="008C301E" w:rsidRPr="008C301E">
        <w:rPr>
          <w:noProof/>
        </w:rPr>
        <w:t>29</w:t>
      </w:r>
      <w:r w:rsidRPr="001E5CC6">
        <w:fldChar w:fldCharType="end"/>
      </w:r>
      <w:r>
        <w:t xml:space="preserve"> separates the </w:t>
      </w:r>
      <w:r w:rsidR="0005360F">
        <w:t xml:space="preserve">PPAP </w:t>
      </w:r>
      <w:r>
        <w:t>specific requirements from the overall requirements.</w:t>
      </w:r>
    </w:p>
    <w:p w14:paraId="21669EA3" w14:textId="77777777" w:rsidR="006A52AD" w:rsidRDefault="006A52AD" w:rsidP="00B84701">
      <w:pPr>
        <w:jc w:val="center"/>
      </w:pPr>
    </w:p>
    <w:p w14:paraId="4BD13218" w14:textId="77777777" w:rsidR="00B84701" w:rsidRDefault="00B84701" w:rsidP="00B84701">
      <w:pPr>
        <w:keepNext/>
        <w:jc w:val="center"/>
      </w:pPr>
      <w:r>
        <w:rPr>
          <w:noProof/>
          <w:lang w:eastAsia="en-GB"/>
        </w:rPr>
        <w:drawing>
          <wp:inline distT="0" distB="0" distL="0" distR="0" wp14:anchorId="2D37EC21" wp14:editId="531171C9">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37B8EC6" w14:textId="53BC1437" w:rsidR="00B84701" w:rsidRDefault="00B84701" w:rsidP="00B84701">
      <w:pPr>
        <w:pStyle w:val="Caption"/>
        <w:jc w:val="center"/>
      </w:pPr>
      <w:bookmarkStart w:id="92" w:name="_Ref134367268"/>
      <w:bookmarkStart w:id="93" w:name="_Toc137807655"/>
      <w:r w:rsidRPr="00B84701">
        <w:rPr>
          <w:b/>
        </w:rPr>
        <w:t xml:space="preserve">Figure </w:t>
      </w:r>
      <w:r w:rsidRPr="00B84701">
        <w:rPr>
          <w:b/>
        </w:rPr>
        <w:fldChar w:fldCharType="begin"/>
      </w:r>
      <w:r w:rsidRPr="00B84701">
        <w:rPr>
          <w:b/>
        </w:rPr>
        <w:instrText xml:space="preserve"> SEQ Figure \* ARABIC </w:instrText>
      </w:r>
      <w:r w:rsidRPr="00B84701">
        <w:rPr>
          <w:b/>
        </w:rPr>
        <w:fldChar w:fldCharType="separate"/>
      </w:r>
      <w:r w:rsidR="008C301E">
        <w:rPr>
          <w:b/>
          <w:noProof/>
        </w:rPr>
        <w:t>29</w:t>
      </w:r>
      <w:r w:rsidRPr="00B84701">
        <w:rPr>
          <w:b/>
        </w:rPr>
        <w:fldChar w:fldCharType="end"/>
      </w:r>
      <w:bookmarkEnd w:id="92"/>
      <w:r w:rsidRPr="00B84701">
        <w:rPr>
          <w:b/>
        </w:rPr>
        <w:t>: PPAP Conformity to AS9145</w:t>
      </w:r>
      <w:r w:rsidRPr="00E47D7A">
        <w:t xml:space="preserve"> results by </w:t>
      </w:r>
      <w:r>
        <w:t xml:space="preserve">'Non-Conforming' (N) </w:t>
      </w:r>
      <w:r w:rsidRPr="00E47D7A">
        <w:t>&amp; 'Yes' (Y)</w:t>
      </w:r>
      <w:bookmarkEnd w:id="93"/>
    </w:p>
    <w:p w14:paraId="4986B91C" w14:textId="77777777" w:rsidR="00545038" w:rsidRDefault="00545038" w:rsidP="00B84701">
      <w:pPr>
        <w:jc w:val="center"/>
      </w:pPr>
    </w:p>
    <w:p w14:paraId="30AF8B71" w14:textId="1EB561B1" w:rsidR="004320ED" w:rsidRDefault="004320ED" w:rsidP="004320ED">
      <w:pPr>
        <w:jc w:val="both"/>
      </w:pPr>
      <w:r>
        <w:lastRenderedPageBreak/>
        <w:t xml:space="preserve">The results demonstrate that SGBs </w:t>
      </w:r>
      <w:r w:rsidR="00C61A8B">
        <w:t>PPAP</w:t>
      </w:r>
      <w:r>
        <w:t xml:space="preserve"> capability is:</w:t>
      </w:r>
    </w:p>
    <w:p w14:paraId="09ED8268" w14:textId="77777777" w:rsidR="00ED7B69" w:rsidRDefault="00ED7B69" w:rsidP="004320ED">
      <w:pPr>
        <w:jc w:val="both"/>
      </w:pPr>
    </w:p>
    <w:p w14:paraId="4FCCE307" w14:textId="255AC96C" w:rsidR="004320ED" w:rsidRDefault="004320ED" w:rsidP="007A5DF3">
      <w:pPr>
        <w:pStyle w:val="ListParagraph"/>
        <w:numPr>
          <w:ilvl w:val="0"/>
          <w:numId w:val="22"/>
        </w:numPr>
      </w:pPr>
      <w:r w:rsidRPr="00842D7D">
        <w:rPr>
          <w:b/>
        </w:rPr>
        <w:t>Y (54%)</w:t>
      </w:r>
      <w:r>
        <w:t xml:space="preserve"> </w:t>
      </w:r>
      <w:r w:rsidR="002076C9" w:rsidRPr="002076C9">
        <w:t>– ‘</w:t>
      </w:r>
      <w:r w:rsidR="002076C9">
        <w:t>Yes</w:t>
      </w:r>
      <w:r w:rsidR="002076C9" w:rsidRPr="002076C9">
        <w:t>’</w:t>
      </w:r>
      <w:r w:rsidR="00C74249">
        <w:t>,</w:t>
      </w:r>
      <w:r w:rsidR="002076C9" w:rsidRPr="002076C9">
        <w:t xml:space="preserve"> </w:t>
      </w:r>
      <w:r w:rsidR="00C74249">
        <w:t>t</w:t>
      </w:r>
      <w:r>
        <w:t>hrough the actions of this dissertation, SGB</w:t>
      </w:r>
      <w:r w:rsidR="00C74249">
        <w:t>’</w:t>
      </w:r>
      <w:r>
        <w:t xml:space="preserve">s PPAP conformity has increased from 0% to 54%. The increase </w:t>
      </w:r>
      <w:r w:rsidR="00D16E51">
        <w:t>was</w:t>
      </w:r>
      <w:r>
        <w:t xml:space="preserve"> achieved by the following actions:</w:t>
      </w:r>
    </w:p>
    <w:p w14:paraId="39AFDBA6" w14:textId="38E5C9E2" w:rsidR="004320ED" w:rsidRDefault="004320ED" w:rsidP="007A5DF3">
      <w:pPr>
        <w:pStyle w:val="ListParagraph"/>
        <w:numPr>
          <w:ilvl w:val="1"/>
          <w:numId w:val="22"/>
        </w:numPr>
      </w:pPr>
      <w:r>
        <w:t>Identifying and agreeing the PPAP deliverables with the customer and documenting them in the quality</w:t>
      </w:r>
      <w:r w:rsidR="00ED7B69">
        <w:t xml:space="preserve"> process QUA05 and the quality</w:t>
      </w:r>
      <w:r>
        <w:t xml:space="preserve"> plan</w:t>
      </w:r>
      <w:r w:rsidR="00ED7B69">
        <w:t>.</w:t>
      </w:r>
    </w:p>
    <w:p w14:paraId="627EA3C3" w14:textId="26EDF6EC" w:rsidR="00ED7B69" w:rsidRDefault="00ED7B69" w:rsidP="007A5DF3">
      <w:pPr>
        <w:pStyle w:val="ListParagraph"/>
        <w:numPr>
          <w:ilvl w:val="1"/>
          <w:numId w:val="22"/>
        </w:numPr>
      </w:pPr>
      <w:r>
        <w:t>Creat</w:t>
      </w:r>
      <w:r w:rsidR="0080618F">
        <w:t>ing</w:t>
      </w:r>
      <w:r>
        <w:t xml:space="preserve"> a tool to monitor PPAP progress and manage any open items and issues.</w:t>
      </w:r>
    </w:p>
    <w:p w14:paraId="5BC2D468" w14:textId="1226888A" w:rsidR="00ED7B69" w:rsidRDefault="00ED7B69" w:rsidP="007A5DF3">
      <w:pPr>
        <w:pStyle w:val="ListParagraph"/>
        <w:numPr>
          <w:ilvl w:val="1"/>
          <w:numId w:val="22"/>
        </w:numPr>
      </w:pPr>
      <w:r>
        <w:t>Requir</w:t>
      </w:r>
      <w:r w:rsidR="0080618F">
        <w:t>ing</w:t>
      </w:r>
      <w:r>
        <w:t xml:space="preserve"> that the customer, in a phase approach, validate</w:t>
      </w:r>
      <w:r w:rsidR="00900BE6">
        <w:t>s</w:t>
      </w:r>
      <w:r>
        <w:t xml:space="preserve"> the PPAP pack.</w:t>
      </w:r>
    </w:p>
    <w:p w14:paraId="3E3B306D" w14:textId="3068C853" w:rsidR="00ED7B69" w:rsidRDefault="00ED7B69" w:rsidP="007A5DF3">
      <w:pPr>
        <w:pStyle w:val="ListParagraph"/>
        <w:numPr>
          <w:ilvl w:val="1"/>
          <w:numId w:val="22"/>
        </w:numPr>
      </w:pPr>
      <w:r>
        <w:t>Updati</w:t>
      </w:r>
      <w:r w:rsidR="00B47E5D">
        <w:t xml:space="preserve">ng the Quality Signatory Matrix, </w:t>
      </w:r>
      <w:r w:rsidR="00B47E5D">
        <w:fldChar w:fldCharType="begin"/>
      </w:r>
      <w:r w:rsidR="00B47E5D">
        <w:instrText xml:space="preserve"> REF _Ref137801345 \h </w:instrText>
      </w:r>
      <w:r w:rsidR="00B47E5D">
        <w:instrText xml:space="preserve"> \* MERGEFORMAT </w:instrText>
      </w:r>
      <w:r w:rsidR="00B47E5D">
        <w:fldChar w:fldCharType="separate"/>
      </w:r>
      <w:r w:rsidR="008C301E" w:rsidRPr="008C301E">
        <w:t>Appendix 11</w:t>
      </w:r>
      <w:r w:rsidR="00B47E5D">
        <w:fldChar w:fldCharType="end"/>
      </w:r>
      <w:r w:rsidR="00B47E5D">
        <w:t>,</w:t>
      </w:r>
      <w:r>
        <w:t>to limit the PPAP authorisers to members of the quality department who hold the training records for APQP Master.</w:t>
      </w:r>
    </w:p>
    <w:p w14:paraId="20B5C99D" w14:textId="77777777" w:rsidR="00B76B6B" w:rsidRDefault="00B76B6B" w:rsidP="00842D7D">
      <w:pPr>
        <w:pStyle w:val="ListParagraph"/>
        <w:ind w:left="1440"/>
      </w:pPr>
    </w:p>
    <w:p w14:paraId="2E893136" w14:textId="165E8B52" w:rsidR="00B76B6B" w:rsidRDefault="00B76B6B" w:rsidP="007A5DF3">
      <w:pPr>
        <w:pStyle w:val="ListParagraph"/>
        <w:numPr>
          <w:ilvl w:val="0"/>
          <w:numId w:val="22"/>
        </w:numPr>
      </w:pPr>
      <w:r w:rsidRPr="00842D7D">
        <w:rPr>
          <w:b/>
        </w:rPr>
        <w:t>N (46%)</w:t>
      </w:r>
      <w:r>
        <w:t xml:space="preserve"> </w:t>
      </w:r>
      <w:r w:rsidR="00C74249" w:rsidRPr="00C74249">
        <w:t>– ‘Non Conforming’</w:t>
      </w:r>
      <w:r w:rsidR="00C74249">
        <w:t>,</w:t>
      </w:r>
      <w:r w:rsidR="00C74249" w:rsidRPr="00C74249">
        <w:t xml:space="preserve"> </w:t>
      </w:r>
      <w:r w:rsidR="00C74249">
        <w:t>a</w:t>
      </w:r>
      <w:r w:rsidR="000F578A">
        <w:t>reas of PPAP not covered by this dissertation:</w:t>
      </w:r>
    </w:p>
    <w:p w14:paraId="1394E92F" w14:textId="44137C44" w:rsidR="000F578A" w:rsidRDefault="000F578A" w:rsidP="007A5DF3">
      <w:pPr>
        <w:pStyle w:val="ListParagraph"/>
        <w:numPr>
          <w:ilvl w:val="1"/>
          <w:numId w:val="22"/>
        </w:numPr>
      </w:pPr>
      <w:r w:rsidRPr="00842D7D">
        <w:t>Final submittal/resubmittal process for the PPAP as the requirements are customer</w:t>
      </w:r>
      <w:r w:rsidR="00A356D2">
        <w:t>-</w:t>
      </w:r>
      <w:r w:rsidRPr="000F578A">
        <w:t>specific</w:t>
      </w:r>
      <w:r w:rsidR="00A356D2">
        <w:t>.</w:t>
      </w:r>
    </w:p>
    <w:p w14:paraId="51668B6A" w14:textId="7FAFC8ED" w:rsidR="000F578A" w:rsidRPr="000F578A" w:rsidRDefault="000F578A" w:rsidP="007A5DF3">
      <w:pPr>
        <w:pStyle w:val="ListParagraph"/>
        <w:numPr>
          <w:ilvl w:val="1"/>
          <w:numId w:val="22"/>
        </w:numPr>
      </w:pPr>
      <w:r>
        <w:t xml:space="preserve">Elevating PPAP to be the main approval for SGB to ship. </w:t>
      </w:r>
      <w:r w:rsidR="00A356D2">
        <w:t>This would require</w:t>
      </w:r>
      <w:r>
        <w:t xml:space="preserve"> SGB </w:t>
      </w:r>
      <w:r w:rsidR="00A356D2">
        <w:t>t</w:t>
      </w:r>
      <w:r>
        <w:t>o update their shipping processes, contracts and paperwork. Currently SGB use</w:t>
      </w:r>
      <w:r w:rsidR="008C6C3D">
        <w:t>s</w:t>
      </w:r>
      <w:r>
        <w:t xml:space="preserve"> the completed FAI as authority to ship </w:t>
      </w:r>
      <w:r w:rsidR="00FF4DFE">
        <w:t xml:space="preserve">the </w:t>
      </w:r>
      <w:r>
        <w:t>completed product.</w:t>
      </w:r>
    </w:p>
    <w:p w14:paraId="1FB8C595" w14:textId="383AFE03" w:rsidR="00545038" w:rsidRDefault="00545038"/>
    <w:p w14:paraId="3AF95DC9" w14:textId="752E5954" w:rsidR="00545038" w:rsidRPr="00842D7D" w:rsidRDefault="00545038" w:rsidP="00842D7D">
      <w:pPr>
        <w:pStyle w:val="Heading2"/>
      </w:pPr>
      <w:bookmarkStart w:id="94" w:name="_Toc137807611"/>
      <w:r>
        <w:t>6.4 Aims &amp; Objectives</w:t>
      </w:r>
      <w:r w:rsidR="00B51157">
        <w:t xml:space="preserve"> Results</w:t>
      </w:r>
      <w:bookmarkEnd w:id="94"/>
    </w:p>
    <w:p w14:paraId="355BABD1" w14:textId="011B055D" w:rsidR="00545038" w:rsidRDefault="00545038" w:rsidP="00842D7D">
      <w:pPr>
        <w:pStyle w:val="Heading2"/>
      </w:pPr>
    </w:p>
    <w:p w14:paraId="750D4634" w14:textId="5C07224A" w:rsidR="00402303" w:rsidRDefault="001507FD" w:rsidP="00842D7D">
      <w:pPr>
        <w:jc w:val="both"/>
      </w:pPr>
      <w:r w:rsidRPr="0069389D">
        <w:fldChar w:fldCharType="begin"/>
      </w:r>
      <w:r w:rsidRPr="0069389D">
        <w:instrText xml:space="preserve"> REF _Ref134456838 \h </w:instrText>
      </w:r>
      <w:r w:rsidR="00402303" w:rsidRPr="0069389D">
        <w:instrText xml:space="preserve"> \* MERGEFORMAT </w:instrText>
      </w:r>
      <w:r w:rsidRPr="0069389D">
        <w:fldChar w:fldCharType="separate"/>
      </w:r>
      <w:r w:rsidR="008C301E" w:rsidRPr="008C301E">
        <w:t xml:space="preserve">Table </w:t>
      </w:r>
      <w:r w:rsidR="008C301E" w:rsidRPr="008C301E">
        <w:rPr>
          <w:noProof/>
        </w:rPr>
        <w:t>7</w:t>
      </w:r>
      <w:r w:rsidRPr="0069389D">
        <w:fldChar w:fldCharType="end"/>
      </w:r>
      <w:r>
        <w:t xml:space="preserve"> assesses the work completed as part of this dissertation against the sponsor</w:t>
      </w:r>
      <w:r w:rsidR="0069389D">
        <w:t>’s</w:t>
      </w:r>
      <w:r>
        <w:t xml:space="preserve"> agreed requirements from the original project scope to ensure that they have been met.</w:t>
      </w:r>
    </w:p>
    <w:p w14:paraId="4588632D" w14:textId="6B0D788F" w:rsidR="00402303" w:rsidRDefault="00402303" w:rsidP="00842D7D">
      <w:pPr>
        <w:jc w:val="both"/>
      </w:pPr>
      <w:r>
        <w:t>The results demonstrate that although the roll</w:t>
      </w:r>
      <w:r w:rsidR="0069389D">
        <w:t>-</w:t>
      </w:r>
      <w:r>
        <w:t>out project i</w:t>
      </w:r>
      <w:r w:rsidR="0069389D">
        <w:t>s</w:t>
      </w:r>
      <w:r>
        <w:t xml:space="preserve"> not due to </w:t>
      </w:r>
      <w:r w:rsidR="0069389D">
        <w:t xml:space="preserve">be </w:t>
      </w:r>
      <w:r>
        <w:t>complete</w:t>
      </w:r>
      <w:r w:rsidR="0069389D">
        <w:t>d</w:t>
      </w:r>
      <w:r>
        <w:t xml:space="preserve"> until the business is </w:t>
      </w:r>
      <w:r w:rsidR="009E0A03">
        <w:t>able</w:t>
      </w:r>
      <w:r>
        <w:t xml:space="preserve"> to submit a full PPAP pack in 20-05-25, the APQP framework established by this dissertation will meet the original sponsor</w:t>
      </w:r>
      <w:r w:rsidR="000075F0">
        <w:t>’</w:t>
      </w:r>
      <w:r>
        <w:t>s requirements for PPAP conformity. To enhance the business</w:t>
      </w:r>
      <w:r w:rsidR="00094F47">
        <w:t>’</w:t>
      </w:r>
      <w:r>
        <w:t xml:space="preserve"> ability to produce an APQP project, the additional issues raised in both the conclusions and further work sections of this dissertation should be enacted to remove issues that were not identified within the original project scope.</w:t>
      </w:r>
    </w:p>
    <w:p w14:paraId="31411E68" w14:textId="77777777" w:rsidR="001507FD" w:rsidRPr="001507FD" w:rsidRDefault="001507FD" w:rsidP="00842D7D"/>
    <w:p w14:paraId="141315A0" w14:textId="7E296C4C" w:rsidR="00402303" w:rsidRDefault="00402303">
      <w:r>
        <w:br w:type="page"/>
      </w:r>
    </w:p>
    <w:p w14:paraId="162CAD9A" w14:textId="77777777" w:rsidR="001B386C" w:rsidRDefault="001B386C" w:rsidP="00842D7D"/>
    <w:tbl>
      <w:tblPr>
        <w:tblStyle w:val="TableGrid"/>
        <w:tblW w:w="0" w:type="auto"/>
        <w:tblInd w:w="-147" w:type="dxa"/>
        <w:tblLook w:val="04A0" w:firstRow="1" w:lastRow="0" w:firstColumn="1" w:lastColumn="0" w:noHBand="0" w:noVBand="1"/>
      </w:tblPr>
      <w:tblGrid>
        <w:gridCol w:w="411"/>
        <w:gridCol w:w="1270"/>
        <w:gridCol w:w="522"/>
        <w:gridCol w:w="3866"/>
        <w:gridCol w:w="1122"/>
        <w:gridCol w:w="3412"/>
      </w:tblGrid>
      <w:tr w:rsidR="001B386C" w14:paraId="1992A908" w14:textId="77777777" w:rsidTr="00D0612E">
        <w:tc>
          <w:tcPr>
            <w:tcW w:w="1702" w:type="dxa"/>
            <w:gridSpan w:val="2"/>
            <w:shd w:val="clear" w:color="auto" w:fill="BFBFBF" w:themeFill="background1" w:themeFillShade="BF"/>
          </w:tcPr>
          <w:p w14:paraId="55881C3C" w14:textId="77777777" w:rsidR="001B386C" w:rsidRDefault="001B386C" w:rsidP="00D0612E">
            <w:r>
              <w:t>Aim</w:t>
            </w:r>
          </w:p>
        </w:tc>
        <w:tc>
          <w:tcPr>
            <w:tcW w:w="4818" w:type="dxa"/>
            <w:gridSpan w:val="2"/>
            <w:shd w:val="clear" w:color="auto" w:fill="BFBFBF" w:themeFill="background1" w:themeFillShade="BF"/>
          </w:tcPr>
          <w:p w14:paraId="61B004D5" w14:textId="77777777" w:rsidR="001B386C" w:rsidRDefault="001B386C" w:rsidP="00D0612E">
            <w:r>
              <w:t>Objective</w:t>
            </w:r>
          </w:p>
        </w:tc>
        <w:tc>
          <w:tcPr>
            <w:tcW w:w="1037" w:type="dxa"/>
            <w:shd w:val="clear" w:color="auto" w:fill="BFBFBF" w:themeFill="background1" w:themeFillShade="BF"/>
          </w:tcPr>
          <w:p w14:paraId="38B653D1" w14:textId="77777777" w:rsidR="001B386C" w:rsidRDefault="001B386C" w:rsidP="00D0612E">
            <w:r>
              <w:t>Achieved</w:t>
            </w:r>
          </w:p>
        </w:tc>
        <w:tc>
          <w:tcPr>
            <w:tcW w:w="3784" w:type="dxa"/>
            <w:shd w:val="clear" w:color="auto" w:fill="BFBFBF" w:themeFill="background1" w:themeFillShade="BF"/>
          </w:tcPr>
          <w:p w14:paraId="45BA5D1B" w14:textId="77777777" w:rsidR="001B386C" w:rsidRDefault="001B386C" w:rsidP="00D0612E">
            <w:r>
              <w:t>Evidence</w:t>
            </w:r>
          </w:p>
        </w:tc>
      </w:tr>
      <w:tr w:rsidR="001B386C" w14:paraId="259261FF" w14:textId="77777777" w:rsidTr="00D0612E">
        <w:tc>
          <w:tcPr>
            <w:tcW w:w="426" w:type="dxa"/>
            <w:vMerge w:val="restart"/>
          </w:tcPr>
          <w:p w14:paraId="2A6B51AD" w14:textId="77777777" w:rsidR="001B386C" w:rsidRPr="006A7E52" w:rsidRDefault="001B386C" w:rsidP="00D0612E">
            <w:r>
              <w:t>1</w:t>
            </w:r>
          </w:p>
        </w:tc>
        <w:tc>
          <w:tcPr>
            <w:tcW w:w="1276" w:type="dxa"/>
            <w:vMerge w:val="restart"/>
          </w:tcPr>
          <w:p w14:paraId="72293568" w14:textId="77777777" w:rsidR="001B386C" w:rsidRDefault="001B386C" w:rsidP="00D0612E">
            <w:r w:rsidRPr="006A7E52">
              <w:t>Current state AS9145 readiness</w:t>
            </w:r>
          </w:p>
        </w:tc>
        <w:tc>
          <w:tcPr>
            <w:tcW w:w="495" w:type="dxa"/>
          </w:tcPr>
          <w:p w14:paraId="31F2D5A3" w14:textId="77777777" w:rsidR="001B386C" w:rsidRDefault="001B386C" w:rsidP="00D0612E">
            <w:r>
              <w:t>1.1</w:t>
            </w:r>
          </w:p>
        </w:tc>
        <w:tc>
          <w:tcPr>
            <w:tcW w:w="4323" w:type="dxa"/>
          </w:tcPr>
          <w:p w14:paraId="4BFA959F" w14:textId="77777777" w:rsidR="001B386C" w:rsidRDefault="001B386C" w:rsidP="00D0612E">
            <w:r w:rsidRPr="006A7E52">
              <w:t>Establish the customer required PPAP deliverables</w:t>
            </w:r>
          </w:p>
        </w:tc>
        <w:tc>
          <w:tcPr>
            <w:tcW w:w="1037" w:type="dxa"/>
          </w:tcPr>
          <w:p w14:paraId="674AD292" w14:textId="77777777" w:rsidR="001B386C" w:rsidRDefault="001B386C" w:rsidP="00D0612E">
            <w:pPr>
              <w:ind w:left="340"/>
            </w:pPr>
            <w:r>
              <w:t>Y</w:t>
            </w:r>
          </w:p>
        </w:tc>
        <w:tc>
          <w:tcPr>
            <w:tcW w:w="3784" w:type="dxa"/>
          </w:tcPr>
          <w:p w14:paraId="3C7D14C3" w14:textId="6C54A83A" w:rsidR="001B386C" w:rsidRDefault="008F2DBE" w:rsidP="00D0612E">
            <w:r>
              <w:t>29 PPAP deliverables established between SGB and customer</w:t>
            </w:r>
          </w:p>
        </w:tc>
      </w:tr>
      <w:tr w:rsidR="001B386C" w14:paraId="0482B52A" w14:textId="77777777" w:rsidTr="00D0612E">
        <w:tc>
          <w:tcPr>
            <w:tcW w:w="426" w:type="dxa"/>
            <w:vMerge/>
          </w:tcPr>
          <w:p w14:paraId="7BC62F5A" w14:textId="77777777" w:rsidR="001B386C" w:rsidRDefault="001B386C" w:rsidP="00D0612E"/>
        </w:tc>
        <w:tc>
          <w:tcPr>
            <w:tcW w:w="1276" w:type="dxa"/>
            <w:vMerge/>
          </w:tcPr>
          <w:p w14:paraId="7D1386FA" w14:textId="77777777" w:rsidR="001B386C" w:rsidRDefault="001B386C" w:rsidP="00D0612E"/>
        </w:tc>
        <w:tc>
          <w:tcPr>
            <w:tcW w:w="495" w:type="dxa"/>
          </w:tcPr>
          <w:p w14:paraId="712E2B9D" w14:textId="77777777" w:rsidR="001B386C" w:rsidRDefault="001B386C" w:rsidP="00D0612E">
            <w:r>
              <w:t>1.2</w:t>
            </w:r>
          </w:p>
        </w:tc>
        <w:tc>
          <w:tcPr>
            <w:tcW w:w="4323" w:type="dxa"/>
          </w:tcPr>
          <w:p w14:paraId="134C1D8D" w14:textId="77777777" w:rsidR="001B386C" w:rsidRDefault="001B386C" w:rsidP="00D0612E">
            <w:r w:rsidRPr="006A7E52">
              <w:t>Assess the percentage of PPAP deliverables processes currently embedded in SGB processes</w:t>
            </w:r>
          </w:p>
        </w:tc>
        <w:tc>
          <w:tcPr>
            <w:tcW w:w="1037" w:type="dxa"/>
          </w:tcPr>
          <w:p w14:paraId="6A1652E8" w14:textId="77777777" w:rsidR="001B386C" w:rsidRDefault="001B386C" w:rsidP="00D0612E">
            <w:pPr>
              <w:ind w:left="340"/>
            </w:pPr>
            <w:r>
              <w:t>Y</w:t>
            </w:r>
          </w:p>
        </w:tc>
        <w:tc>
          <w:tcPr>
            <w:tcW w:w="3784" w:type="dxa"/>
          </w:tcPr>
          <w:p w14:paraId="75778052" w14:textId="71F4D2A9" w:rsidR="001B386C" w:rsidRDefault="008F2DBE" w:rsidP="00D0612E">
            <w:r>
              <w:t>72% are already present in SGB</w:t>
            </w:r>
            <w:r w:rsidR="00094F47">
              <w:t>’</w:t>
            </w:r>
            <w:r>
              <w:t>s BMS</w:t>
            </w:r>
          </w:p>
        </w:tc>
      </w:tr>
      <w:tr w:rsidR="001B386C" w14:paraId="3A0F18C6" w14:textId="77777777" w:rsidTr="00D0612E">
        <w:tc>
          <w:tcPr>
            <w:tcW w:w="426" w:type="dxa"/>
            <w:vMerge/>
          </w:tcPr>
          <w:p w14:paraId="256CCAFA" w14:textId="77777777" w:rsidR="001B386C" w:rsidRDefault="001B386C" w:rsidP="00D0612E"/>
        </w:tc>
        <w:tc>
          <w:tcPr>
            <w:tcW w:w="1276" w:type="dxa"/>
            <w:vMerge/>
          </w:tcPr>
          <w:p w14:paraId="59B38D92" w14:textId="77777777" w:rsidR="001B386C" w:rsidRDefault="001B386C" w:rsidP="00D0612E"/>
        </w:tc>
        <w:tc>
          <w:tcPr>
            <w:tcW w:w="495" w:type="dxa"/>
          </w:tcPr>
          <w:p w14:paraId="584AEF15" w14:textId="77777777" w:rsidR="001B386C" w:rsidRDefault="001B386C" w:rsidP="00D0612E">
            <w:r>
              <w:t>1.3</w:t>
            </w:r>
          </w:p>
        </w:tc>
        <w:tc>
          <w:tcPr>
            <w:tcW w:w="4323" w:type="dxa"/>
          </w:tcPr>
          <w:p w14:paraId="4DC2D8B0" w14:textId="77777777" w:rsidR="001B386C" w:rsidRDefault="001B386C" w:rsidP="00D0612E">
            <w:r w:rsidRPr="006A7E52">
              <w:t>Determine the percentage of PPAP deliverables currently requested within the Master Program Schedule template</w:t>
            </w:r>
          </w:p>
        </w:tc>
        <w:tc>
          <w:tcPr>
            <w:tcW w:w="1037" w:type="dxa"/>
          </w:tcPr>
          <w:p w14:paraId="46FFAC88" w14:textId="77777777" w:rsidR="001B386C" w:rsidRDefault="001B386C" w:rsidP="00D0612E">
            <w:pPr>
              <w:ind w:left="340"/>
            </w:pPr>
            <w:r>
              <w:t>Y</w:t>
            </w:r>
          </w:p>
        </w:tc>
        <w:tc>
          <w:tcPr>
            <w:tcW w:w="3784" w:type="dxa"/>
          </w:tcPr>
          <w:p w14:paraId="598ABA04" w14:textId="681DD409" w:rsidR="001B386C" w:rsidRDefault="008F2DBE">
            <w:r>
              <w:t>75% are already present in SGBs Master Program Plan (PROMPT)</w:t>
            </w:r>
          </w:p>
        </w:tc>
      </w:tr>
      <w:tr w:rsidR="001B386C" w14:paraId="1C6CF308" w14:textId="77777777" w:rsidTr="00D0612E">
        <w:tc>
          <w:tcPr>
            <w:tcW w:w="426" w:type="dxa"/>
            <w:vMerge/>
          </w:tcPr>
          <w:p w14:paraId="70363E4A" w14:textId="77777777" w:rsidR="001B386C" w:rsidRDefault="001B386C" w:rsidP="00D0612E"/>
        </w:tc>
        <w:tc>
          <w:tcPr>
            <w:tcW w:w="1276" w:type="dxa"/>
            <w:vMerge/>
          </w:tcPr>
          <w:p w14:paraId="6C009F55" w14:textId="77777777" w:rsidR="001B386C" w:rsidRDefault="001B386C" w:rsidP="00D0612E"/>
        </w:tc>
        <w:tc>
          <w:tcPr>
            <w:tcW w:w="495" w:type="dxa"/>
          </w:tcPr>
          <w:p w14:paraId="6EED62DB" w14:textId="77777777" w:rsidR="001B386C" w:rsidRDefault="001B386C" w:rsidP="00D0612E">
            <w:r>
              <w:t>1.4</w:t>
            </w:r>
          </w:p>
        </w:tc>
        <w:tc>
          <w:tcPr>
            <w:tcW w:w="4323" w:type="dxa"/>
          </w:tcPr>
          <w:p w14:paraId="23F669D1" w14:textId="77777777" w:rsidR="001B386C" w:rsidRDefault="001B386C" w:rsidP="00D0612E">
            <w:r w:rsidRPr="006A7E52">
              <w:t>Compile an audit checklist for AS9145</w:t>
            </w:r>
          </w:p>
        </w:tc>
        <w:tc>
          <w:tcPr>
            <w:tcW w:w="1037" w:type="dxa"/>
          </w:tcPr>
          <w:p w14:paraId="3F462CF3" w14:textId="77777777" w:rsidR="001B386C" w:rsidRDefault="001B386C" w:rsidP="00D0612E">
            <w:pPr>
              <w:ind w:left="340"/>
            </w:pPr>
            <w:r>
              <w:t>Y</w:t>
            </w:r>
          </w:p>
        </w:tc>
        <w:tc>
          <w:tcPr>
            <w:tcW w:w="3784" w:type="dxa"/>
          </w:tcPr>
          <w:p w14:paraId="02373EB2" w14:textId="43031D58" w:rsidR="001B386C" w:rsidRPr="000075F0" w:rsidRDefault="008F2DBE" w:rsidP="00D0612E">
            <w:r w:rsidRPr="000075F0">
              <w:t xml:space="preserve">AS9145 audit checklist produced, listed as </w:t>
            </w:r>
            <w:r w:rsidRPr="000075F0">
              <w:fldChar w:fldCharType="begin"/>
            </w:r>
            <w:r w:rsidRPr="000075F0">
              <w:instrText xml:space="preserve"> REF _Ref134452822 \h </w:instrText>
            </w:r>
            <w:r w:rsidR="000075F0" w:rsidRPr="00CD37AA">
              <w:instrText xml:space="preserve"> \* MERGEFORMAT </w:instrText>
            </w:r>
            <w:r w:rsidRPr="000075F0">
              <w:fldChar w:fldCharType="separate"/>
            </w:r>
            <w:r w:rsidR="008C301E" w:rsidRPr="008C301E">
              <w:t xml:space="preserve">Appendix </w:t>
            </w:r>
            <w:r w:rsidR="008C301E" w:rsidRPr="008C301E">
              <w:rPr>
                <w:noProof/>
              </w:rPr>
              <w:t>8</w:t>
            </w:r>
            <w:r w:rsidRPr="000075F0">
              <w:fldChar w:fldCharType="end"/>
            </w:r>
            <w:r w:rsidRPr="000075F0">
              <w:t xml:space="preserve"> and </w:t>
            </w:r>
            <w:r w:rsidRPr="000075F0">
              <w:fldChar w:fldCharType="begin"/>
            </w:r>
            <w:r w:rsidRPr="000075F0">
              <w:instrText xml:space="preserve"> REF _Ref134452826 \h </w:instrText>
            </w:r>
            <w:r w:rsidR="000075F0" w:rsidRPr="00CD37AA">
              <w:instrText xml:space="preserve"> \* MERGEFORMAT </w:instrText>
            </w:r>
            <w:r w:rsidRPr="000075F0">
              <w:fldChar w:fldCharType="separate"/>
            </w:r>
            <w:r w:rsidR="008C301E" w:rsidRPr="008C301E">
              <w:t xml:space="preserve">Appendix </w:t>
            </w:r>
            <w:r w:rsidR="008C301E" w:rsidRPr="008C301E">
              <w:rPr>
                <w:noProof/>
              </w:rPr>
              <w:t>9</w:t>
            </w:r>
            <w:r w:rsidRPr="000075F0">
              <w:fldChar w:fldCharType="end"/>
            </w:r>
          </w:p>
        </w:tc>
      </w:tr>
      <w:tr w:rsidR="001B386C" w14:paraId="610E9569" w14:textId="77777777" w:rsidTr="00D0612E">
        <w:tc>
          <w:tcPr>
            <w:tcW w:w="426" w:type="dxa"/>
            <w:vMerge/>
          </w:tcPr>
          <w:p w14:paraId="1AB42E83" w14:textId="77777777" w:rsidR="001B386C" w:rsidRDefault="001B386C" w:rsidP="00D0612E"/>
        </w:tc>
        <w:tc>
          <w:tcPr>
            <w:tcW w:w="1276" w:type="dxa"/>
            <w:vMerge/>
          </w:tcPr>
          <w:p w14:paraId="0D690F57" w14:textId="77777777" w:rsidR="001B386C" w:rsidRDefault="001B386C" w:rsidP="00D0612E"/>
        </w:tc>
        <w:tc>
          <w:tcPr>
            <w:tcW w:w="495" w:type="dxa"/>
          </w:tcPr>
          <w:p w14:paraId="127E357B" w14:textId="77777777" w:rsidR="001B386C" w:rsidRDefault="001B386C" w:rsidP="00D0612E">
            <w:r>
              <w:t>1.5</w:t>
            </w:r>
          </w:p>
        </w:tc>
        <w:tc>
          <w:tcPr>
            <w:tcW w:w="4323" w:type="dxa"/>
          </w:tcPr>
          <w:p w14:paraId="0ED65DFE" w14:textId="77777777" w:rsidR="001B386C" w:rsidRPr="006A7E52" w:rsidRDefault="001B386C" w:rsidP="00D0612E">
            <w:r w:rsidRPr="006A7E52">
              <w:t>Audit SGB Program Quality process (QUA05) against the AS9145 checklist</w:t>
            </w:r>
          </w:p>
        </w:tc>
        <w:tc>
          <w:tcPr>
            <w:tcW w:w="1037" w:type="dxa"/>
          </w:tcPr>
          <w:p w14:paraId="50E0967D" w14:textId="77777777" w:rsidR="001B386C" w:rsidRDefault="001B386C" w:rsidP="00D0612E">
            <w:pPr>
              <w:ind w:left="340"/>
            </w:pPr>
            <w:r>
              <w:t>Y</w:t>
            </w:r>
          </w:p>
        </w:tc>
        <w:tc>
          <w:tcPr>
            <w:tcW w:w="3784" w:type="dxa"/>
          </w:tcPr>
          <w:p w14:paraId="52FA229C" w14:textId="396635AD" w:rsidR="001B386C" w:rsidRPr="000075F0" w:rsidRDefault="008F2DBE">
            <w:r w:rsidRPr="000075F0">
              <w:t xml:space="preserve">AS9145 audit checklist carried out, results listed in </w:t>
            </w:r>
            <w:r w:rsidRPr="000075F0">
              <w:fldChar w:fldCharType="begin"/>
            </w:r>
            <w:r w:rsidRPr="000075F0">
              <w:instrText xml:space="preserve"> REF _Ref134452822 \h </w:instrText>
            </w:r>
            <w:r w:rsidR="000075F0" w:rsidRPr="00CD37AA">
              <w:instrText xml:space="preserve"> \* MERGEFORMAT </w:instrText>
            </w:r>
            <w:r w:rsidRPr="000075F0">
              <w:fldChar w:fldCharType="separate"/>
            </w:r>
            <w:r w:rsidR="008C301E" w:rsidRPr="008C301E">
              <w:t xml:space="preserve">Appendix </w:t>
            </w:r>
            <w:r w:rsidR="008C301E" w:rsidRPr="008C301E">
              <w:rPr>
                <w:noProof/>
              </w:rPr>
              <w:t>8</w:t>
            </w:r>
            <w:r w:rsidRPr="000075F0">
              <w:fldChar w:fldCharType="end"/>
            </w:r>
            <w:r w:rsidRPr="000075F0">
              <w:t xml:space="preserve"> and </w:t>
            </w:r>
            <w:r w:rsidRPr="000075F0">
              <w:fldChar w:fldCharType="begin"/>
            </w:r>
            <w:r w:rsidRPr="000075F0">
              <w:instrText xml:space="preserve"> REF _Ref134452826 \h </w:instrText>
            </w:r>
            <w:r w:rsidR="000075F0" w:rsidRPr="00CD37AA">
              <w:instrText xml:space="preserve"> \* MERGEFORMAT </w:instrText>
            </w:r>
            <w:r w:rsidRPr="000075F0">
              <w:fldChar w:fldCharType="separate"/>
            </w:r>
            <w:r w:rsidR="008C301E" w:rsidRPr="008C301E">
              <w:t xml:space="preserve">Appendix </w:t>
            </w:r>
            <w:r w:rsidR="008C301E" w:rsidRPr="008C301E">
              <w:rPr>
                <w:noProof/>
              </w:rPr>
              <w:t>9</w:t>
            </w:r>
            <w:r w:rsidRPr="000075F0">
              <w:fldChar w:fldCharType="end"/>
            </w:r>
          </w:p>
        </w:tc>
      </w:tr>
      <w:tr w:rsidR="001B386C" w14:paraId="1132E43B" w14:textId="77777777" w:rsidTr="00D0612E">
        <w:tc>
          <w:tcPr>
            <w:tcW w:w="426" w:type="dxa"/>
            <w:vMerge/>
          </w:tcPr>
          <w:p w14:paraId="0786B5B7" w14:textId="77777777" w:rsidR="001B386C" w:rsidRDefault="001B386C" w:rsidP="00D0612E"/>
        </w:tc>
        <w:tc>
          <w:tcPr>
            <w:tcW w:w="1276" w:type="dxa"/>
            <w:vMerge/>
          </w:tcPr>
          <w:p w14:paraId="55F5D56B" w14:textId="77777777" w:rsidR="001B386C" w:rsidRDefault="001B386C" w:rsidP="00D0612E"/>
        </w:tc>
        <w:tc>
          <w:tcPr>
            <w:tcW w:w="495" w:type="dxa"/>
          </w:tcPr>
          <w:p w14:paraId="53093C97" w14:textId="77777777" w:rsidR="001B386C" w:rsidRDefault="001B386C" w:rsidP="00D0612E">
            <w:r>
              <w:t>1.6</w:t>
            </w:r>
          </w:p>
        </w:tc>
        <w:tc>
          <w:tcPr>
            <w:tcW w:w="4323" w:type="dxa"/>
          </w:tcPr>
          <w:p w14:paraId="24665B14" w14:textId="77777777" w:rsidR="001B386C" w:rsidRPr="006A7E52" w:rsidRDefault="001B386C" w:rsidP="00D0612E">
            <w:r w:rsidRPr="006A7E52">
              <w:t>Provide current state readiness based on SGB non-AS9145 accredited processes</w:t>
            </w:r>
          </w:p>
        </w:tc>
        <w:tc>
          <w:tcPr>
            <w:tcW w:w="1037" w:type="dxa"/>
          </w:tcPr>
          <w:p w14:paraId="05C0C92A" w14:textId="77777777" w:rsidR="001B386C" w:rsidRDefault="001B386C" w:rsidP="00D0612E">
            <w:pPr>
              <w:ind w:left="340"/>
            </w:pPr>
            <w:r>
              <w:t>Y</w:t>
            </w:r>
          </w:p>
        </w:tc>
        <w:tc>
          <w:tcPr>
            <w:tcW w:w="3784" w:type="dxa"/>
          </w:tcPr>
          <w:p w14:paraId="4FF1FAE4" w14:textId="469ABBFB" w:rsidR="001B386C" w:rsidRDefault="00AA14C5" w:rsidP="00D0612E">
            <w:r>
              <w:t>Current state against the dissertation proposal is 26% including the actions carried out as part of the dissertation</w:t>
            </w:r>
          </w:p>
        </w:tc>
      </w:tr>
      <w:tr w:rsidR="001B386C" w14:paraId="3DEFE885" w14:textId="77777777" w:rsidTr="00D0612E">
        <w:tc>
          <w:tcPr>
            <w:tcW w:w="426" w:type="dxa"/>
            <w:vMerge w:val="restart"/>
          </w:tcPr>
          <w:p w14:paraId="686A7862" w14:textId="77777777" w:rsidR="001B386C" w:rsidRDefault="001B386C" w:rsidP="00D0612E">
            <w:r>
              <w:t>2</w:t>
            </w:r>
          </w:p>
        </w:tc>
        <w:tc>
          <w:tcPr>
            <w:tcW w:w="1276" w:type="dxa"/>
            <w:vMerge w:val="restart"/>
          </w:tcPr>
          <w:p w14:paraId="57993658" w14:textId="77777777" w:rsidR="001B386C" w:rsidRDefault="001B386C" w:rsidP="00D0612E">
            <w:r w:rsidRPr="006A7E52">
              <w:t>AS9145 framework</w:t>
            </w:r>
          </w:p>
        </w:tc>
        <w:tc>
          <w:tcPr>
            <w:tcW w:w="495" w:type="dxa"/>
          </w:tcPr>
          <w:p w14:paraId="2BC6B9A4" w14:textId="77777777" w:rsidR="001B386C" w:rsidRDefault="001B386C" w:rsidP="00D0612E">
            <w:r>
              <w:t>2.1</w:t>
            </w:r>
          </w:p>
        </w:tc>
        <w:tc>
          <w:tcPr>
            <w:tcW w:w="4323" w:type="dxa"/>
          </w:tcPr>
          <w:p w14:paraId="01CCA318" w14:textId="77777777" w:rsidR="001B386C" w:rsidRPr="006A7E52" w:rsidRDefault="001B386C" w:rsidP="00D0612E">
            <w:r w:rsidRPr="006A7E52">
              <w:t>Carry out Literature Review of APQP methodologies</w:t>
            </w:r>
          </w:p>
        </w:tc>
        <w:tc>
          <w:tcPr>
            <w:tcW w:w="1037" w:type="dxa"/>
          </w:tcPr>
          <w:p w14:paraId="22999362" w14:textId="77777777" w:rsidR="001B386C" w:rsidRDefault="001B386C" w:rsidP="00D0612E">
            <w:pPr>
              <w:ind w:left="340"/>
            </w:pPr>
            <w:r>
              <w:t>Y</w:t>
            </w:r>
          </w:p>
        </w:tc>
        <w:tc>
          <w:tcPr>
            <w:tcW w:w="3784" w:type="dxa"/>
          </w:tcPr>
          <w:p w14:paraId="78B7CAE7" w14:textId="5A2CD1D0" w:rsidR="001B386C" w:rsidRDefault="00AA14C5" w:rsidP="00D0612E">
            <w:r>
              <w:t>Literature Review completed, identifying supporting documentation for the APQP methodology used for the framework</w:t>
            </w:r>
          </w:p>
        </w:tc>
      </w:tr>
      <w:tr w:rsidR="001B386C" w14:paraId="28DFFA2C" w14:textId="77777777" w:rsidTr="00D0612E">
        <w:tc>
          <w:tcPr>
            <w:tcW w:w="426" w:type="dxa"/>
            <w:vMerge/>
          </w:tcPr>
          <w:p w14:paraId="37B7FFAC" w14:textId="77777777" w:rsidR="001B386C" w:rsidRDefault="001B386C" w:rsidP="00D0612E"/>
        </w:tc>
        <w:tc>
          <w:tcPr>
            <w:tcW w:w="1276" w:type="dxa"/>
            <w:vMerge/>
          </w:tcPr>
          <w:p w14:paraId="28D83CA8" w14:textId="77777777" w:rsidR="001B386C" w:rsidRDefault="001B386C" w:rsidP="00D0612E"/>
        </w:tc>
        <w:tc>
          <w:tcPr>
            <w:tcW w:w="495" w:type="dxa"/>
          </w:tcPr>
          <w:p w14:paraId="0A9BC456" w14:textId="77777777" w:rsidR="001B386C" w:rsidRDefault="001B386C" w:rsidP="00D0612E">
            <w:r>
              <w:t>2.2</w:t>
            </w:r>
          </w:p>
        </w:tc>
        <w:tc>
          <w:tcPr>
            <w:tcW w:w="4323" w:type="dxa"/>
          </w:tcPr>
          <w:p w14:paraId="14C7DFC7" w14:textId="77777777" w:rsidR="001B386C" w:rsidRPr="006A7E52" w:rsidRDefault="001B386C" w:rsidP="00D0612E">
            <w:r w:rsidRPr="009E1F69">
              <w:t>Develop a method to ensure the integrity of the deliverables against APQP industry standard requirements</w:t>
            </w:r>
          </w:p>
        </w:tc>
        <w:tc>
          <w:tcPr>
            <w:tcW w:w="1037" w:type="dxa"/>
          </w:tcPr>
          <w:p w14:paraId="52E0822D" w14:textId="77777777" w:rsidR="001B386C" w:rsidRDefault="001B386C" w:rsidP="00D0612E">
            <w:pPr>
              <w:ind w:left="340"/>
            </w:pPr>
            <w:r>
              <w:t>Y</w:t>
            </w:r>
          </w:p>
        </w:tc>
        <w:tc>
          <w:tcPr>
            <w:tcW w:w="3784" w:type="dxa"/>
          </w:tcPr>
          <w:p w14:paraId="09EECA9F" w14:textId="0477136D" w:rsidR="001B386C" w:rsidRDefault="00AA14C5" w:rsidP="00D0612E">
            <w:r>
              <w:t xml:space="preserve">Aligning the APQP deliverables to the SMCH checklists and IAQG APQP manual </w:t>
            </w:r>
            <w:r w:rsidR="00D0612E">
              <w:t>meets this requirement</w:t>
            </w:r>
          </w:p>
        </w:tc>
      </w:tr>
      <w:tr w:rsidR="001B386C" w14:paraId="749ECB07" w14:textId="77777777" w:rsidTr="00D0612E">
        <w:tc>
          <w:tcPr>
            <w:tcW w:w="426" w:type="dxa"/>
            <w:vMerge/>
          </w:tcPr>
          <w:p w14:paraId="338D3D9B" w14:textId="77777777" w:rsidR="001B386C" w:rsidRDefault="001B386C" w:rsidP="00D0612E"/>
        </w:tc>
        <w:tc>
          <w:tcPr>
            <w:tcW w:w="1276" w:type="dxa"/>
            <w:vMerge/>
          </w:tcPr>
          <w:p w14:paraId="4C81320F" w14:textId="77777777" w:rsidR="001B386C" w:rsidRDefault="001B386C" w:rsidP="00D0612E"/>
        </w:tc>
        <w:tc>
          <w:tcPr>
            <w:tcW w:w="495" w:type="dxa"/>
          </w:tcPr>
          <w:p w14:paraId="136A3F9F" w14:textId="77777777" w:rsidR="001B386C" w:rsidRDefault="001B386C" w:rsidP="00D0612E">
            <w:r>
              <w:t>2.3</w:t>
            </w:r>
          </w:p>
        </w:tc>
        <w:tc>
          <w:tcPr>
            <w:tcW w:w="4323" w:type="dxa"/>
          </w:tcPr>
          <w:p w14:paraId="6E1765E4" w14:textId="77777777" w:rsidR="001B386C" w:rsidRPr="006A7E52" w:rsidRDefault="001B386C" w:rsidP="00D0612E">
            <w:r w:rsidRPr="009E1F69">
              <w:t>Design a method to track each deliverable’s compliance to industry standard requirements on an active project</w:t>
            </w:r>
          </w:p>
        </w:tc>
        <w:tc>
          <w:tcPr>
            <w:tcW w:w="1037" w:type="dxa"/>
          </w:tcPr>
          <w:p w14:paraId="12ACBF56" w14:textId="77777777" w:rsidR="001B386C" w:rsidRDefault="001B386C" w:rsidP="00D0612E">
            <w:pPr>
              <w:ind w:left="340"/>
            </w:pPr>
            <w:r>
              <w:t>Y</w:t>
            </w:r>
          </w:p>
        </w:tc>
        <w:tc>
          <w:tcPr>
            <w:tcW w:w="3784" w:type="dxa"/>
          </w:tcPr>
          <w:p w14:paraId="0835021D" w14:textId="6F3994E3" w:rsidR="001B386C" w:rsidRDefault="00D0612E" w:rsidP="00D0612E">
            <w:r>
              <w:t>New APQP Audit Check Sheets monitor and provide automatic reporting metrics for PPAP status monitoring</w:t>
            </w:r>
          </w:p>
        </w:tc>
      </w:tr>
      <w:tr w:rsidR="001B386C" w14:paraId="54179D26" w14:textId="77777777" w:rsidTr="00D0612E">
        <w:tc>
          <w:tcPr>
            <w:tcW w:w="426" w:type="dxa"/>
            <w:vMerge/>
          </w:tcPr>
          <w:p w14:paraId="0ADFCA1A" w14:textId="77777777" w:rsidR="001B386C" w:rsidRDefault="001B386C" w:rsidP="00D0612E"/>
        </w:tc>
        <w:tc>
          <w:tcPr>
            <w:tcW w:w="1276" w:type="dxa"/>
            <w:vMerge/>
          </w:tcPr>
          <w:p w14:paraId="4658F2FB" w14:textId="77777777" w:rsidR="001B386C" w:rsidRDefault="001B386C" w:rsidP="00D0612E"/>
        </w:tc>
        <w:tc>
          <w:tcPr>
            <w:tcW w:w="495" w:type="dxa"/>
          </w:tcPr>
          <w:p w14:paraId="5D6E4F1D" w14:textId="77777777" w:rsidR="001B386C" w:rsidRDefault="001B386C" w:rsidP="00D0612E">
            <w:r>
              <w:t>2.4</w:t>
            </w:r>
          </w:p>
        </w:tc>
        <w:tc>
          <w:tcPr>
            <w:tcW w:w="4323" w:type="dxa"/>
          </w:tcPr>
          <w:p w14:paraId="6BDDF3C2" w14:textId="77777777" w:rsidR="001B386C" w:rsidRPr="006A7E52" w:rsidRDefault="001B386C" w:rsidP="00D0612E">
            <w:r w:rsidRPr="009E1F69">
              <w:t>Determine the roles and responsibilities for PPAP deliverables</w:t>
            </w:r>
          </w:p>
        </w:tc>
        <w:tc>
          <w:tcPr>
            <w:tcW w:w="1037" w:type="dxa"/>
          </w:tcPr>
          <w:p w14:paraId="3CDD4CB8" w14:textId="77777777" w:rsidR="001B386C" w:rsidRDefault="001B386C" w:rsidP="00D0612E">
            <w:pPr>
              <w:ind w:left="340"/>
            </w:pPr>
            <w:r>
              <w:t>Y</w:t>
            </w:r>
          </w:p>
        </w:tc>
        <w:tc>
          <w:tcPr>
            <w:tcW w:w="3784" w:type="dxa"/>
          </w:tcPr>
          <w:p w14:paraId="10D4F069" w14:textId="09F97A46" w:rsidR="001B386C" w:rsidRDefault="00D0612E" w:rsidP="00D0612E">
            <w:r>
              <w:t>Evidenced within the SIPOC and RACI in this dissertation</w:t>
            </w:r>
          </w:p>
        </w:tc>
      </w:tr>
      <w:tr w:rsidR="001B386C" w14:paraId="239D0BFD" w14:textId="77777777" w:rsidTr="00D0612E">
        <w:tc>
          <w:tcPr>
            <w:tcW w:w="426" w:type="dxa"/>
            <w:vMerge/>
          </w:tcPr>
          <w:p w14:paraId="28F48CB4" w14:textId="77777777" w:rsidR="001B386C" w:rsidRDefault="001B386C" w:rsidP="00D0612E"/>
        </w:tc>
        <w:tc>
          <w:tcPr>
            <w:tcW w:w="1276" w:type="dxa"/>
            <w:vMerge/>
          </w:tcPr>
          <w:p w14:paraId="48C69D52" w14:textId="77777777" w:rsidR="001B386C" w:rsidRDefault="001B386C" w:rsidP="00D0612E"/>
        </w:tc>
        <w:tc>
          <w:tcPr>
            <w:tcW w:w="495" w:type="dxa"/>
          </w:tcPr>
          <w:p w14:paraId="068E3B05" w14:textId="77777777" w:rsidR="001B386C" w:rsidRDefault="001B386C" w:rsidP="00D0612E">
            <w:r>
              <w:t>2.5</w:t>
            </w:r>
          </w:p>
        </w:tc>
        <w:tc>
          <w:tcPr>
            <w:tcW w:w="4323" w:type="dxa"/>
          </w:tcPr>
          <w:p w14:paraId="197AD555" w14:textId="77777777" w:rsidR="001B386C" w:rsidRPr="006A7E52" w:rsidRDefault="001B386C" w:rsidP="00D0612E">
            <w:r w:rsidRPr="009E1F69">
              <w:t>Establish a business supported timeline for APQP framework implementation</w:t>
            </w:r>
          </w:p>
        </w:tc>
        <w:tc>
          <w:tcPr>
            <w:tcW w:w="1037" w:type="dxa"/>
          </w:tcPr>
          <w:p w14:paraId="1856DF4B" w14:textId="77777777" w:rsidR="001B386C" w:rsidRDefault="001B386C" w:rsidP="00D0612E">
            <w:pPr>
              <w:ind w:left="340"/>
            </w:pPr>
            <w:r>
              <w:t>Y</w:t>
            </w:r>
          </w:p>
        </w:tc>
        <w:tc>
          <w:tcPr>
            <w:tcW w:w="3784" w:type="dxa"/>
          </w:tcPr>
          <w:p w14:paraId="57C109AD" w14:textId="0F3392C5" w:rsidR="001B386C" w:rsidRDefault="00D0612E" w:rsidP="00842D7D">
            <w:pPr>
              <w:keepNext/>
            </w:pPr>
            <w:r>
              <w:t xml:space="preserve">Project roll out plan to update PPAP processes and deliverables created as </w:t>
            </w:r>
            <w:r w:rsidRPr="0028450A">
              <w:fldChar w:fldCharType="begin"/>
            </w:r>
            <w:r w:rsidRPr="0028450A">
              <w:instrText xml:space="preserve"> REF _Ref134454753 \h </w:instrText>
            </w:r>
            <w:r w:rsidR="0028450A" w:rsidRPr="00CD37AA">
              <w:instrText xml:space="preserve"> \* MERGEFORMAT </w:instrText>
            </w:r>
            <w:r w:rsidRPr="0028450A">
              <w:fldChar w:fldCharType="separate"/>
            </w:r>
            <w:r w:rsidR="008C301E" w:rsidRPr="008C301E">
              <w:t xml:space="preserve">Appendix </w:t>
            </w:r>
            <w:r w:rsidR="008C301E" w:rsidRPr="008C301E">
              <w:rPr>
                <w:noProof/>
              </w:rPr>
              <w:t>7</w:t>
            </w:r>
            <w:r w:rsidRPr="0028450A">
              <w:fldChar w:fldCharType="end"/>
            </w:r>
          </w:p>
        </w:tc>
      </w:tr>
    </w:tbl>
    <w:p w14:paraId="35690CDD" w14:textId="62AFE0B1" w:rsidR="001B386C" w:rsidRPr="00842D7D" w:rsidRDefault="00092C55" w:rsidP="00842D7D">
      <w:pPr>
        <w:pStyle w:val="Caption"/>
      </w:pPr>
      <w:bookmarkStart w:id="95" w:name="_Ref134456838"/>
      <w:bookmarkStart w:id="96" w:name="_Ref134456795"/>
      <w:r w:rsidRPr="00842D7D">
        <w:rPr>
          <w:b/>
        </w:rPr>
        <w:t xml:space="preserve">Table </w:t>
      </w:r>
      <w:r w:rsidR="003A6EC0">
        <w:rPr>
          <w:b/>
        </w:rPr>
        <w:fldChar w:fldCharType="begin"/>
      </w:r>
      <w:r w:rsidR="003A6EC0">
        <w:rPr>
          <w:b/>
        </w:rPr>
        <w:instrText xml:space="preserve"> SEQ Table \* ARABIC </w:instrText>
      </w:r>
      <w:r w:rsidR="003A6EC0">
        <w:rPr>
          <w:b/>
        </w:rPr>
        <w:fldChar w:fldCharType="separate"/>
      </w:r>
      <w:r w:rsidR="008C301E">
        <w:rPr>
          <w:b/>
          <w:noProof/>
        </w:rPr>
        <w:t>7</w:t>
      </w:r>
      <w:r w:rsidR="003A6EC0">
        <w:rPr>
          <w:b/>
        </w:rPr>
        <w:fldChar w:fldCharType="end"/>
      </w:r>
      <w:bookmarkEnd w:id="95"/>
      <w:r w:rsidRPr="00842D7D">
        <w:rPr>
          <w:b/>
        </w:rPr>
        <w:t>: Aims &amp; Objectives results</w:t>
      </w:r>
      <w:r>
        <w:t xml:space="preserve"> based on project scope</w:t>
      </w:r>
      <w:bookmarkEnd w:id="96"/>
    </w:p>
    <w:p w14:paraId="26211A6C" w14:textId="68C3A9F3" w:rsidR="00AD209D" w:rsidRDefault="00AD209D" w:rsidP="00842D7D">
      <w:pPr>
        <w:pStyle w:val="Heading2"/>
      </w:pPr>
      <w:r>
        <w:br w:type="page"/>
      </w:r>
    </w:p>
    <w:p w14:paraId="5EFF6891" w14:textId="511CE37A" w:rsidR="00AD209D" w:rsidRDefault="00AD209D" w:rsidP="007A5DF3">
      <w:pPr>
        <w:pStyle w:val="Heading1"/>
        <w:numPr>
          <w:ilvl w:val="0"/>
          <w:numId w:val="6"/>
        </w:numPr>
      </w:pPr>
      <w:bookmarkStart w:id="97" w:name="_Toc137807612"/>
      <w:r>
        <w:lastRenderedPageBreak/>
        <w:t>Discussion and conclusions</w:t>
      </w:r>
      <w:bookmarkEnd w:id="97"/>
    </w:p>
    <w:p w14:paraId="69E9F3D7" w14:textId="77777777" w:rsidR="0041647B" w:rsidRDefault="0041647B" w:rsidP="00842D7D"/>
    <w:p w14:paraId="7D0D4D5A" w14:textId="6657C5E4" w:rsidR="00FE69FA" w:rsidRDefault="00FE69FA" w:rsidP="00842D7D">
      <w:r>
        <w:t>The findings of this dissertation can divided into three separate topics of discussion. These are:</w:t>
      </w:r>
    </w:p>
    <w:p w14:paraId="504F9AEA" w14:textId="79DDF4EC" w:rsidR="00EE0448" w:rsidRDefault="00EE0448" w:rsidP="007A5DF3">
      <w:pPr>
        <w:pStyle w:val="ListParagraph"/>
        <w:numPr>
          <w:ilvl w:val="0"/>
          <w:numId w:val="25"/>
        </w:numPr>
      </w:pPr>
      <w:r>
        <w:t>AS9145 Standard and how it has no accommodation for smaller production quantities</w:t>
      </w:r>
    </w:p>
    <w:p w14:paraId="5309F486" w14:textId="3685D611" w:rsidR="00EE0448" w:rsidRDefault="00EE0448" w:rsidP="007A5DF3">
      <w:pPr>
        <w:pStyle w:val="ListParagraph"/>
        <w:numPr>
          <w:ilvl w:val="0"/>
          <w:numId w:val="25"/>
        </w:numPr>
      </w:pPr>
      <w:r>
        <w:t>SGB and how their processes do not accommodate AS9145 requirements</w:t>
      </w:r>
    </w:p>
    <w:p w14:paraId="47720A9D" w14:textId="7D94E411" w:rsidR="00EE0448" w:rsidRPr="00FE69FA" w:rsidRDefault="00EE0448" w:rsidP="007A5DF3">
      <w:pPr>
        <w:pStyle w:val="ListParagraph"/>
        <w:numPr>
          <w:ilvl w:val="0"/>
          <w:numId w:val="25"/>
        </w:numPr>
      </w:pPr>
      <w:r>
        <w:t>Project management and its effect on the final outcome of the project</w:t>
      </w:r>
    </w:p>
    <w:p w14:paraId="075B5985" w14:textId="77777777" w:rsidR="00AD209D" w:rsidRDefault="00AD209D" w:rsidP="00AD209D"/>
    <w:p w14:paraId="56860ACC" w14:textId="77777777" w:rsidR="00E15DBA" w:rsidRDefault="00E15DBA" w:rsidP="007A5DF3">
      <w:pPr>
        <w:pStyle w:val="Heading2"/>
        <w:numPr>
          <w:ilvl w:val="1"/>
          <w:numId w:val="6"/>
        </w:numPr>
      </w:pPr>
      <w:bookmarkStart w:id="98" w:name="_Toc137807613"/>
      <w:r>
        <w:t>AS9145 Standard</w:t>
      </w:r>
      <w:bookmarkEnd w:id="98"/>
    </w:p>
    <w:p w14:paraId="6F5918E3" w14:textId="28694A0A" w:rsidR="00E15DBA" w:rsidRDefault="00E15DBA" w:rsidP="00E15DBA">
      <w:pPr>
        <w:pStyle w:val="Heading2"/>
        <w:ind w:left="709"/>
      </w:pPr>
    </w:p>
    <w:p w14:paraId="6A4A3314" w14:textId="7ADFE9C9" w:rsidR="00EC35BC" w:rsidRDefault="00EC35BC" w:rsidP="00842D7D">
      <w:pPr>
        <w:pStyle w:val="Heading3"/>
      </w:pPr>
      <w:bookmarkStart w:id="99" w:name="_Toc137807614"/>
      <w:r>
        <w:t>7.1.1 Small Production Quantities</w:t>
      </w:r>
      <w:bookmarkEnd w:id="99"/>
    </w:p>
    <w:p w14:paraId="7271248C" w14:textId="77777777" w:rsidR="00EC35BC" w:rsidRPr="00EC35BC" w:rsidRDefault="00EC35BC" w:rsidP="00842D7D"/>
    <w:p w14:paraId="50D04E2B" w14:textId="4CA87FA8" w:rsidR="002F562C" w:rsidRDefault="003C2747" w:rsidP="00842D7D">
      <w:pPr>
        <w:jc w:val="both"/>
      </w:pPr>
      <w:r>
        <w:t xml:space="preserve">Although the AS9145 standard provides the requirements for APQP in the aviation sector, the standard fails to provision for small quantities in aircraft manufacturing. The standard could be applicable for the primary structure of the aircraft, as all aircraft of that type will require the same parts, providing a good return on investment implementing APQP. </w:t>
      </w:r>
      <w:r w:rsidR="0041647B">
        <w:t>However, once customisation of the</w:t>
      </w:r>
      <w:r w:rsidR="009366D4">
        <w:t xml:space="preserve"> interiors begin</w:t>
      </w:r>
      <w:r w:rsidR="0028450A">
        <w:t>s</w:t>
      </w:r>
      <w:r w:rsidR="009366D4">
        <w:t xml:space="preserve">, the amount </w:t>
      </w:r>
      <w:r w:rsidR="0041647B">
        <w:t xml:space="preserve">of that </w:t>
      </w:r>
      <w:r w:rsidR="009366D4">
        <w:t xml:space="preserve">aircraft </w:t>
      </w:r>
      <w:r w:rsidR="0041647B">
        <w:t>type selecting specific interiors diminishes the order quantities for those suppliers.</w:t>
      </w:r>
      <w:r>
        <w:t xml:space="preserve"> </w:t>
      </w:r>
    </w:p>
    <w:p w14:paraId="7DF617B0" w14:textId="77777777" w:rsidR="0056438F" w:rsidRDefault="0056438F" w:rsidP="00842D7D">
      <w:pPr>
        <w:jc w:val="both"/>
      </w:pPr>
    </w:p>
    <w:p w14:paraId="7D5F928B" w14:textId="5733FAFF" w:rsidR="002F562C" w:rsidRDefault="009366D4" w:rsidP="00842D7D">
      <w:pPr>
        <w:jc w:val="both"/>
      </w:pPr>
      <w:r>
        <w:t xml:space="preserve">For example, if an aircraft manufacturer has orders for 1000 aircraft, several airlines may not want a first-class configuration, removing their aircraft as potential SGB customers. Of the remaining aircraft, airlines </w:t>
      </w:r>
      <w:r w:rsidR="007262EF">
        <w:t>can</w:t>
      </w:r>
      <w:r>
        <w:t xml:space="preserve"> choose from a range of first-class seat manufacturers, further diminishing the number of potential contracts for SGB.</w:t>
      </w:r>
      <w:r w:rsidR="00184B22">
        <w:t xml:space="preserve"> First-class configurations are usually limited to less than 6 units per aircraft, meaning that if SGB win</w:t>
      </w:r>
      <w:r w:rsidR="00786FBF">
        <w:t>s</w:t>
      </w:r>
      <w:r w:rsidR="00184B22">
        <w:t xml:space="preserve"> a contract for 10 aircraft, the total production order is only 60 units. This 60 is further sub-divided into inboard units and outboard units of different designs to accommodate for the tapering of the aircraft towards the nose section. </w:t>
      </w:r>
      <w:r w:rsidR="009057A4">
        <w:t>There is no possibility of recycling previous designs used on a first-class product for another customer as airlines request a bespoke design for their first-class products. This is due to customers requiring that their first-class configurations become a unique selling point as a way to stand out in a crowded market.</w:t>
      </w:r>
    </w:p>
    <w:p w14:paraId="493EB947" w14:textId="77777777" w:rsidR="0056438F" w:rsidRDefault="0056438F" w:rsidP="00842D7D">
      <w:pPr>
        <w:jc w:val="both"/>
      </w:pPr>
    </w:p>
    <w:p w14:paraId="74912729" w14:textId="714D12E2" w:rsidR="003C2747" w:rsidRDefault="00184B22" w:rsidP="00842D7D">
      <w:pPr>
        <w:jc w:val="both"/>
      </w:pPr>
      <w:r>
        <w:t xml:space="preserve">Due to these low production numbers, it is not viable for SGB to manufacture a production process run as the </w:t>
      </w:r>
      <w:r w:rsidR="00151587">
        <w:t>number</w:t>
      </w:r>
      <w:r>
        <w:t xml:space="preserve"> of parts produced would be equal to or greater than the entire production requirement. For APQP to be a valid requirement for all aviation companies, AS9145 would have to be updated to provide instruction </w:t>
      </w:r>
      <w:r w:rsidR="00EC35BC">
        <w:t>for</w:t>
      </w:r>
      <w:r>
        <w:t xml:space="preserve"> low manufacturing order quantities </w:t>
      </w:r>
      <w:r w:rsidR="0038319D">
        <w:t xml:space="preserve">to either exempt certain aspects of AS9145 or propose options for an acceptable quantity as a percentage of the total parts to be manufactured for the entire order. </w:t>
      </w:r>
    </w:p>
    <w:p w14:paraId="2231D89D" w14:textId="6242B4A0" w:rsidR="00EC35BC" w:rsidRDefault="00EC35BC" w:rsidP="00842D7D">
      <w:pPr>
        <w:jc w:val="both"/>
      </w:pPr>
    </w:p>
    <w:p w14:paraId="34183D5C" w14:textId="34DA54AD" w:rsidR="00EC35BC" w:rsidRDefault="00EC35BC" w:rsidP="00842D7D">
      <w:pPr>
        <w:pStyle w:val="Heading3"/>
      </w:pPr>
      <w:bookmarkStart w:id="100" w:name="_Toc137807615"/>
      <w:r>
        <w:t>7.1.2 Risk</w:t>
      </w:r>
      <w:r w:rsidR="00226A2B">
        <w:t>-</w:t>
      </w:r>
      <w:r>
        <w:t>Based Module Selection</w:t>
      </w:r>
      <w:bookmarkEnd w:id="100"/>
    </w:p>
    <w:p w14:paraId="093891FF" w14:textId="304DF822" w:rsidR="00E10E20" w:rsidRDefault="00E10E20" w:rsidP="00842D7D"/>
    <w:p w14:paraId="4D31CF33" w14:textId="37A2EFB3" w:rsidR="0056438F" w:rsidRDefault="00E10E20" w:rsidP="00842D7D">
      <w:pPr>
        <w:jc w:val="both"/>
      </w:pPr>
      <w:r>
        <w:t xml:space="preserve">Currently, AS9145 requires that </w:t>
      </w:r>
      <w:r w:rsidR="00AE4781">
        <w:t xml:space="preserve">companies that are contracted to APQP must provide a full PPAP pack for the product that has been purchased. This approach fails to recognise that APQP </w:t>
      </w:r>
      <w:r w:rsidR="00226A2B">
        <w:t>could be applied to</w:t>
      </w:r>
      <w:r w:rsidR="00AE4781">
        <w:t xml:space="preserve"> very complex assemblies containing many hundreds of parts. As the main aim of APQP is to reduce variation through a </w:t>
      </w:r>
      <w:r w:rsidR="00093E12">
        <w:t>risk-based</w:t>
      </w:r>
      <w:r w:rsidR="00AE4781">
        <w:t xml:space="preserve"> approach, it would be prudent to include a risk assessment of the assembly to identify high-risk modules</w:t>
      </w:r>
      <w:r w:rsidR="00093E12">
        <w:t xml:space="preserve"> </w:t>
      </w:r>
      <w:r w:rsidR="00A51D41">
        <w:t xml:space="preserve">on </w:t>
      </w:r>
      <w:r w:rsidR="00093E12">
        <w:t>which</w:t>
      </w:r>
      <w:r w:rsidR="00AE4781">
        <w:t xml:space="preserve"> to apply APQP. This would reduce the burden on the supplier by removing APQP requirements from module</w:t>
      </w:r>
      <w:r w:rsidR="00093E12">
        <w:t>s</w:t>
      </w:r>
      <w:r w:rsidR="00AE4781">
        <w:t xml:space="preserve"> that the company has recycled from previous designs, or where they </w:t>
      </w:r>
      <w:r w:rsidR="00A51D41">
        <w:t>have not</w:t>
      </w:r>
      <w:r w:rsidR="00AE4781">
        <w:t xml:space="preserve"> historically caused </w:t>
      </w:r>
      <w:r w:rsidR="004E5377">
        <w:t xml:space="preserve">product </w:t>
      </w:r>
      <w:r w:rsidR="00AE4781">
        <w:t xml:space="preserve">escapes. </w:t>
      </w:r>
    </w:p>
    <w:p w14:paraId="0979E26C" w14:textId="77777777" w:rsidR="0056438F" w:rsidRDefault="0056438F" w:rsidP="00842D7D">
      <w:pPr>
        <w:jc w:val="both"/>
      </w:pPr>
    </w:p>
    <w:p w14:paraId="3A34FECD" w14:textId="3BDC5709" w:rsidR="00E10E20" w:rsidRPr="00E10E20" w:rsidRDefault="00AE4781" w:rsidP="00842D7D">
      <w:pPr>
        <w:jc w:val="both"/>
      </w:pPr>
      <w:r>
        <w:t xml:space="preserve">As APQP in low production manufacturing companies needs to be a balance between expenditure and return on investment, </w:t>
      </w:r>
      <w:r w:rsidR="00093E12">
        <w:t xml:space="preserve">a risk-based module selection is </w:t>
      </w:r>
      <w:r w:rsidR="006C2AD0">
        <w:t xml:space="preserve">a reasonable compromise between ensuring a high-quality end product and the financial viability of the process. </w:t>
      </w:r>
      <w:r w:rsidR="00A51D41">
        <w:t>As long as the supplier is open with the customer about how the modules were identified and the customer agrees with the assessment, then there is no reason why AS9145 could not be updated to include such an approach.</w:t>
      </w:r>
    </w:p>
    <w:p w14:paraId="3BD7DDA8" w14:textId="28F1FF9B" w:rsidR="00A4116E" w:rsidRDefault="00A4116E" w:rsidP="00842D7D"/>
    <w:p w14:paraId="66E7B127" w14:textId="031BE8FE" w:rsidR="00C8610A" w:rsidRDefault="00C8610A" w:rsidP="00842D7D">
      <w:pPr>
        <w:pStyle w:val="Heading3"/>
      </w:pPr>
      <w:bookmarkStart w:id="101" w:name="_Toc137807616"/>
      <w:r>
        <w:t xml:space="preserve">7.1.3 </w:t>
      </w:r>
      <w:r w:rsidR="003C12FB">
        <w:t xml:space="preserve">AS9145 </w:t>
      </w:r>
      <w:r>
        <w:t>Limitations</w:t>
      </w:r>
      <w:r w:rsidR="00C04040">
        <w:t xml:space="preserve"> &amp; Implications</w:t>
      </w:r>
      <w:bookmarkEnd w:id="101"/>
    </w:p>
    <w:p w14:paraId="54C68DCD" w14:textId="6E0D91B3" w:rsidR="00C8610A" w:rsidRDefault="00C8610A" w:rsidP="00842D7D"/>
    <w:p w14:paraId="199B7D3C" w14:textId="073B485B" w:rsidR="003F77BE" w:rsidRDefault="006D5077" w:rsidP="00842D7D">
      <w:pPr>
        <w:jc w:val="both"/>
      </w:pPr>
      <w:r>
        <w:t>Despite</w:t>
      </w:r>
      <w:r w:rsidR="003F77BE">
        <w:t xml:space="preserve"> AS9145 </w:t>
      </w:r>
      <w:r>
        <w:t>being</w:t>
      </w:r>
      <w:r w:rsidR="003F77BE">
        <w:t xml:space="preserve"> the international standard for APQP in </w:t>
      </w:r>
      <w:r>
        <w:t>aerospace</w:t>
      </w:r>
      <w:r w:rsidR="003F77BE">
        <w:t>, there are limitations in the application of the standard in aviation companies. These are:</w:t>
      </w:r>
    </w:p>
    <w:p w14:paraId="4B79FD06" w14:textId="77777777" w:rsidR="00CC28E4" w:rsidRDefault="00CC28E4" w:rsidP="00842D7D">
      <w:pPr>
        <w:jc w:val="both"/>
      </w:pPr>
    </w:p>
    <w:p w14:paraId="0EA99885" w14:textId="4CDD1FD6" w:rsidR="00CC28E4" w:rsidRDefault="00CC28E4" w:rsidP="007A5DF3">
      <w:pPr>
        <w:pStyle w:val="ListParagraph"/>
        <w:numPr>
          <w:ilvl w:val="0"/>
          <w:numId w:val="18"/>
        </w:numPr>
        <w:jc w:val="both"/>
      </w:pPr>
      <w:r>
        <w:t xml:space="preserve">A lack of AS9145 literature on APQP in a low </w:t>
      </w:r>
      <w:r w:rsidR="00211FCE">
        <w:t>volume-manufacturing</w:t>
      </w:r>
      <w:r>
        <w:t xml:space="preserve"> environment to support the case for the implementation of APQP in such an environment</w:t>
      </w:r>
      <w:r w:rsidR="00F25385">
        <w:t>.</w:t>
      </w:r>
    </w:p>
    <w:p w14:paraId="78273172" w14:textId="77777777" w:rsidR="00CC28E4" w:rsidRDefault="00CC28E4" w:rsidP="00842D7D">
      <w:pPr>
        <w:pStyle w:val="ListParagraph"/>
        <w:jc w:val="both"/>
      </w:pPr>
    </w:p>
    <w:p w14:paraId="57A63329" w14:textId="000E7CB6" w:rsidR="00CC28E4" w:rsidRDefault="00F25385" w:rsidP="007A5DF3">
      <w:pPr>
        <w:pStyle w:val="ListParagraph"/>
        <w:numPr>
          <w:ilvl w:val="0"/>
          <w:numId w:val="18"/>
        </w:numPr>
        <w:jc w:val="both"/>
      </w:pPr>
      <w:r>
        <w:t>Perceived c</w:t>
      </w:r>
      <w:r w:rsidR="00CC28E4">
        <w:t>ost saving of APQP</w:t>
      </w:r>
      <w:r>
        <w:t xml:space="preserve"> in general literature</w:t>
      </w:r>
      <w:r w:rsidR="00CC28E4">
        <w:t xml:space="preserve"> based on estimated data as there is</w:t>
      </w:r>
      <w:r>
        <w:t xml:space="preserve"> no</w:t>
      </w:r>
      <w:r w:rsidR="00CC28E4">
        <w:t xml:space="preserve"> research around similar projects being run under APQP and non-APQP approaches to evidence savings</w:t>
      </w:r>
      <w:r>
        <w:t>.</w:t>
      </w:r>
    </w:p>
    <w:p w14:paraId="0482E3BC" w14:textId="77777777" w:rsidR="00CC28E4" w:rsidRDefault="00CC28E4" w:rsidP="00842D7D">
      <w:pPr>
        <w:pStyle w:val="ListParagraph"/>
        <w:jc w:val="both"/>
      </w:pPr>
    </w:p>
    <w:p w14:paraId="7F32DF8B" w14:textId="46D300DF" w:rsidR="00CC28E4" w:rsidRDefault="00CC28E4" w:rsidP="007A5DF3">
      <w:pPr>
        <w:pStyle w:val="ListParagraph"/>
        <w:numPr>
          <w:ilvl w:val="0"/>
          <w:numId w:val="18"/>
        </w:numPr>
        <w:jc w:val="both"/>
      </w:pPr>
      <w:r>
        <w:t>As AS9145 is relatively new, there are few options for supporting material on how to implement AS9145 in a non-APQP familiar business</w:t>
      </w:r>
      <w:r w:rsidR="00F25385">
        <w:t xml:space="preserve">. The approach adopted by this dissertation </w:t>
      </w:r>
      <w:r w:rsidR="00010105">
        <w:t xml:space="preserve">used </w:t>
      </w:r>
      <w:r w:rsidR="00F25385">
        <w:t>the IAQG supporting documentation, with no other viable strategies found.</w:t>
      </w:r>
    </w:p>
    <w:p w14:paraId="36B149F8" w14:textId="77777777" w:rsidR="00CC28E4" w:rsidRDefault="00CC28E4" w:rsidP="00842D7D">
      <w:pPr>
        <w:pStyle w:val="ListParagraph"/>
      </w:pPr>
    </w:p>
    <w:p w14:paraId="6D34750D" w14:textId="5D564FA5" w:rsidR="00726B6E" w:rsidRDefault="00211FCE" w:rsidP="007A5DF3">
      <w:pPr>
        <w:pStyle w:val="ListParagraph"/>
        <w:numPr>
          <w:ilvl w:val="0"/>
          <w:numId w:val="18"/>
        </w:numPr>
        <w:jc w:val="both"/>
      </w:pPr>
      <w:r>
        <w:lastRenderedPageBreak/>
        <w:t>C</w:t>
      </w:r>
      <w:r w:rsidR="00CC28E4">
        <w:t>ustomers are requesting APQ</w:t>
      </w:r>
      <w:r w:rsidR="004E1022">
        <w:t xml:space="preserve">P projects from suppliers, without being able to provide clarity over what </w:t>
      </w:r>
      <w:r>
        <w:t>their requirements for a PPAP pack are as they are unfamiliar with the AS9145 requirements.</w:t>
      </w:r>
    </w:p>
    <w:p w14:paraId="699F7DEE" w14:textId="533A5086" w:rsidR="00726B6E" w:rsidRDefault="00726B6E" w:rsidP="00842D7D">
      <w:pPr>
        <w:jc w:val="both"/>
      </w:pPr>
      <w:r>
        <w:t xml:space="preserve">Without changes </w:t>
      </w:r>
      <w:r w:rsidR="00AF459A">
        <w:t>to</w:t>
      </w:r>
      <w:r>
        <w:t xml:space="preserve"> AS9145, customers and suppliers will </w:t>
      </w:r>
      <w:r w:rsidR="00705A29">
        <w:t>need</w:t>
      </w:r>
      <w:r>
        <w:t xml:space="preserve"> to negotiate the application of APQP based on sales without any guidelines. If no flexibility exists within the standard for low-manufacturing production companies, contractual obligations to the standard would add unrecoverable costs to the project, driving up both the suppliers’ costs and the cost of the project to the customer. This is contrary to the aims of APQP</w:t>
      </w:r>
      <w:r w:rsidR="00647B0C">
        <w:t>, which seek</w:t>
      </w:r>
      <w:r w:rsidR="00A00B8B">
        <w:t>s</w:t>
      </w:r>
      <w:r w:rsidR="00647B0C">
        <w:t xml:space="preserve"> to drive down costs for a new product development project. With large production runs, the cost associated with APQP implementation can be absorbed with a slight increase in the cost of the product as the cost is distributed across a larger number of products. This approach, paired with the savings in the reduction in non-conformities across large production numbers make APQP more attractive for larger-volume manufacturing companies</w:t>
      </w:r>
      <w:r w:rsidR="003A0123">
        <w:t>, rather than low-volume manufacturing where the costs associated with scrap and rework are on a much smaller scale</w:t>
      </w:r>
      <w:r w:rsidR="00647B0C">
        <w:t>.</w:t>
      </w:r>
      <w:r>
        <w:t xml:space="preserve"> </w:t>
      </w:r>
    </w:p>
    <w:p w14:paraId="06AB7550" w14:textId="0109FBE6" w:rsidR="00647B0C" w:rsidRDefault="00647B0C" w:rsidP="00842D7D">
      <w:pPr>
        <w:jc w:val="both"/>
      </w:pPr>
    </w:p>
    <w:p w14:paraId="77114E0A" w14:textId="47E76BAD" w:rsidR="00647B0C" w:rsidRDefault="0004113E" w:rsidP="00842D7D">
      <w:pPr>
        <w:jc w:val="both"/>
      </w:pPr>
      <w:r>
        <w:t xml:space="preserve">There </w:t>
      </w:r>
      <w:r w:rsidR="003D1235">
        <w:t xml:space="preserve">is a lack of </w:t>
      </w:r>
      <w:r w:rsidR="00AA7130">
        <w:t>discussion</w:t>
      </w:r>
      <w:r>
        <w:t xml:space="preserve"> within the peer-reviewed literature in regards to the application of APQP to low-volume manufacturing</w:t>
      </w:r>
      <w:r w:rsidR="003A1D44">
        <w:t xml:space="preserve"> projects</w:t>
      </w:r>
      <w:r w:rsidR="000D64C4">
        <w:t xml:space="preserve"> </w:t>
      </w:r>
      <w:r w:rsidR="000D64C4">
        <w:fldChar w:fldCharType="begin" w:fldLock="1"/>
      </w:r>
      <w:r w:rsidR="00AF72D7">
        <w:instrText>ADDIN CSL_CITATION {"citationItems":[{"id":"ITEM-1","itemData":{"DOI":"10.1051/matecconf/201817808013","ISSN":"2261236X","abstract":"To ensure customer satisfaction, the products made by aviation, space and defense organizations need to be continuously improved from the point of view of safety, security, reliability and maintainability. The improvement goal is to be at the customers' requirements and legislations level, if not even to overcome it. The occurring problem with the final products is the challenge to ensure their quality in a shorter time. In this research the importance of implementing the APQP concept in the aeronautical industry is highlighted. To achieve this purpose, the methodologies needed to ensure that the product development processes of the aviation, space and defense industry are fully integrated processes ranging from concept and design to planning, manufacturing and production, aiming the product good use, a quality service and finally getting a positive customer feedback. The final goal of this concept implementing is the Production Part Approval Process (PPAP), which is actually the main result of APQP confirming that the manufacturing process has demonstrated the potential to achieve products that consistently fulfil absolutely all the expressed and not expressed customer requirements.","author":[{"dropping-particle":"","family":"Pop","given":"Alina Bianca","non-dropping-particle":"","parse-names":false,"suffix":""},{"dropping-particle":"","family":"Ţîţu","given":"Mihail Aurel","non-dropping-particle":"","parse-names":false,"suffix":""},{"dropping-particle":"","family":"Oprean","given":"Constantin","non-dropping-particle":"","parse-names":false,"suffix":""},{"dropping-particle":"","family":"Ceocea","given":"Costel","non-dropping-particle":"","parse-names":false,"suffix":""},{"dropping-particle":"","family":"Sandu","given":"Andrei Victor","non-dropping-particle":"","parse-names":false,"suffix":""},{"dropping-particle":"","family":"Ţîţu","given":"Ştefan","non-dropping-particle":"","parse-names":false,"suffix":""}],"container-title":"MATEC Web of Conferences","id":"ITEM-1","issued":{"date-parts":[["2018"]]},"page":"1-6","title":"Contributions concerning the possibility of implementing the APQP concept in the aerospace industry","type":"article-journal","volume":"178"},"uris":["http://www.mendeley.com/documents/?uuid=f8ca7ac4-dc62-4b81-bd48-22b5ef6e917c"]}],"mendeley":{"formattedCitation":"(Pop &lt;i&gt;et al.&lt;/i&gt;, 2018)","plainTextFormattedCitation":"(Pop et al., 2018)","previouslyFormattedCitation":"(Pop &lt;i&gt;et al.&lt;/i&gt;, 2018)"},"properties":{"noteIndex":0},"schema":"https://github.com/citation-style-language/schema/raw/master/csl-citation.json"}</w:instrText>
      </w:r>
      <w:r w:rsidR="000D64C4">
        <w:fldChar w:fldCharType="separate"/>
      </w:r>
      <w:r w:rsidR="000D64C4" w:rsidRPr="000D64C4">
        <w:rPr>
          <w:noProof/>
        </w:rPr>
        <w:t xml:space="preserve">(Pop </w:t>
      </w:r>
      <w:r w:rsidR="000D64C4" w:rsidRPr="000D64C4">
        <w:rPr>
          <w:i/>
          <w:noProof/>
        </w:rPr>
        <w:t>et al.</w:t>
      </w:r>
      <w:r w:rsidR="000D64C4" w:rsidRPr="000D64C4">
        <w:rPr>
          <w:noProof/>
        </w:rPr>
        <w:t>, 2018)</w:t>
      </w:r>
      <w:r w:rsidR="000D64C4">
        <w:fldChar w:fldCharType="end"/>
      </w:r>
      <w:r>
        <w:t xml:space="preserve">. </w:t>
      </w:r>
      <w:r w:rsidR="00621ACB">
        <w:t xml:space="preserve">Without </w:t>
      </w:r>
      <w:r w:rsidR="00506EEF">
        <w:t xml:space="preserve">clear </w:t>
      </w:r>
      <w:r w:rsidR="00621ACB">
        <w:t>evidence support</w:t>
      </w:r>
      <w:r w:rsidR="00506EEF">
        <w:t>ing</w:t>
      </w:r>
      <w:r w:rsidR="00621ACB">
        <w:t xml:space="preserve"> the methods and expected financial returns to the business for APQP, low-volume manufacturers will continue to question whether the application of APQP is suitable to their business plan.</w:t>
      </w:r>
      <w:r w:rsidR="00F011AC">
        <w:t xml:space="preserve"> </w:t>
      </w:r>
      <w:r w:rsidR="00621ACB">
        <w:t>The outcomes of this</w:t>
      </w:r>
      <w:r w:rsidR="00F011AC">
        <w:t xml:space="preserve"> dissertation </w:t>
      </w:r>
      <w:r w:rsidR="00621ACB">
        <w:t xml:space="preserve">shed some light on the </w:t>
      </w:r>
      <w:r w:rsidR="00F360DE">
        <w:t>matter</w:t>
      </w:r>
      <w:r w:rsidR="00621ACB">
        <w:t xml:space="preserve">, suggesting that, within a low-volume manufacturing company, a viable approach could be applying the APQP framework only partially to the </w:t>
      </w:r>
      <w:r w:rsidR="00F011AC">
        <w:t xml:space="preserve">high-risk modules </w:t>
      </w:r>
      <w:r w:rsidR="00621ACB">
        <w:t xml:space="preserve">of the production process run. </w:t>
      </w:r>
      <w:r w:rsidR="003C12FB">
        <w:t>For example, in this project, the application of APQP was deemed particularly suitable for modules such as meal tables, complex moving parts and composites (high-risk), while modules such as personal stowage’s,  capping’s and lighting (which imply a lower risk level) would not particularly benefit by the application of the framework .</w:t>
      </w:r>
    </w:p>
    <w:p w14:paraId="1112E0F1" w14:textId="77777777" w:rsidR="002445A7" w:rsidRDefault="002445A7" w:rsidP="00842D7D">
      <w:pPr>
        <w:jc w:val="both"/>
      </w:pPr>
    </w:p>
    <w:p w14:paraId="481CA211" w14:textId="220AE4D9" w:rsidR="00E15DBA" w:rsidRDefault="00E15DBA" w:rsidP="007A5DF3">
      <w:pPr>
        <w:pStyle w:val="Heading2"/>
        <w:numPr>
          <w:ilvl w:val="1"/>
          <w:numId w:val="6"/>
        </w:numPr>
      </w:pPr>
      <w:bookmarkStart w:id="102" w:name="_Toc134000904"/>
      <w:bookmarkStart w:id="103" w:name="_Toc134001658"/>
      <w:bookmarkStart w:id="104" w:name="_Toc134356111"/>
      <w:bookmarkStart w:id="105" w:name="_Toc134461228"/>
      <w:bookmarkStart w:id="106" w:name="_Toc136191365"/>
      <w:bookmarkStart w:id="107" w:name="_Toc134000905"/>
      <w:bookmarkStart w:id="108" w:name="_Toc134001659"/>
      <w:bookmarkStart w:id="109" w:name="_Toc134356112"/>
      <w:bookmarkStart w:id="110" w:name="_Toc134461229"/>
      <w:bookmarkStart w:id="111" w:name="_Toc136191366"/>
      <w:bookmarkStart w:id="112" w:name="_Toc134000906"/>
      <w:bookmarkStart w:id="113" w:name="_Toc134001660"/>
      <w:bookmarkStart w:id="114" w:name="_Toc134356113"/>
      <w:bookmarkStart w:id="115" w:name="_Toc134461230"/>
      <w:bookmarkStart w:id="116" w:name="_Toc136191367"/>
      <w:bookmarkStart w:id="117" w:name="_Toc134000907"/>
      <w:bookmarkStart w:id="118" w:name="_Toc134001661"/>
      <w:bookmarkStart w:id="119" w:name="_Toc134356114"/>
      <w:bookmarkStart w:id="120" w:name="_Toc134461231"/>
      <w:bookmarkStart w:id="121" w:name="_Toc136191368"/>
      <w:bookmarkStart w:id="122" w:name="_Toc134000908"/>
      <w:bookmarkStart w:id="123" w:name="_Toc134001662"/>
      <w:bookmarkStart w:id="124" w:name="_Toc134356115"/>
      <w:bookmarkStart w:id="125" w:name="_Toc134461232"/>
      <w:bookmarkStart w:id="126" w:name="_Toc136191369"/>
      <w:bookmarkStart w:id="127" w:name="_Toc134000909"/>
      <w:bookmarkStart w:id="128" w:name="_Toc134001663"/>
      <w:bookmarkStart w:id="129" w:name="_Toc134356116"/>
      <w:bookmarkStart w:id="130" w:name="_Toc134461233"/>
      <w:bookmarkStart w:id="131" w:name="_Toc136191370"/>
      <w:bookmarkStart w:id="132" w:name="_Toc137807617"/>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r>
        <w:t>SGB</w:t>
      </w:r>
      <w:bookmarkEnd w:id="132"/>
    </w:p>
    <w:p w14:paraId="16FA2304" w14:textId="0E50FFC3" w:rsidR="00A4116E" w:rsidRDefault="00A4116E" w:rsidP="00842D7D"/>
    <w:p w14:paraId="54708307" w14:textId="7D80F8B8" w:rsidR="00604C31" w:rsidRDefault="00604C31" w:rsidP="007A5DF3">
      <w:pPr>
        <w:pStyle w:val="Heading3"/>
        <w:numPr>
          <w:ilvl w:val="2"/>
          <w:numId w:val="6"/>
        </w:numPr>
      </w:pPr>
      <w:bookmarkStart w:id="133" w:name="_Toc137807618"/>
      <w:r>
        <w:t>Production Process Run</w:t>
      </w:r>
      <w:bookmarkEnd w:id="133"/>
    </w:p>
    <w:p w14:paraId="57D2AFC5" w14:textId="003D0136" w:rsidR="00C41696" w:rsidRDefault="00C41696" w:rsidP="00842D7D"/>
    <w:p w14:paraId="3E5CE02A" w14:textId="14D04CAD" w:rsidR="00EE4ADA" w:rsidRDefault="00C41696" w:rsidP="00842D7D">
      <w:pPr>
        <w:jc w:val="both"/>
      </w:pPr>
      <w:r>
        <w:t>Although SGB do</w:t>
      </w:r>
      <w:r w:rsidR="00790549">
        <w:t>es</w:t>
      </w:r>
      <w:r>
        <w:t xml:space="preserve"> not currently carry out a production process run, contrary to AS9145 requirements, the company does carry out an FAI event with the customer to validate one of each completed product part number in an order. This event is currently carried out on the first completed products from the assembly line. As a compromise to the AS9145 requirement, SGB could change the FAI process so that the validation is carried out in advance of the main production run starting. Adopting this approach would mean that any issues identified during the FAI event could be engineered out before the start of production. This change to </w:t>
      </w:r>
      <w:r>
        <w:lastRenderedPageBreak/>
        <w:t xml:space="preserve">program scheduling could save SGB significant amount of rework/scrap costs of parts made before the engineering design change took place. The main requirement for a production process run is to validate the process is capable </w:t>
      </w:r>
      <w:r w:rsidR="00EE4ADA">
        <w:t>before series production starts and adopting this approach not only fulfils this requirement, but also reduces cost and delay to the customer.</w:t>
      </w:r>
    </w:p>
    <w:p w14:paraId="78EAD538" w14:textId="77777777" w:rsidR="00604C31" w:rsidRPr="00842D7D" w:rsidRDefault="00604C31" w:rsidP="00842D7D"/>
    <w:p w14:paraId="761F5B68" w14:textId="7E88E107" w:rsidR="00604C31" w:rsidRDefault="00604C31" w:rsidP="007A5DF3">
      <w:pPr>
        <w:pStyle w:val="Heading3"/>
        <w:numPr>
          <w:ilvl w:val="2"/>
          <w:numId w:val="6"/>
        </w:numPr>
      </w:pPr>
      <w:bookmarkStart w:id="134" w:name="_Toc137807619"/>
      <w:r>
        <w:t>Shipping Process</w:t>
      </w:r>
      <w:bookmarkEnd w:id="134"/>
    </w:p>
    <w:p w14:paraId="642DBDC1" w14:textId="5BE9C42C" w:rsidR="00EE4ADA" w:rsidRDefault="00EE4ADA" w:rsidP="00842D7D"/>
    <w:p w14:paraId="3217C418" w14:textId="5D6A2193" w:rsidR="00EE4ADA" w:rsidRPr="00842D7D" w:rsidRDefault="00EE4ADA" w:rsidP="00842D7D">
      <w:pPr>
        <w:jc w:val="both"/>
      </w:pPr>
      <w:r>
        <w:t xml:space="preserve">AS9145 requires that the PPAP is a formal pre-requisite to shipping an APQP product. At the time of writing this report, SGB </w:t>
      </w:r>
      <w:r w:rsidR="00384F3D">
        <w:t xml:space="preserve">hasn’t </w:t>
      </w:r>
      <w:r>
        <w:t>updated their shipping processes to reflect the importance of an approved PPAP prior to shipping product. Without this change, SGB run</w:t>
      </w:r>
      <w:r w:rsidR="009A01AF">
        <w:t>s</w:t>
      </w:r>
      <w:r>
        <w:t xml:space="preserve"> the risk that any product shipped without a customer approved PPAP could be rejected on receipt by the customer, or SGB accepting liability for any damage caused during transport. This is due to shipping requirements forming part of the PPAP pack. Without elevating the PPAP, SGB </w:t>
      </w:r>
      <w:r w:rsidR="007F4A10">
        <w:t xml:space="preserve">is </w:t>
      </w:r>
      <w:r>
        <w:t>at risk of absorbing significant additional costs and delays delivering the product. Ultimately, this is self-defeating as the benefits of APQP could be lost without the customer acceptance of the PPAP.</w:t>
      </w:r>
    </w:p>
    <w:p w14:paraId="2DE1CB44" w14:textId="10AFCF83" w:rsidR="00604C31" w:rsidRDefault="00604C31" w:rsidP="00842D7D"/>
    <w:p w14:paraId="25036D40" w14:textId="4379F234" w:rsidR="00604C31" w:rsidRDefault="00604C31" w:rsidP="007A5DF3">
      <w:pPr>
        <w:pStyle w:val="Heading3"/>
        <w:numPr>
          <w:ilvl w:val="2"/>
          <w:numId w:val="6"/>
        </w:numPr>
      </w:pPr>
      <w:bookmarkStart w:id="135" w:name="_Toc137807620"/>
      <w:r>
        <w:t>Lessons Learnt</w:t>
      </w:r>
      <w:bookmarkEnd w:id="135"/>
    </w:p>
    <w:p w14:paraId="384D93FA" w14:textId="58E79862" w:rsidR="00604C31" w:rsidRDefault="00604C31" w:rsidP="00842D7D"/>
    <w:p w14:paraId="47CDC2F0" w14:textId="769679A8" w:rsidR="00D55A73" w:rsidRDefault="00D55A73" w:rsidP="00842D7D">
      <w:pPr>
        <w:jc w:val="both"/>
      </w:pPr>
      <w:r>
        <w:t>SGB do</w:t>
      </w:r>
      <w:r w:rsidR="005C7700">
        <w:t>es</w:t>
      </w:r>
      <w:r>
        <w:t xml:space="preserve"> not currently have a quality representative within the Aftermarket section of the business. The effect is that the ‘In Service Issues’ have a weak ‘Root Cause Analysis’ with no feedback into the design/process risk analysis tools. This means that SGB </w:t>
      </w:r>
      <w:r w:rsidR="00B915EF">
        <w:t xml:space="preserve">is </w:t>
      </w:r>
      <w:r>
        <w:t xml:space="preserve">missing out of crucial information of real issues in active projects that could inform the design decision making for new product development activities. As this ‘Lessons Learnt’ approach is a key benefit of APQP by preventing product issues before they occur, SGB </w:t>
      </w:r>
      <w:r w:rsidR="00885791">
        <w:t xml:space="preserve">is </w:t>
      </w:r>
      <w:r>
        <w:t>at risk of having to incur similar issues for each new product development and absorbing the associated rework/scrap costs.</w:t>
      </w:r>
    </w:p>
    <w:p w14:paraId="1538B88A" w14:textId="77777777" w:rsidR="00D55A73" w:rsidRDefault="00D55A73" w:rsidP="00842D7D">
      <w:pPr>
        <w:jc w:val="both"/>
      </w:pPr>
    </w:p>
    <w:p w14:paraId="57033AC6" w14:textId="42F9B427" w:rsidR="00604C31" w:rsidRDefault="00604C31" w:rsidP="007A5DF3">
      <w:pPr>
        <w:pStyle w:val="Heading3"/>
        <w:numPr>
          <w:ilvl w:val="2"/>
          <w:numId w:val="6"/>
        </w:numPr>
      </w:pPr>
      <w:bookmarkStart w:id="136" w:name="_Toc137807621"/>
      <w:r>
        <w:t>PPAP Submittal/Resubmittal</w:t>
      </w:r>
      <w:bookmarkEnd w:id="136"/>
    </w:p>
    <w:p w14:paraId="00810FB8" w14:textId="5D7803C8" w:rsidR="00604C31" w:rsidRDefault="00604C31" w:rsidP="00842D7D"/>
    <w:p w14:paraId="6035F841" w14:textId="05C61E57" w:rsidR="003C1337" w:rsidRDefault="003C1337" w:rsidP="00842D7D">
      <w:pPr>
        <w:jc w:val="both"/>
      </w:pPr>
      <w:r>
        <w:t xml:space="preserve">Although this dissertation has been focused on implementing the framework on which an APQP project could run at SGB, the main program quality process QUA05 does not yet contain the method for PPAP submittal and resubmittal. As this is the final action for the PPAP, there is time to develop the solution for this requirement prior to the first project PPAP being completed. This process would have to setup the basic principles that govern the process, with the actual methodology for submittal to be contained within the project </w:t>
      </w:r>
      <w:r>
        <w:lastRenderedPageBreak/>
        <w:t>specific Quality Plan. By placing the approval process in the Quality Plan, the method can be custom-built for each individual customer, whilst still following a generic SGB framework. As the Quality Plan is customer</w:t>
      </w:r>
      <w:r w:rsidR="009D750D">
        <w:t>-</w:t>
      </w:r>
      <w:r>
        <w:t>specific, it also allows the customer to approve the PPAP submittal/resubmittal route at the beginning of the program, aligning SGB and the customer on the APQP/PPAP approach before the work on the project starts.</w:t>
      </w:r>
    </w:p>
    <w:p w14:paraId="7743A153" w14:textId="0E65242E" w:rsidR="00194D05" w:rsidRDefault="00194D05" w:rsidP="00842D7D">
      <w:pPr>
        <w:jc w:val="both"/>
      </w:pPr>
    </w:p>
    <w:p w14:paraId="5929ABE3" w14:textId="23C74062" w:rsidR="00C04040" w:rsidRDefault="00C04040" w:rsidP="007A5DF3">
      <w:pPr>
        <w:pStyle w:val="Heading3"/>
        <w:numPr>
          <w:ilvl w:val="2"/>
          <w:numId w:val="6"/>
        </w:numPr>
      </w:pPr>
      <w:bookmarkStart w:id="137" w:name="_Toc137807622"/>
      <w:r>
        <w:t>SGB Limitations &amp; Implications</w:t>
      </w:r>
      <w:bookmarkEnd w:id="137"/>
    </w:p>
    <w:p w14:paraId="39103B4F" w14:textId="77777777" w:rsidR="00C04040" w:rsidRDefault="00C04040" w:rsidP="00842D7D">
      <w:pPr>
        <w:jc w:val="both"/>
      </w:pPr>
    </w:p>
    <w:p w14:paraId="7512D3B6" w14:textId="60C46558" w:rsidR="00194D05" w:rsidRDefault="00194D05" w:rsidP="00842D7D">
      <w:pPr>
        <w:jc w:val="both"/>
      </w:pPr>
      <w:r>
        <w:t>The current requirement for AS9145 is to submit the PPAP at the FAI stage of the project for the customer to approve. This approach to PPAP submittal carries a significant risk</w:t>
      </w:r>
      <w:r w:rsidR="005D3A4E">
        <w:t xml:space="preserve"> since</w:t>
      </w:r>
      <w:r>
        <w:t xml:space="preserve"> the customer could reject the PPAP immediately prior to shipping for a concern they have regarding a deliverable from one of the earlier PPAP phases. If the concern is genuine, then it is too late in the project to address their concern without absorbing additional cost in rework/scrap. There is also the possibility that the customers could use the PPAP to delay a shipment of completed product due to their own internal logistics limitations or the aircraft not being ready to receive the product. </w:t>
      </w:r>
      <w:r w:rsidR="00A25B60">
        <w:t>In either case, the cost of the delay would be absorbed by SGB.</w:t>
      </w:r>
    </w:p>
    <w:p w14:paraId="11EAE7B7" w14:textId="397B44AC" w:rsidR="00604C31" w:rsidRDefault="00604C31" w:rsidP="00842D7D"/>
    <w:p w14:paraId="49065705" w14:textId="6097B5B4" w:rsidR="00D31E7B" w:rsidRDefault="00D31E7B" w:rsidP="00842D7D">
      <w:r>
        <w:t>This dissertation has established the framework for APQP at SGB, however, there are several limitations;</w:t>
      </w:r>
    </w:p>
    <w:p w14:paraId="6BFDC1E4" w14:textId="77777777" w:rsidR="00D31E7B" w:rsidRDefault="00D31E7B" w:rsidP="00842D7D"/>
    <w:p w14:paraId="23FE9F59" w14:textId="78E8845C" w:rsidR="00D9549E" w:rsidRDefault="00D9549E" w:rsidP="007A5DF3">
      <w:pPr>
        <w:pStyle w:val="ListParagraph"/>
        <w:numPr>
          <w:ilvl w:val="0"/>
          <w:numId w:val="18"/>
        </w:numPr>
        <w:jc w:val="both"/>
      </w:pPr>
      <w:r w:rsidRPr="00842D7D">
        <w:t>SGB can’t currently satisfy AS9145 without changing their new product development process to include FAI as a pre-production run or declaring deviations from AS9145 to the customer and obtaining their approval</w:t>
      </w:r>
      <w:r w:rsidR="00BA0C46">
        <w:t>.</w:t>
      </w:r>
    </w:p>
    <w:p w14:paraId="468E8BD0" w14:textId="77777777" w:rsidR="00D9549E" w:rsidRPr="00842D7D" w:rsidRDefault="00D9549E" w:rsidP="00842D7D">
      <w:pPr>
        <w:pStyle w:val="ListParagraph"/>
        <w:jc w:val="both"/>
      </w:pPr>
    </w:p>
    <w:p w14:paraId="7603475C" w14:textId="69EDFF93" w:rsidR="00D9549E" w:rsidRDefault="00D9549E" w:rsidP="007A5DF3">
      <w:pPr>
        <w:pStyle w:val="ListParagraph"/>
        <w:numPr>
          <w:ilvl w:val="0"/>
          <w:numId w:val="18"/>
        </w:numPr>
        <w:jc w:val="both"/>
      </w:pPr>
      <w:r w:rsidRPr="00842D7D">
        <w:t xml:space="preserve">SGB </w:t>
      </w:r>
      <w:r w:rsidR="002D04E0">
        <w:t>is</w:t>
      </w:r>
      <w:r w:rsidR="002D04E0" w:rsidRPr="00842D7D">
        <w:t xml:space="preserve"> </w:t>
      </w:r>
      <w:r w:rsidRPr="00842D7D">
        <w:t>unable to prevent shipping when a PPAP has not been accepted by the customer, weakening the importance of PPAP within the business and removing the customer as the f</w:t>
      </w:r>
      <w:r w:rsidR="00194D05">
        <w:t>inal decision maker on shipping. This can</w:t>
      </w:r>
      <w:r w:rsidRPr="00842D7D">
        <w:t xml:space="preserve"> potentially lead to a higher number of discrepancies raised at the customers ‘Goods In’ inspection at their facility or the rejection of a delivery attempt.</w:t>
      </w:r>
    </w:p>
    <w:p w14:paraId="5A7018E9" w14:textId="77777777" w:rsidR="00D9549E" w:rsidRPr="00842D7D" w:rsidRDefault="00D9549E" w:rsidP="00842D7D">
      <w:pPr>
        <w:pStyle w:val="ListParagraph"/>
        <w:jc w:val="both"/>
      </w:pPr>
    </w:p>
    <w:p w14:paraId="33DFA95C" w14:textId="6A729DB7" w:rsidR="00D9549E" w:rsidRPr="00842D7D" w:rsidRDefault="00D9549E" w:rsidP="007A5DF3">
      <w:pPr>
        <w:pStyle w:val="ListParagraph"/>
        <w:numPr>
          <w:ilvl w:val="0"/>
          <w:numId w:val="18"/>
        </w:numPr>
        <w:jc w:val="both"/>
      </w:pPr>
      <w:r w:rsidRPr="00842D7D">
        <w:t>Without a robust Lessons Learnt methodology to feedback information collected by in</w:t>
      </w:r>
      <w:r w:rsidR="00BA0C46">
        <w:t>-</w:t>
      </w:r>
      <w:r w:rsidRPr="00842D7D">
        <w:t>service issues and customer concerns, SGB will not benefit from introducing known improvements into new projects. This leads to excessive waste in new projects trying to solve issues that have already been addressed</w:t>
      </w:r>
      <w:r w:rsidR="00BA0C46">
        <w:t>.</w:t>
      </w:r>
    </w:p>
    <w:p w14:paraId="114D5D1D" w14:textId="13C056D4" w:rsidR="00604C31" w:rsidRDefault="00604C31" w:rsidP="00842D7D"/>
    <w:p w14:paraId="58B4D699" w14:textId="35686788" w:rsidR="00D31E7B" w:rsidRDefault="00D31E7B" w:rsidP="00D31E7B">
      <w:pPr>
        <w:jc w:val="both"/>
      </w:pPr>
      <w:r>
        <w:lastRenderedPageBreak/>
        <w:t>This dissertation finds that SGB should run APQP in full on business-class contracts and catalogue products, but must either negotiate a streamlined APQP approach, or request an exemption for a production process run for first-class and bespoke products.</w:t>
      </w:r>
    </w:p>
    <w:p w14:paraId="0158A008" w14:textId="2657DBED" w:rsidR="00194D05" w:rsidRDefault="00194D05" w:rsidP="00D31E7B">
      <w:pPr>
        <w:jc w:val="both"/>
      </w:pPr>
    </w:p>
    <w:p w14:paraId="139CD69C" w14:textId="6B8AF74C" w:rsidR="00194D05" w:rsidRDefault="00194D05" w:rsidP="00D31E7B">
      <w:pPr>
        <w:jc w:val="both"/>
      </w:pPr>
      <w:r>
        <w:t>SGB need</w:t>
      </w:r>
      <w:r w:rsidR="00531527">
        <w:t>s</w:t>
      </w:r>
      <w:r>
        <w:t xml:space="preserve"> to review their shipping processes to promote PPAP </w:t>
      </w:r>
      <w:r w:rsidR="004A5104">
        <w:t>internal adoption</w:t>
      </w:r>
      <w:r>
        <w:t xml:space="preserve">. </w:t>
      </w:r>
      <w:r w:rsidR="00F95393">
        <w:t>Elevating the PPAP n</w:t>
      </w:r>
      <w:r>
        <w:t xml:space="preserve">ot only </w:t>
      </w:r>
      <w:r w:rsidR="004E6C38">
        <w:t xml:space="preserve">would </w:t>
      </w:r>
      <w:r>
        <w:t xml:space="preserve">prevent the customer from rejecting the final product, </w:t>
      </w:r>
      <w:r w:rsidR="00AE5B9E">
        <w:t>but</w:t>
      </w:r>
      <w:r>
        <w:t xml:space="preserve"> also </w:t>
      </w:r>
      <w:r w:rsidR="004E6C38">
        <w:t xml:space="preserve">would </w:t>
      </w:r>
      <w:r>
        <w:t xml:space="preserve">demonstrate to the project teams the importance of the activities undertaken to comply with APQP requirements. </w:t>
      </w:r>
      <w:r w:rsidR="009C6284">
        <w:t xml:space="preserve">For example, it could contribute to enhance project managers’ support of APQP activities with sufficient resources and to achieve a higher engagement from the project teams. </w:t>
      </w:r>
      <w:r w:rsidR="00A25B60">
        <w:t xml:space="preserve">To protect the business from issues </w:t>
      </w:r>
      <w:r w:rsidR="00A617BC">
        <w:t xml:space="preserve">due to </w:t>
      </w:r>
      <w:r w:rsidR="00A25B60">
        <w:t xml:space="preserve">the PPAP being identified at the FAI submittal, SGB should adopt a ‘phase approval’ approach to customer PPAP approval. This requires SGB to submit the PPAP to the customer for them to formally approve at the completion of each phase. When the PPAP is submitted for the final time, the customer is essentially only approving the final phase of the PPAP, rather than the entire PPAP, speeding up the final approval process and preventing </w:t>
      </w:r>
      <w:r w:rsidR="00167DAB">
        <w:t>issues</w:t>
      </w:r>
      <w:r w:rsidR="00577E1C">
        <w:t xml:space="preserve"> from earlier phases to</w:t>
      </w:r>
      <w:r w:rsidR="00A25B60">
        <w:t xml:space="preserve"> block shipping.</w:t>
      </w:r>
    </w:p>
    <w:p w14:paraId="5F670BE3" w14:textId="77777777" w:rsidR="00D31E7B" w:rsidRDefault="00D31E7B" w:rsidP="00D9549E">
      <w:pPr>
        <w:jc w:val="both"/>
      </w:pPr>
    </w:p>
    <w:p w14:paraId="70B14676" w14:textId="4D3E1213" w:rsidR="00D9549E" w:rsidRDefault="00D9549E" w:rsidP="00D9549E">
      <w:pPr>
        <w:jc w:val="both"/>
      </w:pPr>
      <w:r>
        <w:t xml:space="preserve">Without support from SGB to implement changes to their shipping process and the allocation of the resources to change processes to align with AS9145 requirements, SGB </w:t>
      </w:r>
      <w:r w:rsidR="00573EF9">
        <w:t xml:space="preserve">is </w:t>
      </w:r>
      <w:r>
        <w:t>only currently capable of providing a project with 26% compliance to the standard. Implementing the framework will require significant resource; however, this is only priming the business for an APQP project. To ensure that the framework is implemented successfully on each new development project, SGB must take a commitment to support activities with a full cross-functional team where one is required. Without this support</w:t>
      </w:r>
      <w:r w:rsidR="001A6DA4">
        <w:t>,</w:t>
      </w:r>
      <w:r>
        <w:t xml:space="preserve"> SGB will not gain from the experience of the team members in risk identification activities, increasing the likelihood of escapes to the customer. SGB must therefore push for APQP on a risk-based module selection approach to find a balance between development costs and the risk of escapes. </w:t>
      </w:r>
    </w:p>
    <w:p w14:paraId="1D836FAB" w14:textId="27049E07" w:rsidR="00604C31" w:rsidRPr="00842D7D" w:rsidRDefault="00604C31" w:rsidP="00842D7D"/>
    <w:p w14:paraId="24BBAD00" w14:textId="28054448" w:rsidR="00604C31" w:rsidRPr="00604C31" w:rsidRDefault="00604C31" w:rsidP="007A5DF3">
      <w:pPr>
        <w:pStyle w:val="Heading2"/>
        <w:numPr>
          <w:ilvl w:val="1"/>
          <w:numId w:val="6"/>
        </w:numPr>
      </w:pPr>
      <w:bookmarkStart w:id="138" w:name="_Toc137807623"/>
      <w:r>
        <w:t>General Project Management</w:t>
      </w:r>
      <w:bookmarkEnd w:id="138"/>
    </w:p>
    <w:p w14:paraId="6841AB32" w14:textId="4F8F7707" w:rsidR="00604C31" w:rsidRDefault="00604C31" w:rsidP="00842D7D"/>
    <w:p w14:paraId="4DD637DC" w14:textId="0D18AE01" w:rsidR="00EB325E" w:rsidRDefault="00EB325E" w:rsidP="00842D7D">
      <w:r>
        <w:t>Although this dissertation is based on APQP rollout at SGB in accordance with the AS9145 standard, conclusions around the general concept of managing a project were identified. These included:</w:t>
      </w:r>
    </w:p>
    <w:p w14:paraId="1F3DDC9C" w14:textId="77777777" w:rsidR="00EB325E" w:rsidRDefault="00EB325E" w:rsidP="00842D7D"/>
    <w:p w14:paraId="3BFB5ABD" w14:textId="0CEE71FD" w:rsidR="00A4116E" w:rsidRDefault="00A4116E" w:rsidP="007A5DF3">
      <w:pPr>
        <w:pStyle w:val="ListParagraph"/>
        <w:numPr>
          <w:ilvl w:val="0"/>
          <w:numId w:val="18"/>
        </w:numPr>
        <w:jc w:val="both"/>
      </w:pPr>
      <w:r w:rsidRPr="00842D7D">
        <w:t xml:space="preserve">Projects gain more support the more </w:t>
      </w:r>
      <w:r w:rsidR="003C12FB">
        <w:t>automated</w:t>
      </w:r>
      <w:r w:rsidRPr="00842D7D">
        <w:t xml:space="preserve"> the </w:t>
      </w:r>
      <w:r w:rsidR="003C12FB">
        <w:t>data collection and analysis is</w:t>
      </w:r>
      <w:r w:rsidRPr="00842D7D">
        <w:t xml:space="preserve">. By understanding the required outputs, designing the inputs to be able to answer the output requirements and </w:t>
      </w:r>
      <w:r w:rsidRPr="00842D7D">
        <w:lastRenderedPageBreak/>
        <w:t xml:space="preserve">automating the transformation of data from input to output, there is less time spend collating and </w:t>
      </w:r>
      <w:r w:rsidR="003C12FB">
        <w:t>plotting</w:t>
      </w:r>
      <w:r w:rsidR="003C12FB" w:rsidRPr="00842D7D">
        <w:t xml:space="preserve"> </w:t>
      </w:r>
      <w:r w:rsidRPr="00842D7D">
        <w:t>the data than carrying out the associated activities</w:t>
      </w:r>
      <w:r w:rsidR="00EB325E">
        <w:t>.</w:t>
      </w:r>
    </w:p>
    <w:p w14:paraId="0D9E50FB" w14:textId="77777777" w:rsidR="00EB325E" w:rsidRPr="00842D7D" w:rsidRDefault="00EB325E" w:rsidP="00842D7D">
      <w:pPr>
        <w:pStyle w:val="ListParagraph"/>
        <w:jc w:val="both"/>
      </w:pPr>
    </w:p>
    <w:p w14:paraId="73240E16" w14:textId="07E679A0" w:rsidR="00EB325E" w:rsidRDefault="00A4116E" w:rsidP="007A5DF3">
      <w:pPr>
        <w:pStyle w:val="ListParagraph"/>
        <w:numPr>
          <w:ilvl w:val="0"/>
          <w:numId w:val="18"/>
        </w:numPr>
        <w:jc w:val="both"/>
      </w:pPr>
      <w:r w:rsidRPr="00842D7D">
        <w:t>Projects require strong leadership support to succeed</w:t>
      </w:r>
      <w:r w:rsidR="00D10536">
        <w:t>. This involves both having</w:t>
      </w:r>
      <w:r w:rsidRPr="00842D7D">
        <w:t xml:space="preserve"> a sponsor </w:t>
      </w:r>
      <w:r w:rsidR="00D10536">
        <w:t>that</w:t>
      </w:r>
      <w:r w:rsidRPr="00842D7D">
        <w:t xml:space="preserve"> ensure</w:t>
      </w:r>
      <w:r w:rsidR="00D10536">
        <w:t>s</w:t>
      </w:r>
      <w:r w:rsidRPr="00842D7D">
        <w:t xml:space="preserve"> a consistent direction for the project</w:t>
      </w:r>
      <w:r w:rsidR="00D10536">
        <w:t xml:space="preserve"> and engaging with</w:t>
      </w:r>
      <w:r w:rsidRPr="00842D7D">
        <w:t xml:space="preserve"> key stakeholders to allocate resource and support business changes</w:t>
      </w:r>
      <w:r w:rsidR="00EB325E">
        <w:t xml:space="preserve">. Without the </w:t>
      </w:r>
      <w:r w:rsidR="008A132E">
        <w:t xml:space="preserve">involvement </w:t>
      </w:r>
      <w:r w:rsidR="00EB325E">
        <w:t xml:space="preserve">of a sponsor, it can be difficult to gain traction for project </w:t>
      </w:r>
      <w:r w:rsidR="00AC7A91">
        <w:t>activities,</w:t>
      </w:r>
      <w:r w:rsidR="00EB325E">
        <w:t xml:space="preserve"> as there is </w:t>
      </w:r>
      <w:r w:rsidR="00AC7A91">
        <w:t>no one</w:t>
      </w:r>
      <w:r w:rsidR="00EB325E">
        <w:t xml:space="preserve"> push</w:t>
      </w:r>
      <w:r w:rsidR="00F25779">
        <w:t>ing</w:t>
      </w:r>
      <w:r w:rsidR="00EB325E">
        <w:t xml:space="preserve"> </w:t>
      </w:r>
      <w:r w:rsidR="00F25779">
        <w:t xml:space="preserve">to support </w:t>
      </w:r>
      <w:r w:rsidR="00EB325E">
        <w:t>the project at the senior management level. Changing sponsors halfway through a project, although sometimes unavoidable, is not preferred as a new sponsor may have new ideas in the way they want the project implemented or request changes in the aims and goals that the previous sponsor set as project targets.</w:t>
      </w:r>
      <w:r w:rsidR="00C04040">
        <w:t xml:space="preserve"> In the case of this dissertation, the entire scope of the project was affected by the change of sponsors. The implementation plan is being reviewed by the new senior management team to determine the way the business wants to continue with the project.</w:t>
      </w:r>
    </w:p>
    <w:p w14:paraId="46F879A2" w14:textId="77777777" w:rsidR="00EB325E" w:rsidRPr="00842D7D" w:rsidRDefault="00EB325E" w:rsidP="00842D7D">
      <w:pPr>
        <w:pStyle w:val="ListParagraph"/>
        <w:jc w:val="both"/>
      </w:pPr>
    </w:p>
    <w:p w14:paraId="64F2CB79" w14:textId="21E64793" w:rsidR="00A4116E" w:rsidRPr="00842D7D" w:rsidRDefault="00A4116E" w:rsidP="007A5DF3">
      <w:pPr>
        <w:pStyle w:val="ListParagraph"/>
        <w:numPr>
          <w:ilvl w:val="0"/>
          <w:numId w:val="18"/>
        </w:numPr>
        <w:jc w:val="both"/>
      </w:pPr>
      <w:r w:rsidRPr="00842D7D">
        <w:t xml:space="preserve">Understanding the roles and responsibilities for a project and allocating tasks accordingly can help </w:t>
      </w:r>
      <w:r w:rsidR="00FA4C87">
        <w:t xml:space="preserve">to </w:t>
      </w:r>
      <w:r w:rsidRPr="00842D7D">
        <w:t>drive ownership of tasks within a project. It allows the project owner to deliver and monitor the project from a system</w:t>
      </w:r>
      <w:r w:rsidR="009F6096">
        <w:t>’</w:t>
      </w:r>
      <w:r w:rsidRPr="00842D7D">
        <w:t>s perspective, whilst allowing the subject matter experts to develop the changes to their process to meet the overall project requirements</w:t>
      </w:r>
      <w:r w:rsidR="00EB325E">
        <w:t>.</w:t>
      </w:r>
    </w:p>
    <w:p w14:paraId="3A3DD136" w14:textId="77777777" w:rsidR="00A4116E" w:rsidRDefault="00A4116E" w:rsidP="00AD209D"/>
    <w:p w14:paraId="505E7B73" w14:textId="77777777" w:rsidR="00A4116E" w:rsidRDefault="00A4116E" w:rsidP="00AD209D"/>
    <w:p w14:paraId="76AEDA7D" w14:textId="77777777" w:rsidR="00AD209D" w:rsidRDefault="00AD209D">
      <w:r>
        <w:br w:type="page"/>
      </w:r>
    </w:p>
    <w:p w14:paraId="2D00ED17" w14:textId="4C669045" w:rsidR="00AD209D" w:rsidRDefault="00AD209D" w:rsidP="007A5DF3">
      <w:pPr>
        <w:pStyle w:val="Heading1"/>
        <w:numPr>
          <w:ilvl w:val="0"/>
          <w:numId w:val="6"/>
        </w:numPr>
      </w:pPr>
      <w:bookmarkStart w:id="139" w:name="_Toc137807624"/>
      <w:r>
        <w:lastRenderedPageBreak/>
        <w:t>Recommended further work</w:t>
      </w:r>
      <w:bookmarkEnd w:id="139"/>
    </w:p>
    <w:p w14:paraId="1794529D" w14:textId="1F016C56" w:rsidR="00AD209D" w:rsidRDefault="00AD209D" w:rsidP="00AD209D"/>
    <w:p w14:paraId="14A5E17B" w14:textId="700179DD" w:rsidR="003D3462" w:rsidRDefault="003D3462" w:rsidP="00842D7D">
      <w:pPr>
        <w:jc w:val="both"/>
      </w:pPr>
      <w:r>
        <w:t>Based on this dissertation, there are further projects and bodies of work that could help to improve the implementation of APQP at SGB. These include:</w:t>
      </w:r>
    </w:p>
    <w:p w14:paraId="03ACF692" w14:textId="6FB05B0D" w:rsidR="003D3462" w:rsidRDefault="003D3462" w:rsidP="00842D7D">
      <w:pPr>
        <w:jc w:val="both"/>
      </w:pPr>
    </w:p>
    <w:p w14:paraId="5BA1EE38" w14:textId="31B875CF" w:rsidR="003D3462" w:rsidRDefault="003D3462" w:rsidP="007A5DF3">
      <w:pPr>
        <w:pStyle w:val="ListParagraph"/>
        <w:numPr>
          <w:ilvl w:val="0"/>
          <w:numId w:val="17"/>
        </w:numPr>
        <w:jc w:val="both"/>
      </w:pPr>
      <w:r w:rsidRPr="00842D7D">
        <w:rPr>
          <w:b/>
        </w:rPr>
        <w:t>Supply Chain APQP</w:t>
      </w:r>
      <w:r>
        <w:t xml:space="preserve"> - carrying out a separate project to manage APQP in the supply chain. This dissertation is based around the internal manufacture of a product, from the initial concept to the</w:t>
      </w:r>
      <w:r w:rsidR="00B05647">
        <w:t xml:space="preserve"> completion of the</w:t>
      </w:r>
      <w:r>
        <w:t xml:space="preserve"> last product in the order. Although the dissertation project is required for SGB to understand the APQP requirements, SGB designs will incorporate a number of supplied parts within the final product. To be truly APQP compliant, the PPAP must include the elements of the design that a supplier is ultimately responsible for within their work package. Their APQP progression would have to be monitored, assessed and aligned by SGB to the</w:t>
      </w:r>
      <w:r w:rsidR="00B05647">
        <w:t xml:space="preserve"> master</w:t>
      </w:r>
      <w:r>
        <w:t xml:space="preserve"> program schedule</w:t>
      </w:r>
      <w:r w:rsidR="000E7975">
        <w:t xml:space="preserve"> </w:t>
      </w:r>
      <w:r w:rsidR="000E7975">
        <w:fldChar w:fldCharType="begin" w:fldLock="1"/>
      </w:r>
      <w:r w:rsidR="000E7975">
        <w:instrText>ADDIN CSL_CITATION {"citationItems":[{"id":"ITEM-1","itemData":{"DOI":"10.1177/0971890720050209","ISSN":"0971-8907","abstract":"Waves of liberalization are sweeping all over the world breaking political barriers, integrating world capital and financial markets, opening up international trade and freeing import of technology or raw materials from licenses. New challenges and opportunities have been thrown up. The new economic scenario has also brought in risks of increased competition.","author":[{"dropping-particle":"","family":"Khanna","given":"V.K.","non-dropping-particle":"","parse-names":false,"suffix":""}],"container-title":"Paradigm","id":"ITEM-1","issue":"2","issued":{"date-parts":[["2005","7","1"]]},"page":"86-95","title":"Role of APQP and PPAP in Supply Chain Management","type":"article-journal","volume":"9"},"uris":["http://www.mendeley.com/documents/?uuid=ea6a6091-f727-4281-9ae2-37dfbce935dd"]}],"mendeley":{"formattedCitation":"(Khanna, 2005)","plainTextFormattedCitation":"(Khanna, 2005)"},"properties":{"noteIndex":0},"schema":"https://github.com/citation-style-language/schema/raw/master/csl-citation.json"}</w:instrText>
      </w:r>
      <w:r w:rsidR="000E7975">
        <w:fldChar w:fldCharType="separate"/>
      </w:r>
      <w:r w:rsidR="000E7975" w:rsidRPr="000E7975">
        <w:rPr>
          <w:noProof/>
        </w:rPr>
        <w:t>(Khanna, 2005)</w:t>
      </w:r>
      <w:r w:rsidR="000E7975">
        <w:fldChar w:fldCharType="end"/>
      </w:r>
      <w:r w:rsidR="00255C15">
        <w:t>.</w:t>
      </w:r>
    </w:p>
    <w:p w14:paraId="600A2936" w14:textId="77777777" w:rsidR="0096093E" w:rsidRDefault="0096093E" w:rsidP="00842D7D">
      <w:pPr>
        <w:pStyle w:val="ListParagraph"/>
        <w:jc w:val="both"/>
      </w:pPr>
    </w:p>
    <w:p w14:paraId="5885385B" w14:textId="7D8E3FFE" w:rsidR="0096093E" w:rsidRDefault="0096093E" w:rsidP="007A5DF3">
      <w:pPr>
        <w:pStyle w:val="ListParagraph"/>
        <w:numPr>
          <w:ilvl w:val="0"/>
          <w:numId w:val="17"/>
        </w:numPr>
        <w:jc w:val="both"/>
      </w:pPr>
      <w:r w:rsidRPr="00842D7D">
        <w:rPr>
          <w:b/>
        </w:rPr>
        <w:t>APQP Portal</w:t>
      </w:r>
      <w:r>
        <w:t xml:space="preserve"> – the primary tool developed for APQP monitoring and reporting created during this dissertation is Excel based. Although this is acceptable for proof-of-concept purposes, an Excel based tool can be limiting. For example, it relies upon everyone who needs access to be able to find and update the file, disconnects the audit checklist from the deliverable and relies on formal notification to be sent out to the quality department that a deliverable is ready to review. To further enhance the process, an APQP portal could be created to provide a central hub for all APQP activities, the formal logging of each deliverable, and provide real-time feedback and assigning actions based on the audit checklist findings.</w:t>
      </w:r>
    </w:p>
    <w:p w14:paraId="0DBF327B" w14:textId="77777777" w:rsidR="0096093E" w:rsidRDefault="0096093E" w:rsidP="00842D7D">
      <w:pPr>
        <w:pStyle w:val="ListParagraph"/>
      </w:pPr>
    </w:p>
    <w:p w14:paraId="5539DF78" w14:textId="283277AA" w:rsidR="0096093E" w:rsidRDefault="00DB293C" w:rsidP="007A5DF3">
      <w:pPr>
        <w:pStyle w:val="ListParagraph"/>
        <w:numPr>
          <w:ilvl w:val="0"/>
          <w:numId w:val="17"/>
        </w:numPr>
        <w:jc w:val="both"/>
      </w:pPr>
      <w:r w:rsidRPr="00842D7D">
        <w:rPr>
          <w:b/>
        </w:rPr>
        <w:t>Lessons Learnt process</w:t>
      </w:r>
      <w:r>
        <w:t xml:space="preserve"> – APQP has a strong focus on capturing any escaped issues and passing the information for the issue experienced, with the associated fix, to the design team for future consideration in subs</w:t>
      </w:r>
      <w:r w:rsidR="00A8029F">
        <w:t>equent new product developments</w:t>
      </w:r>
      <w:r w:rsidR="00F646D6">
        <w:t xml:space="preserve"> </w:t>
      </w:r>
      <w:r w:rsidR="00F646D6">
        <w:fldChar w:fldCharType="begin" w:fldLock="1"/>
      </w:r>
      <w:r w:rsidR="000E7975">
        <w:instrText>ADDIN CSL_CITATION {"citationItems":[{"id":"ITEM-1","itemData":{"DOI":"10.22618/TP.LIB.BRMS2021","ISBN":"978-615-6405-23-4","author":[{"dropping-particle":"","family":"Țîțu","given":"Aurel Mihail","non-dropping-particle":"","parse-names":false,"suffix":""},{"dropping-particle":"","family":"Pop","given":"Gheorghe Ioan","non-dropping-particle":"","parse-names":false,"suffix":""}],"id":"ITEM-1","issued":{"date-parts":[["2021"]]},"number-of-pages":"2021","title":"Advanced Product Quality Planning Management in a Knowledge-Based Organization","type":"book","volume":"3"},"uris":["http://www.mendeley.com/documents/?uuid=2042fca8-1495-4a02-acd8-ba55d6acb5a8"]}],"mendeley":{"formattedCitation":"(Țîțu and Pop, 2021)","plainTextFormattedCitation":"(Țîțu and Pop, 2021)","previouslyFormattedCitation":"(Țîțu and Pop, 2021)"},"properties":{"noteIndex":0},"schema":"https://github.com/citation-style-language/schema/raw/master/csl-citation.json"}</w:instrText>
      </w:r>
      <w:r w:rsidR="00F646D6">
        <w:fldChar w:fldCharType="separate"/>
      </w:r>
      <w:r w:rsidR="00F646D6" w:rsidRPr="00F646D6">
        <w:rPr>
          <w:noProof/>
        </w:rPr>
        <w:t>(Țîțu and Pop, 2021)</w:t>
      </w:r>
      <w:r w:rsidR="00F646D6">
        <w:fldChar w:fldCharType="end"/>
      </w:r>
      <w:r w:rsidR="00255C15">
        <w:t xml:space="preserve">. </w:t>
      </w:r>
      <w:r>
        <w:t>Currently SGB d</w:t>
      </w:r>
      <w:r w:rsidR="00F87E0D">
        <w:t>oes</w:t>
      </w:r>
      <w:r>
        <w:t xml:space="preserve"> no</w:t>
      </w:r>
      <w:r w:rsidR="00F87E0D">
        <w:t>t</w:t>
      </w:r>
      <w:r>
        <w:t xml:space="preserve"> have a quality representative within the Aftermarket team who resolve</w:t>
      </w:r>
      <w:r w:rsidR="00FC07B4">
        <w:t>s</w:t>
      </w:r>
      <w:r>
        <w:t xml:space="preserve"> these issues. For SGB to</w:t>
      </w:r>
      <w:r w:rsidR="00D4576F">
        <w:t xml:space="preserve"> fully</w:t>
      </w:r>
      <w:r>
        <w:t xml:space="preserve"> benefit from APQP, further involvement in this area of the business from quality would be appropriate. Once the quality interface has been established, a process should be written to maximise the lessons learnt experience of the Aftermarket team.</w:t>
      </w:r>
    </w:p>
    <w:p w14:paraId="0FC6EB25" w14:textId="77777777" w:rsidR="00DB293C" w:rsidRDefault="00DB293C" w:rsidP="00842D7D">
      <w:pPr>
        <w:pStyle w:val="ListParagraph"/>
      </w:pPr>
    </w:p>
    <w:p w14:paraId="66117527" w14:textId="16C9F0E9" w:rsidR="00DB293C" w:rsidRDefault="00DB293C" w:rsidP="007A5DF3">
      <w:pPr>
        <w:pStyle w:val="ListParagraph"/>
        <w:numPr>
          <w:ilvl w:val="0"/>
          <w:numId w:val="17"/>
        </w:numPr>
        <w:jc w:val="both"/>
      </w:pPr>
      <w:r w:rsidRPr="00842D7D">
        <w:rPr>
          <w:b/>
        </w:rPr>
        <w:t>Shipping process update</w:t>
      </w:r>
      <w:r>
        <w:t xml:space="preserve"> – although the shipping process at SGB requires the completion of the FAI reports, it currently does not require the completed, signed and approved </w:t>
      </w:r>
      <w:r w:rsidR="002A1EBA">
        <w:t>PPAP. As a requirement of AS9145, this is a mandatory condition for shipping</w:t>
      </w:r>
      <w:r w:rsidR="00A8029F">
        <w:t xml:space="preserve"> </w:t>
      </w:r>
      <w:r w:rsidR="00FF1DF4">
        <w:fldChar w:fldCharType="begin" w:fldLock="1"/>
      </w:r>
      <w:r w:rsidR="00F646D6">
        <w:instrText>ADDIN CSL_CITATION {"citationItems":[{"id":"ITEM-1","itemData":{"author":[{"dropping-particle":"","family":"SAE International","given":"","non-dropping-particle":"","parse-names":false,"suffix":""}],"id":"ITEM-1","issued":{"date-parts":[["2016"]]},"title":"Aerospace Standard AS9145","type":"article"},"uris":["http://www.mendeley.com/documents/?uuid=df5ffcd1-eb52-4a2b-a28a-fea2d782ca5c"]}],"mendeley":{"formattedCitation":"(SAE International, 2016)","plainTextFormattedCitation":"(SAE International, 2016)","previouslyFormattedCitation":"(SAE International, 2016)"},"properties":{"noteIndex":0},"schema":"https://github.com/citation-style-language/schema/raw/master/csl-citation.json"}</w:instrText>
      </w:r>
      <w:r w:rsidR="00FF1DF4">
        <w:fldChar w:fldCharType="separate"/>
      </w:r>
      <w:r w:rsidR="00FF1DF4" w:rsidRPr="00FF1DF4">
        <w:rPr>
          <w:noProof/>
        </w:rPr>
        <w:t>(SAE International, 2016)</w:t>
      </w:r>
      <w:r w:rsidR="00FF1DF4">
        <w:fldChar w:fldCharType="end"/>
      </w:r>
      <w:r w:rsidR="00255C15">
        <w:t>.</w:t>
      </w:r>
      <w:r w:rsidR="00FF1DF4">
        <w:t xml:space="preserve"> </w:t>
      </w:r>
      <w:r w:rsidR="002A1EBA">
        <w:t xml:space="preserve">Without an acceptance from SGB that the shipping process must change, there is the potential situation that the customer could reject the shipment. Doing so would mean that SGB would incur additional cost and </w:t>
      </w:r>
      <w:r w:rsidR="002A1EBA">
        <w:lastRenderedPageBreak/>
        <w:t>delay in delivering the product to the customer, as well as being liable for any damage caused during shipping if the customer ha</w:t>
      </w:r>
      <w:r w:rsidR="003F5716">
        <w:t>s</w:t>
      </w:r>
      <w:r w:rsidR="002A1EBA">
        <w:t>n’t approved the shipping and handling specification.</w:t>
      </w:r>
    </w:p>
    <w:p w14:paraId="58A113F3" w14:textId="77777777" w:rsidR="002A1EBA" w:rsidRDefault="002A1EBA" w:rsidP="00842D7D">
      <w:pPr>
        <w:pStyle w:val="ListParagraph"/>
      </w:pPr>
    </w:p>
    <w:p w14:paraId="5409F5BF" w14:textId="6C369C6E" w:rsidR="002A1EBA" w:rsidRDefault="002A1EBA" w:rsidP="007A5DF3">
      <w:pPr>
        <w:pStyle w:val="ListParagraph"/>
        <w:numPr>
          <w:ilvl w:val="0"/>
          <w:numId w:val="17"/>
        </w:numPr>
        <w:jc w:val="both"/>
      </w:pPr>
      <w:r w:rsidRPr="00842D7D">
        <w:rPr>
          <w:b/>
        </w:rPr>
        <w:t>Production process run</w:t>
      </w:r>
      <w:r>
        <w:t xml:space="preserve"> – SGB do</w:t>
      </w:r>
      <w:r w:rsidR="00B33EE1">
        <w:t>es</w:t>
      </w:r>
      <w:r>
        <w:t xml:space="preserve"> not currently carry out a production process run on new product developme</w:t>
      </w:r>
      <w:r w:rsidR="00E61EC3">
        <w:t>nt projects due to the low quantity of orders per project. Although some business-class and catalogue projects would be able to accommodate a production process run, first-class projects are currently unfeasible. The low numbers also have an impact on SGB</w:t>
      </w:r>
      <w:r w:rsidR="00B33EE1">
        <w:t>’</w:t>
      </w:r>
      <w:r w:rsidR="00E61EC3">
        <w:t>s ability to run SPC on these projects. Therefore, SGB is currently non-conforming to AS9145</w:t>
      </w:r>
      <w:r w:rsidR="00255C15">
        <w:t>.</w:t>
      </w:r>
      <w:r w:rsidR="00A8029F">
        <w:t xml:space="preserve"> </w:t>
      </w:r>
      <w:r w:rsidR="00E61EC3">
        <w:t>To address this, SGB could either declare the deviation to the customer at the initial contract phase or develop an agreement of an acceptable threshold for the production process run with the customer.</w:t>
      </w:r>
    </w:p>
    <w:p w14:paraId="6FFC7959" w14:textId="77777777" w:rsidR="00147D01" w:rsidRDefault="00147D01" w:rsidP="00842D7D">
      <w:pPr>
        <w:pStyle w:val="ListParagraph"/>
      </w:pPr>
    </w:p>
    <w:p w14:paraId="7C8E8B07" w14:textId="42B0E35E" w:rsidR="00147D01" w:rsidRDefault="00147D01" w:rsidP="007A5DF3">
      <w:pPr>
        <w:pStyle w:val="ListParagraph"/>
        <w:numPr>
          <w:ilvl w:val="0"/>
          <w:numId w:val="17"/>
        </w:numPr>
        <w:jc w:val="both"/>
      </w:pPr>
      <w:r w:rsidRPr="00842D7D">
        <w:rPr>
          <w:b/>
        </w:rPr>
        <w:t>PPAP submittal</w:t>
      </w:r>
      <w:r>
        <w:t xml:space="preserve"> – this dissertation has focussed on the introduction of a framework for APQP, with the aim of developing the processes and deliverables for a PPAP pack. To ensure that SGB </w:t>
      </w:r>
      <w:r w:rsidR="00D11EDD">
        <w:t xml:space="preserve">is </w:t>
      </w:r>
      <w:r>
        <w:t>capable to manage the re-submittal of the PPAP for any engineering changes to the completed product</w:t>
      </w:r>
      <w:r w:rsidR="00864C18">
        <w:t>, the FAI process would have to change so that any FAI flag for a part number would trigger a review of the PPAP to determine whether a re-submittal is required or not. The ‘Enterprise Resource Planning’ software BaaN</w:t>
      </w:r>
      <w:r w:rsidR="00AF72D7">
        <w:t xml:space="preserve"> </w:t>
      </w:r>
      <w:r w:rsidR="005A0804">
        <w:t>a</w:t>
      </w:r>
      <w:r w:rsidR="00864C18">
        <w:t xml:space="preserve">pplies FAI flags automatically for any changes, or if the part </w:t>
      </w:r>
      <w:r w:rsidR="006373C4">
        <w:t>has not</w:t>
      </w:r>
      <w:r w:rsidR="00864C18">
        <w:t xml:space="preserve"> been manufactured for at least two years. If there were no design changes in the </w:t>
      </w:r>
      <w:r w:rsidR="006373C4">
        <w:t>two-year</w:t>
      </w:r>
      <w:r w:rsidR="00864C18">
        <w:t xml:space="preserve"> break, then a PPAP resubmittal would not be </w:t>
      </w:r>
      <w:r w:rsidR="006373C4">
        <w:t>required,</w:t>
      </w:r>
      <w:r w:rsidR="00864C18">
        <w:t xml:space="preserve"> as the engineering definition of the part being made </w:t>
      </w:r>
      <w:r w:rsidR="006373C4">
        <w:t>has not</w:t>
      </w:r>
      <w:r w:rsidR="00864C18">
        <w:t xml:space="preserve"> changed. As such, the original PPAP is still valid as there are no additional risks to the product.</w:t>
      </w:r>
    </w:p>
    <w:p w14:paraId="5174A060" w14:textId="13CEBA6A" w:rsidR="003D3462" w:rsidRDefault="00E10E20" w:rsidP="00AD209D">
      <w:r>
        <w:br w:type="page"/>
      </w:r>
    </w:p>
    <w:p w14:paraId="1A241204" w14:textId="77777777" w:rsidR="00AD209D" w:rsidRDefault="00AD209D" w:rsidP="007A5DF3">
      <w:pPr>
        <w:pStyle w:val="Heading1"/>
        <w:numPr>
          <w:ilvl w:val="0"/>
          <w:numId w:val="6"/>
        </w:numPr>
      </w:pPr>
      <w:bookmarkStart w:id="140" w:name="_Toc137807625"/>
      <w:r>
        <w:lastRenderedPageBreak/>
        <w:t>References</w:t>
      </w:r>
      <w:bookmarkEnd w:id="140"/>
    </w:p>
    <w:p w14:paraId="7423582B" w14:textId="3CAFC2A8" w:rsidR="000E7975" w:rsidRPr="000E7975" w:rsidRDefault="00042CAB" w:rsidP="000E7975">
      <w:pPr>
        <w:widowControl w:val="0"/>
        <w:autoSpaceDE w:val="0"/>
        <w:autoSpaceDN w:val="0"/>
        <w:adjustRightInd w:val="0"/>
        <w:rPr>
          <w:rFonts w:cs="Arial"/>
          <w:noProof/>
          <w:szCs w:val="24"/>
        </w:rPr>
      </w:pPr>
      <w:r>
        <w:fldChar w:fldCharType="begin" w:fldLock="1"/>
      </w:r>
      <w:r>
        <w:instrText xml:space="preserve">ADDIN Mendeley Bibliography CSL_BIBLIOGRAPHY </w:instrText>
      </w:r>
      <w:r>
        <w:fldChar w:fldCharType="separate"/>
      </w:r>
      <w:r w:rsidR="000E7975" w:rsidRPr="000E7975">
        <w:rPr>
          <w:rFonts w:cs="Arial"/>
          <w:noProof/>
          <w:szCs w:val="24"/>
        </w:rPr>
        <w:t xml:space="preserve">Carlson, C.S. (2014) ‘Understanding and Applying the Fundamentals of FMEAs’, </w:t>
      </w:r>
      <w:r w:rsidR="000E7975" w:rsidRPr="000E7975">
        <w:rPr>
          <w:rFonts w:cs="Arial"/>
          <w:i/>
          <w:iCs/>
          <w:noProof/>
          <w:szCs w:val="24"/>
        </w:rPr>
        <w:t>2014 Annual Reliability and Maintainability Symposium (RAMS)</w:t>
      </w:r>
      <w:r w:rsidR="000E7975" w:rsidRPr="000E7975">
        <w:rPr>
          <w:rFonts w:cs="Arial"/>
          <w:noProof/>
          <w:szCs w:val="24"/>
        </w:rPr>
        <w:t>, p. 12.</w:t>
      </w:r>
    </w:p>
    <w:p w14:paraId="0AFA4DA7"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Chiliban, B., Baral, L.M. and Kifor, C. (2014) ‘Knowledge Management Platform in Advanced Product Quality Planning’, </w:t>
      </w:r>
      <w:r w:rsidRPr="000E7975">
        <w:rPr>
          <w:rFonts w:cs="Arial"/>
          <w:i/>
          <w:iCs/>
          <w:noProof/>
          <w:szCs w:val="24"/>
        </w:rPr>
        <w:t>ACTA Universitatis Cibiniensis</w:t>
      </w:r>
      <w:r w:rsidRPr="000E7975">
        <w:rPr>
          <w:rFonts w:cs="Arial"/>
          <w:noProof/>
          <w:szCs w:val="24"/>
        </w:rPr>
        <w:t>, 65(1), pp. 20–25. Available at: https://doi.org/10.1515/aucts-2015-0004.</w:t>
      </w:r>
    </w:p>
    <w:p w14:paraId="3F81C607"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Grijalvo, M. and Sanz-Samalea, B. (2021) ‘Exploring EN 9100: current key results and future opportunities–a study in the Spanish aerospace industry’, </w:t>
      </w:r>
      <w:r w:rsidRPr="000E7975">
        <w:rPr>
          <w:rFonts w:cs="Arial"/>
          <w:i/>
          <w:iCs/>
          <w:noProof/>
          <w:szCs w:val="24"/>
        </w:rPr>
        <w:t xml:space="preserve">Economic Research-Ekonomska Istrazivanja </w:t>
      </w:r>
      <w:r w:rsidRPr="000E7975">
        <w:rPr>
          <w:rFonts w:cs="Arial"/>
          <w:noProof/>
          <w:szCs w:val="24"/>
        </w:rPr>
        <w:t>, 34(1), pp. 2712–2728. Available at: https://doi.org/10.1080/1331677X.2020.1838312.</w:t>
      </w:r>
    </w:p>
    <w:p w14:paraId="7096C385"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IAQG (2017) </w:t>
      </w:r>
      <w:r w:rsidRPr="000E7975">
        <w:rPr>
          <w:rFonts w:cs="Arial"/>
          <w:i/>
          <w:iCs/>
          <w:noProof/>
          <w:szCs w:val="24"/>
        </w:rPr>
        <w:t>Aerospace APQP/PPAP Manual Guidance material for International Aerospace Standard 9145</w:t>
      </w:r>
      <w:r w:rsidRPr="000E7975">
        <w:rPr>
          <w:rFonts w:cs="Arial"/>
          <w:noProof/>
          <w:szCs w:val="24"/>
        </w:rPr>
        <w:t>.</w:t>
      </w:r>
    </w:p>
    <w:p w14:paraId="62D7C25F"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Institute For Manufacturing - Cambridge University (2023) </w:t>
      </w:r>
      <w:r w:rsidRPr="000E7975">
        <w:rPr>
          <w:rFonts w:cs="Arial"/>
          <w:i/>
          <w:iCs/>
          <w:noProof/>
          <w:szCs w:val="24"/>
        </w:rPr>
        <w:t>PDCA - The Deming Cycle</w:t>
      </w:r>
      <w:r w:rsidRPr="000E7975">
        <w:rPr>
          <w:rFonts w:cs="Arial"/>
          <w:noProof/>
          <w:szCs w:val="24"/>
        </w:rPr>
        <w:t>. Available at: https://www.ifm.eng.cam.ac.uk/research/dstools/pdca/ (Accessed: 30 April 2023).</w:t>
      </w:r>
    </w:p>
    <w:p w14:paraId="0A489680"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Khanna, V.K. (2005) ‘Role of APQP and PPAP in Supply Chain Management’, </w:t>
      </w:r>
      <w:r w:rsidRPr="000E7975">
        <w:rPr>
          <w:rFonts w:cs="Arial"/>
          <w:i/>
          <w:iCs/>
          <w:noProof/>
          <w:szCs w:val="24"/>
        </w:rPr>
        <w:t>Paradigm</w:t>
      </w:r>
      <w:r w:rsidRPr="000E7975">
        <w:rPr>
          <w:rFonts w:cs="Arial"/>
          <w:noProof/>
          <w:szCs w:val="24"/>
        </w:rPr>
        <w:t>, 9(2), pp. 86–95. Available at: https://doi.org/10.1177/0971890720050209.</w:t>
      </w:r>
    </w:p>
    <w:p w14:paraId="1DC253C4"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Lundgren, M. </w:t>
      </w:r>
      <w:r w:rsidRPr="000E7975">
        <w:rPr>
          <w:rFonts w:cs="Arial"/>
          <w:i/>
          <w:iCs/>
          <w:noProof/>
          <w:szCs w:val="24"/>
        </w:rPr>
        <w:t>et al.</w:t>
      </w:r>
      <w:r w:rsidRPr="000E7975">
        <w:rPr>
          <w:rFonts w:cs="Arial"/>
          <w:noProof/>
          <w:szCs w:val="24"/>
        </w:rPr>
        <w:t xml:space="preserve"> (2019) ‘Human-Centered Model-driven Process and Quality Planning’, </w:t>
      </w:r>
      <w:r w:rsidRPr="000E7975">
        <w:rPr>
          <w:rFonts w:cs="Arial"/>
          <w:i/>
          <w:iCs/>
          <w:noProof/>
          <w:szCs w:val="24"/>
        </w:rPr>
        <w:t>Procedia CIRP</w:t>
      </w:r>
      <w:r w:rsidRPr="000E7975">
        <w:rPr>
          <w:rFonts w:cs="Arial"/>
          <w:noProof/>
          <w:szCs w:val="24"/>
        </w:rPr>
        <w:t>, 84(March), pp. 362–367. Available at: https://doi.org/10.1016/j.procir.2019.04.326.</w:t>
      </w:r>
    </w:p>
    <w:p w14:paraId="43144093"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Matta, K. (1996) ‘Research questions on the implementation of total quality management’, </w:t>
      </w:r>
      <w:r w:rsidRPr="000E7975">
        <w:rPr>
          <w:rFonts w:cs="Arial"/>
          <w:i/>
          <w:iCs/>
          <w:noProof/>
          <w:szCs w:val="24"/>
        </w:rPr>
        <w:t>Total Quality Management</w:t>
      </w:r>
      <w:r w:rsidRPr="000E7975">
        <w:rPr>
          <w:rFonts w:cs="Arial"/>
          <w:noProof/>
          <w:szCs w:val="24"/>
        </w:rPr>
        <w:t>, 7(1), pp. 39–50. Available at: https://doi.org/10.1080/09544129650035034.</w:t>
      </w:r>
    </w:p>
    <w:p w14:paraId="7AFE0DFB"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Mehra, S. and Ranganathan, S. (2008) ‘Implementing total quality management with a focus on enhancing customer satisfaction’, </w:t>
      </w:r>
      <w:r w:rsidRPr="000E7975">
        <w:rPr>
          <w:rFonts w:cs="Arial"/>
          <w:i/>
          <w:iCs/>
          <w:noProof/>
          <w:szCs w:val="24"/>
        </w:rPr>
        <w:t>International Journal of Quality and Reliability Management</w:t>
      </w:r>
      <w:r w:rsidRPr="000E7975">
        <w:rPr>
          <w:rFonts w:cs="Arial"/>
          <w:noProof/>
          <w:szCs w:val="24"/>
        </w:rPr>
        <w:t>, 25(9), pp. 913–927. Available at: https://doi.org/10.1108/02656710810908070.</w:t>
      </w:r>
    </w:p>
    <w:p w14:paraId="7F6B5A6E"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Mendelow, A.L. (1981) ‘Environmental Scanning - The Impact of the Stakeholder Concept’, </w:t>
      </w:r>
      <w:r w:rsidRPr="000E7975">
        <w:rPr>
          <w:rFonts w:cs="Arial"/>
          <w:i/>
          <w:iCs/>
          <w:noProof/>
          <w:szCs w:val="24"/>
        </w:rPr>
        <w:t>ICIS 1981 Proceedings</w:t>
      </w:r>
      <w:r w:rsidRPr="000E7975">
        <w:rPr>
          <w:rFonts w:cs="Arial"/>
          <w:noProof/>
          <w:szCs w:val="24"/>
        </w:rPr>
        <w:t xml:space="preserve"> [Preprint], (20).</w:t>
      </w:r>
    </w:p>
    <w:p w14:paraId="54791EBA"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Mittal, K. </w:t>
      </w:r>
      <w:r w:rsidRPr="000E7975">
        <w:rPr>
          <w:rFonts w:cs="Arial"/>
          <w:i/>
          <w:iCs/>
          <w:noProof/>
          <w:szCs w:val="24"/>
        </w:rPr>
        <w:t>et al.</w:t>
      </w:r>
      <w:r w:rsidRPr="000E7975">
        <w:rPr>
          <w:rFonts w:cs="Arial"/>
          <w:noProof/>
          <w:szCs w:val="24"/>
        </w:rPr>
        <w:t xml:space="preserve"> (2011) ‘Leveraging APQP methodology to drive improvement in SME : A case study Aditya Informatics &amp; Research Centre’, (January 2018).</w:t>
      </w:r>
    </w:p>
    <w:p w14:paraId="459CADA5"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Moen, R. and Norman, C. (2009) ‘Evolution of the PDCA Cycle’, </w:t>
      </w:r>
      <w:r w:rsidRPr="000E7975">
        <w:rPr>
          <w:rFonts w:cs="Arial"/>
          <w:i/>
          <w:iCs/>
          <w:noProof/>
          <w:szCs w:val="24"/>
        </w:rPr>
        <w:t>Proceedings of the 7th ANQ Congress</w:t>
      </w:r>
      <w:r w:rsidRPr="000E7975">
        <w:rPr>
          <w:rFonts w:cs="Arial"/>
          <w:noProof/>
          <w:szCs w:val="24"/>
        </w:rPr>
        <w:t xml:space="preserve"> [Preprint].</w:t>
      </w:r>
    </w:p>
    <w:p w14:paraId="26BE783F"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Oakland, J.S. (2003) </w:t>
      </w:r>
      <w:r w:rsidRPr="000E7975">
        <w:rPr>
          <w:rFonts w:cs="Arial"/>
          <w:i/>
          <w:iCs/>
          <w:noProof/>
          <w:szCs w:val="24"/>
        </w:rPr>
        <w:t>Statistical process control</w:t>
      </w:r>
      <w:r w:rsidRPr="000E7975">
        <w:rPr>
          <w:rFonts w:cs="Arial"/>
          <w:noProof/>
          <w:szCs w:val="24"/>
        </w:rPr>
        <w:t>. Fifth Edit. Edited by Butterworth-Heinemann.</w:t>
      </w:r>
    </w:p>
    <w:p w14:paraId="7417D28A"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OPEX Resources (2017) </w:t>
      </w:r>
      <w:r w:rsidRPr="000E7975">
        <w:rPr>
          <w:rFonts w:cs="Arial"/>
          <w:i/>
          <w:iCs/>
          <w:noProof/>
          <w:szCs w:val="24"/>
        </w:rPr>
        <w:t>Introduction to Statistical Process Control</w:t>
      </w:r>
      <w:r w:rsidRPr="000E7975">
        <w:rPr>
          <w:rFonts w:cs="Arial"/>
          <w:noProof/>
          <w:szCs w:val="24"/>
        </w:rPr>
        <w:t>. Available at: https://opexresources.com/introduction-statistical-process-control/.</w:t>
      </w:r>
    </w:p>
    <w:p w14:paraId="50F4E72D"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lastRenderedPageBreak/>
        <w:t xml:space="preserve">Pop, A.B. </w:t>
      </w:r>
      <w:r w:rsidRPr="000E7975">
        <w:rPr>
          <w:rFonts w:cs="Arial"/>
          <w:i/>
          <w:iCs/>
          <w:noProof/>
          <w:szCs w:val="24"/>
        </w:rPr>
        <w:t>et al.</w:t>
      </w:r>
      <w:r w:rsidRPr="000E7975">
        <w:rPr>
          <w:rFonts w:cs="Arial"/>
          <w:noProof/>
          <w:szCs w:val="24"/>
        </w:rPr>
        <w:t xml:space="preserve"> (2018) ‘Contributions concerning the possibility of implementing the APQP concept in the aerospace industry’, </w:t>
      </w:r>
      <w:r w:rsidRPr="000E7975">
        <w:rPr>
          <w:rFonts w:cs="Arial"/>
          <w:i/>
          <w:iCs/>
          <w:noProof/>
          <w:szCs w:val="24"/>
        </w:rPr>
        <w:t>MATEC Web of Conferences</w:t>
      </w:r>
      <w:r w:rsidRPr="000E7975">
        <w:rPr>
          <w:rFonts w:cs="Arial"/>
          <w:noProof/>
          <w:szCs w:val="24"/>
        </w:rPr>
        <w:t>, 178, pp. 1–6. Available at: https://doi.org/10.1051/matecconf/201817808013.</w:t>
      </w:r>
    </w:p>
    <w:p w14:paraId="5E558AAE"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Rudolf and Roszak, M.T. (2022) ‘Tools of product quality planning in the production part approval process’, </w:t>
      </w:r>
      <w:r w:rsidRPr="000E7975">
        <w:rPr>
          <w:rFonts w:cs="Arial"/>
          <w:i/>
          <w:iCs/>
          <w:noProof/>
          <w:szCs w:val="24"/>
        </w:rPr>
        <w:t>Archives of Materials Science and Engineering</w:t>
      </w:r>
      <w:r w:rsidRPr="000E7975">
        <w:rPr>
          <w:rFonts w:cs="Arial"/>
          <w:noProof/>
          <w:szCs w:val="24"/>
        </w:rPr>
        <w:t>, 118(2), pp. 67–74. Available at: https://doi.org/10.5604/01.3001.0016.2591.</w:t>
      </w:r>
    </w:p>
    <w:p w14:paraId="12B60D2E"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SAE International (2016) ‘Aerospace Standard AS9145’.</w:t>
      </w:r>
    </w:p>
    <w:p w14:paraId="6D245AA0"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SCMH (2021) </w:t>
      </w:r>
      <w:r w:rsidRPr="000E7975">
        <w:rPr>
          <w:rFonts w:cs="Arial"/>
          <w:i/>
          <w:iCs/>
          <w:noProof/>
          <w:szCs w:val="24"/>
        </w:rPr>
        <w:t>Plan and Manage - Advanced Product Quality Planning (APQP) 9145</w:t>
      </w:r>
      <w:r w:rsidRPr="000E7975">
        <w:rPr>
          <w:rFonts w:cs="Arial"/>
          <w:noProof/>
          <w:szCs w:val="24"/>
        </w:rPr>
        <w:t>. Available at: https://scmh.iaqg.org/plan-manage/#1612365454613-62320-undefined.</w:t>
      </w:r>
    </w:p>
    <w:p w14:paraId="26B59FD1"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Sonawane, P. and Bewoor, A. (2020) ‘Understanding company ’ s readiness to establish APQP as a standard QMS procedure’, (December).</w:t>
      </w:r>
    </w:p>
    <w:p w14:paraId="20C0D9CA"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Suebsook, S. and Chaveesuk, S. (2020) ‘Innovation, Cross-Functional Team Effectiveness and Firm Performance: An Integrated Framework for Thai Automotive Industry’, </w:t>
      </w:r>
      <w:r w:rsidRPr="000E7975">
        <w:rPr>
          <w:rFonts w:cs="Arial"/>
          <w:i/>
          <w:iCs/>
          <w:noProof/>
          <w:szCs w:val="24"/>
        </w:rPr>
        <w:t>Journal of Economics, Business and Management</w:t>
      </w:r>
      <w:r w:rsidRPr="000E7975">
        <w:rPr>
          <w:rFonts w:cs="Arial"/>
          <w:noProof/>
          <w:szCs w:val="24"/>
        </w:rPr>
        <w:t>, 8(2), pp. 91–95. Available at: https://doi.org/10.18178/joebm.2020.8.2.619.</w:t>
      </w:r>
    </w:p>
    <w:p w14:paraId="216FCB17" w14:textId="77777777" w:rsidR="000E7975" w:rsidRPr="000E7975" w:rsidRDefault="000E7975" w:rsidP="000E7975">
      <w:pPr>
        <w:widowControl w:val="0"/>
        <w:autoSpaceDE w:val="0"/>
        <w:autoSpaceDN w:val="0"/>
        <w:adjustRightInd w:val="0"/>
        <w:rPr>
          <w:rFonts w:cs="Arial"/>
          <w:noProof/>
          <w:szCs w:val="24"/>
        </w:rPr>
      </w:pPr>
      <w:r w:rsidRPr="000E7975">
        <w:rPr>
          <w:rFonts w:cs="Arial"/>
          <w:noProof/>
          <w:szCs w:val="24"/>
        </w:rPr>
        <w:t xml:space="preserve">Țîțu, A.M. and Pop, G.I. (2021) </w:t>
      </w:r>
      <w:r w:rsidRPr="000E7975">
        <w:rPr>
          <w:rFonts w:cs="Arial"/>
          <w:i/>
          <w:iCs/>
          <w:noProof/>
          <w:szCs w:val="24"/>
        </w:rPr>
        <w:t>Advanced Product Quality Planning Management in a Knowledge-Based Organization</w:t>
      </w:r>
      <w:r w:rsidRPr="000E7975">
        <w:rPr>
          <w:rFonts w:cs="Arial"/>
          <w:noProof/>
          <w:szCs w:val="24"/>
        </w:rPr>
        <w:t>. Available at: https://doi.org/10.22618/TP.LIB.BRMS2021.</w:t>
      </w:r>
    </w:p>
    <w:p w14:paraId="58CEE761" w14:textId="77777777" w:rsidR="000E7975" w:rsidRPr="000E7975" w:rsidRDefault="000E7975" w:rsidP="000E7975">
      <w:pPr>
        <w:widowControl w:val="0"/>
        <w:autoSpaceDE w:val="0"/>
        <w:autoSpaceDN w:val="0"/>
        <w:adjustRightInd w:val="0"/>
        <w:rPr>
          <w:rFonts w:cs="Arial"/>
          <w:noProof/>
        </w:rPr>
      </w:pPr>
      <w:r w:rsidRPr="000E7975">
        <w:rPr>
          <w:rFonts w:cs="Arial"/>
          <w:noProof/>
          <w:szCs w:val="24"/>
        </w:rPr>
        <w:t>Titu, M.A. and Cupsan, V.C. (2019) ‘Review of Advanced Product Quality Planning (APQP) in the Aerospace Industry’, pp. 77–82.</w:t>
      </w:r>
    </w:p>
    <w:p w14:paraId="74D3D0A2" w14:textId="26FD8FB8" w:rsidR="00AD209D" w:rsidRDefault="00042CAB" w:rsidP="00AD209D">
      <w:r>
        <w:fldChar w:fldCharType="end"/>
      </w:r>
    </w:p>
    <w:p w14:paraId="7CF7C4FE" w14:textId="77777777" w:rsidR="00AD209D" w:rsidRDefault="00AD209D">
      <w:r>
        <w:br w:type="page"/>
      </w:r>
    </w:p>
    <w:p w14:paraId="484D4513" w14:textId="38502C33" w:rsidR="00AD209D" w:rsidRDefault="00AD209D" w:rsidP="007A5DF3">
      <w:pPr>
        <w:pStyle w:val="Heading1"/>
        <w:numPr>
          <w:ilvl w:val="0"/>
          <w:numId w:val="6"/>
        </w:numPr>
        <w:tabs>
          <w:tab w:val="left" w:pos="851"/>
        </w:tabs>
      </w:pPr>
      <w:bookmarkStart w:id="141" w:name="_Toc137807626"/>
      <w:r>
        <w:lastRenderedPageBreak/>
        <w:t>Appendi</w:t>
      </w:r>
      <w:r w:rsidR="00E47FE0">
        <w:t>ces</w:t>
      </w:r>
      <w:bookmarkEnd w:id="141"/>
    </w:p>
    <w:p w14:paraId="76BC7F3C" w14:textId="64BF4BB8" w:rsidR="005345AC" w:rsidRDefault="005345AC" w:rsidP="005345AC"/>
    <w:p w14:paraId="321126C5" w14:textId="2B960730" w:rsidR="005345AC" w:rsidRDefault="00F67F68" w:rsidP="005345AC">
      <w:pPr>
        <w:keepNext/>
      </w:pPr>
      <w:r>
        <w:object w:dxaOrig="1520" w:dyaOrig="987" w14:anchorId="73254C53">
          <v:shape id="_x0000_i1053" type="#_x0000_t75" style="width:92.05pt;height:59.9pt" o:ole="">
            <v:imagedata r:id="rId47" o:title=""/>
          </v:shape>
          <o:OLEObject Type="Embed" ProgID="AcroExch.Document.DC" ShapeID="_x0000_i1053" DrawAspect="Icon" ObjectID="_1748421121" r:id="rId48"/>
        </w:object>
      </w:r>
    </w:p>
    <w:p w14:paraId="19C8B700" w14:textId="07DA3D69" w:rsidR="005345AC" w:rsidRDefault="005345AC" w:rsidP="005345AC">
      <w:pPr>
        <w:pStyle w:val="Caption"/>
      </w:pPr>
      <w:bookmarkStart w:id="142" w:name="_Ref137759410"/>
      <w:r>
        <w:t xml:space="preserve">Appendix </w:t>
      </w:r>
      <w:fldSimple w:instr=" SEQ Appendix \* ARABIC ">
        <w:r w:rsidR="008C301E">
          <w:rPr>
            <w:noProof/>
          </w:rPr>
          <w:t>1</w:t>
        </w:r>
      </w:fldSimple>
      <w:bookmarkEnd w:id="142"/>
      <w:r>
        <w:t xml:space="preserve">: </w:t>
      </w:r>
      <w:r w:rsidR="00F67F68">
        <w:t xml:space="preserve">Original </w:t>
      </w:r>
      <w:r>
        <w:t>Full Project Timeline with Resources Allocated</w:t>
      </w:r>
    </w:p>
    <w:p w14:paraId="0356D3A9" w14:textId="1F7C4573" w:rsidR="005345AC" w:rsidRDefault="005345AC" w:rsidP="005345AC"/>
    <w:p w14:paraId="4BD08AD4" w14:textId="70639277" w:rsidR="005345AC" w:rsidRDefault="00F67F68" w:rsidP="005345AC">
      <w:pPr>
        <w:keepNext/>
      </w:pPr>
      <w:r>
        <w:object w:dxaOrig="1520" w:dyaOrig="987" w14:anchorId="354B299A">
          <v:shape id="_x0000_i1055" type="#_x0000_t75" style="width:93pt;height:60.5pt" o:ole="">
            <v:imagedata r:id="rId49" o:title=""/>
          </v:shape>
          <o:OLEObject Type="Embed" ProgID="AcroExch.Document.DC" ShapeID="_x0000_i1055" DrawAspect="Icon" ObjectID="_1748421122" r:id="rId50"/>
        </w:object>
      </w:r>
    </w:p>
    <w:p w14:paraId="53F0ECA1" w14:textId="4208D7D7" w:rsidR="005345AC" w:rsidRPr="005345AC" w:rsidRDefault="005345AC" w:rsidP="005345AC">
      <w:pPr>
        <w:pStyle w:val="Caption"/>
      </w:pPr>
      <w:bookmarkStart w:id="143" w:name="_Ref137761952"/>
      <w:r>
        <w:t xml:space="preserve">Appendix </w:t>
      </w:r>
      <w:fldSimple w:instr=" SEQ Appendix \* ARABIC ">
        <w:r w:rsidR="008C301E">
          <w:rPr>
            <w:noProof/>
          </w:rPr>
          <w:t>2</w:t>
        </w:r>
      </w:fldSimple>
      <w:bookmarkEnd w:id="143"/>
      <w:r>
        <w:t>: Actual Full Project Plan with Resources Allocated</w:t>
      </w:r>
    </w:p>
    <w:p w14:paraId="167B4142" w14:textId="13F3C022" w:rsidR="005345AC" w:rsidRDefault="005345AC" w:rsidP="005345AC"/>
    <w:p w14:paraId="091E9100" w14:textId="2E77D2CA" w:rsidR="005345AC" w:rsidRDefault="005345AC" w:rsidP="005345AC"/>
    <w:p w14:paraId="5ED086C6" w14:textId="77777777" w:rsidR="00EE71D9" w:rsidRDefault="00EE71D9" w:rsidP="00EE71D9">
      <w:pPr>
        <w:keepNext/>
      </w:pPr>
      <w:r>
        <w:object w:dxaOrig="1520" w:dyaOrig="987" w14:anchorId="141F461C">
          <v:shape id="_x0000_i1202" type="#_x0000_t75" style="width:105.95pt;height:68.4pt" o:ole="">
            <v:imagedata r:id="rId51" o:title=""/>
          </v:shape>
          <o:OLEObject Type="Embed" ProgID="AcroExch.Document.DC" ShapeID="_x0000_i1202" DrawAspect="Icon" ObjectID="_1748421123" r:id="rId52"/>
        </w:object>
      </w:r>
    </w:p>
    <w:p w14:paraId="45DE4EEC" w14:textId="680A052B" w:rsidR="00EE71D9" w:rsidRPr="005345AC" w:rsidRDefault="00EE71D9" w:rsidP="00EE71D9">
      <w:pPr>
        <w:pStyle w:val="Caption"/>
      </w:pPr>
      <w:bookmarkStart w:id="144" w:name="_Ref137802592"/>
      <w:r>
        <w:t xml:space="preserve">Appendix </w:t>
      </w:r>
      <w:fldSimple w:instr=" SEQ Appendix \* ARABIC ">
        <w:r w:rsidR="008C301E">
          <w:rPr>
            <w:noProof/>
          </w:rPr>
          <w:t>3</w:t>
        </w:r>
      </w:fldSimple>
      <w:bookmarkEnd w:id="144"/>
      <w:r>
        <w:t>: SGB APQP for Suppliers document</w:t>
      </w:r>
    </w:p>
    <w:p w14:paraId="575FCD08" w14:textId="77777777" w:rsidR="003450F7" w:rsidRDefault="003450F7" w:rsidP="003450F7">
      <w:pPr>
        <w:keepNext/>
      </w:pPr>
      <w:r w:rsidRPr="003450F7">
        <w:rPr>
          <w:noProof/>
          <w:lang w:eastAsia="en-GB"/>
        </w:rPr>
        <w:lastRenderedPageBreak/>
        <w:drawing>
          <wp:inline distT="0" distB="0" distL="0" distR="0" wp14:anchorId="6EC7D147" wp14:editId="662EAE7B">
            <wp:extent cx="6413500" cy="4434789"/>
            <wp:effectExtent l="0" t="0" r="635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419024" cy="4438609"/>
                    </a:xfrm>
                    <a:prstGeom prst="rect">
                      <a:avLst/>
                    </a:prstGeom>
                  </pic:spPr>
                </pic:pic>
              </a:graphicData>
            </a:graphic>
          </wp:inline>
        </w:drawing>
      </w:r>
    </w:p>
    <w:p w14:paraId="114991A9" w14:textId="215F8DDF" w:rsidR="003450F7" w:rsidRDefault="003450F7" w:rsidP="003450F7">
      <w:pPr>
        <w:pStyle w:val="Caption"/>
      </w:pPr>
      <w:bookmarkStart w:id="145" w:name="_Ref132028000"/>
      <w:r w:rsidRPr="003450F7">
        <w:rPr>
          <w:b/>
        </w:rPr>
        <w:t xml:space="preserve">Appendix </w:t>
      </w:r>
      <w:r w:rsidRPr="003450F7">
        <w:rPr>
          <w:b/>
        </w:rPr>
        <w:fldChar w:fldCharType="begin"/>
      </w:r>
      <w:r w:rsidRPr="003450F7">
        <w:rPr>
          <w:b/>
        </w:rPr>
        <w:instrText xml:space="preserve"> SEQ Appendix \* ARABIC </w:instrText>
      </w:r>
      <w:r w:rsidRPr="003450F7">
        <w:rPr>
          <w:b/>
        </w:rPr>
        <w:fldChar w:fldCharType="separate"/>
      </w:r>
      <w:r w:rsidR="008C301E">
        <w:rPr>
          <w:b/>
          <w:noProof/>
        </w:rPr>
        <w:t>4</w:t>
      </w:r>
      <w:r w:rsidRPr="003450F7">
        <w:rPr>
          <w:b/>
        </w:rPr>
        <w:fldChar w:fldCharType="end"/>
      </w:r>
      <w:r w:rsidRPr="003450F7">
        <w:rPr>
          <w:b/>
        </w:rPr>
        <w:t>: Previously completed SGB APQP course certificate</w:t>
      </w:r>
      <w:r>
        <w:t>, with content reviewed prior to project start</w:t>
      </w:r>
      <w:bookmarkEnd w:id="145"/>
    </w:p>
    <w:p w14:paraId="59ECE092" w14:textId="77777777" w:rsidR="00AD648B" w:rsidRDefault="00AD648B" w:rsidP="00482E7E">
      <w:pPr>
        <w:keepNext/>
        <w:jc w:val="center"/>
      </w:pPr>
      <w:r>
        <w:rPr>
          <w:noProof/>
          <w:lang w:eastAsia="en-GB"/>
        </w:rPr>
        <w:lastRenderedPageBreak/>
        <w:drawing>
          <wp:inline distT="0" distB="0" distL="0" distR="0" wp14:anchorId="61683832" wp14:editId="7640C6DB">
            <wp:extent cx="6521742" cy="4889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ternal Auditors Course - Owen Evans.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535350" cy="4899702"/>
                    </a:xfrm>
                    <a:prstGeom prst="rect">
                      <a:avLst/>
                    </a:prstGeom>
                  </pic:spPr>
                </pic:pic>
              </a:graphicData>
            </a:graphic>
          </wp:inline>
        </w:drawing>
      </w:r>
    </w:p>
    <w:p w14:paraId="6F701C4D" w14:textId="3E15F9ED" w:rsidR="00AD648B" w:rsidRPr="000E0B82" w:rsidRDefault="00AD648B" w:rsidP="00EF06AF">
      <w:pPr>
        <w:pStyle w:val="Caption"/>
        <w:rPr>
          <w:b/>
        </w:rPr>
      </w:pPr>
      <w:bookmarkStart w:id="146" w:name="_Ref132027610"/>
      <w:r w:rsidRPr="000E0B82">
        <w:rPr>
          <w:b/>
        </w:rPr>
        <w:t xml:space="preserve">Appendix </w:t>
      </w:r>
      <w:r w:rsidR="00B84701" w:rsidRPr="000E0B82">
        <w:rPr>
          <w:b/>
        </w:rPr>
        <w:fldChar w:fldCharType="begin"/>
      </w:r>
      <w:r w:rsidR="00B84701" w:rsidRPr="000E0B82">
        <w:rPr>
          <w:b/>
        </w:rPr>
        <w:instrText xml:space="preserve"> SEQ Appendix \* ARABIC </w:instrText>
      </w:r>
      <w:r w:rsidR="00B84701" w:rsidRPr="000E0B82">
        <w:rPr>
          <w:b/>
        </w:rPr>
        <w:fldChar w:fldCharType="separate"/>
      </w:r>
      <w:r w:rsidR="008C301E">
        <w:rPr>
          <w:b/>
          <w:noProof/>
        </w:rPr>
        <w:t>5</w:t>
      </w:r>
      <w:r w:rsidR="00B84701" w:rsidRPr="000E0B82">
        <w:rPr>
          <w:b/>
          <w:noProof/>
        </w:rPr>
        <w:fldChar w:fldCharType="end"/>
      </w:r>
      <w:r w:rsidRPr="000E0B82">
        <w:rPr>
          <w:b/>
        </w:rPr>
        <w:t>: Bureau Veritas 'Internal Auditors' AS9100 Certificate</w:t>
      </w:r>
      <w:bookmarkEnd w:id="146"/>
    </w:p>
    <w:p w14:paraId="3AFA98F4" w14:textId="77777777" w:rsidR="00AD648B" w:rsidRDefault="00AD648B">
      <w:r>
        <w:br w:type="page"/>
      </w:r>
    </w:p>
    <w:p w14:paraId="3ACAA088" w14:textId="77777777" w:rsidR="00AD648B" w:rsidRDefault="00AD648B" w:rsidP="00482E7E">
      <w:pPr>
        <w:keepNext/>
        <w:jc w:val="center"/>
      </w:pPr>
      <w:r w:rsidRPr="00AD648B">
        <w:rPr>
          <w:noProof/>
          <w:lang w:eastAsia="en-GB"/>
        </w:rPr>
        <w:lastRenderedPageBreak/>
        <w:drawing>
          <wp:inline distT="0" distB="0" distL="0" distR="0" wp14:anchorId="2E19B798" wp14:editId="2BA51BC2">
            <wp:extent cx="6453133" cy="49403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459892" cy="4945475"/>
                    </a:xfrm>
                    <a:prstGeom prst="rect">
                      <a:avLst/>
                    </a:prstGeom>
                  </pic:spPr>
                </pic:pic>
              </a:graphicData>
            </a:graphic>
          </wp:inline>
        </w:drawing>
      </w:r>
    </w:p>
    <w:p w14:paraId="0A7D5DB9" w14:textId="4D3C2A2F" w:rsidR="00AD648B" w:rsidRPr="000E0B82" w:rsidRDefault="00AD648B" w:rsidP="00EF06AF">
      <w:pPr>
        <w:pStyle w:val="Caption"/>
        <w:rPr>
          <w:b/>
        </w:rPr>
      </w:pPr>
      <w:bookmarkStart w:id="147" w:name="_Ref132027685"/>
      <w:r w:rsidRPr="000E0B82">
        <w:rPr>
          <w:b/>
        </w:rPr>
        <w:t xml:space="preserve">Appendix </w:t>
      </w:r>
      <w:r w:rsidR="00B84701" w:rsidRPr="000E0B82">
        <w:rPr>
          <w:b/>
        </w:rPr>
        <w:fldChar w:fldCharType="begin"/>
      </w:r>
      <w:r w:rsidR="00B84701" w:rsidRPr="000E0B82">
        <w:rPr>
          <w:b/>
        </w:rPr>
        <w:instrText xml:space="preserve"> SEQ Appendix \* ARABIC </w:instrText>
      </w:r>
      <w:r w:rsidR="00B84701" w:rsidRPr="000E0B82">
        <w:rPr>
          <w:b/>
        </w:rPr>
        <w:fldChar w:fldCharType="separate"/>
      </w:r>
      <w:r w:rsidR="008C301E">
        <w:rPr>
          <w:b/>
          <w:noProof/>
        </w:rPr>
        <w:t>6</w:t>
      </w:r>
      <w:r w:rsidR="00B84701" w:rsidRPr="000E0B82">
        <w:rPr>
          <w:b/>
          <w:noProof/>
        </w:rPr>
        <w:fldChar w:fldCharType="end"/>
      </w:r>
      <w:r w:rsidRPr="000E0B82">
        <w:rPr>
          <w:b/>
        </w:rPr>
        <w:t>: TEC Transnational 'APQP &amp; PPAP Master Class' Certificate</w:t>
      </w:r>
      <w:bookmarkEnd w:id="147"/>
    </w:p>
    <w:p w14:paraId="06812D4B" w14:textId="77777777" w:rsidR="004E347C" w:rsidRDefault="004E347C" w:rsidP="004E347C"/>
    <w:p w14:paraId="24B35ABC" w14:textId="77777777" w:rsidR="004E347C" w:rsidRDefault="004E347C" w:rsidP="004E347C">
      <w:pPr>
        <w:sectPr w:rsidR="004E347C" w:rsidSect="003B7DCD">
          <w:pgSz w:w="11906" w:h="16838"/>
          <w:pgMar w:top="720" w:right="720" w:bottom="720" w:left="720" w:header="708" w:footer="708" w:gutter="0"/>
          <w:cols w:space="708"/>
          <w:titlePg/>
          <w:docGrid w:linePitch="360"/>
        </w:sectPr>
      </w:pPr>
    </w:p>
    <w:p w14:paraId="0FAC9286" w14:textId="77777777" w:rsidR="004E347C" w:rsidRDefault="004E347C" w:rsidP="004E347C">
      <w:r w:rsidRPr="004E347C">
        <w:rPr>
          <w:noProof/>
          <w:lang w:eastAsia="en-GB"/>
        </w:rPr>
        <w:lastRenderedPageBreak/>
        <w:drawing>
          <wp:inline distT="0" distB="0" distL="0" distR="0" wp14:anchorId="7826BDA3" wp14:editId="01460018">
            <wp:extent cx="8597900" cy="594985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609740" cy="5958050"/>
                    </a:xfrm>
                    <a:prstGeom prst="rect">
                      <a:avLst/>
                    </a:prstGeom>
                  </pic:spPr>
                </pic:pic>
              </a:graphicData>
            </a:graphic>
          </wp:inline>
        </w:drawing>
      </w:r>
    </w:p>
    <w:p w14:paraId="6A7DE94E" w14:textId="77777777" w:rsidR="004E347C" w:rsidRDefault="004E347C" w:rsidP="004E347C">
      <w:r w:rsidRPr="004E347C">
        <w:rPr>
          <w:noProof/>
          <w:lang w:eastAsia="en-GB"/>
        </w:rPr>
        <w:lastRenderedPageBreak/>
        <w:drawing>
          <wp:inline distT="0" distB="0" distL="0" distR="0" wp14:anchorId="757E3F27" wp14:editId="0749C258">
            <wp:extent cx="8642350" cy="6000453"/>
            <wp:effectExtent l="0" t="0" r="635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8653369" cy="6008103"/>
                    </a:xfrm>
                    <a:prstGeom prst="rect">
                      <a:avLst/>
                    </a:prstGeom>
                  </pic:spPr>
                </pic:pic>
              </a:graphicData>
            </a:graphic>
          </wp:inline>
        </w:drawing>
      </w:r>
    </w:p>
    <w:p w14:paraId="7B6C523D" w14:textId="77777777" w:rsidR="004E347C" w:rsidRDefault="004E347C" w:rsidP="004E347C">
      <w:pPr>
        <w:keepNext/>
      </w:pPr>
      <w:r w:rsidRPr="004E347C">
        <w:rPr>
          <w:noProof/>
          <w:lang w:eastAsia="en-GB"/>
        </w:rPr>
        <w:lastRenderedPageBreak/>
        <w:drawing>
          <wp:inline distT="0" distB="0" distL="0" distR="0" wp14:anchorId="33B15CB2" wp14:editId="363DF161">
            <wp:extent cx="8718550" cy="2242204"/>
            <wp:effectExtent l="0" t="0" r="635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8746337" cy="2249350"/>
                    </a:xfrm>
                    <a:prstGeom prst="rect">
                      <a:avLst/>
                    </a:prstGeom>
                  </pic:spPr>
                </pic:pic>
              </a:graphicData>
            </a:graphic>
          </wp:inline>
        </w:drawing>
      </w:r>
    </w:p>
    <w:p w14:paraId="059BE680" w14:textId="147D0A44" w:rsidR="00B7404C" w:rsidRDefault="004E347C" w:rsidP="004E347C">
      <w:pPr>
        <w:pStyle w:val="Caption"/>
      </w:pPr>
      <w:bookmarkStart w:id="148" w:name="_Ref134454753"/>
      <w:r w:rsidRPr="000E0B82">
        <w:rPr>
          <w:b/>
        </w:rPr>
        <w:t xml:space="preserve">Appendix </w:t>
      </w:r>
      <w:r w:rsidR="00B84701" w:rsidRPr="000E0B82">
        <w:rPr>
          <w:b/>
        </w:rPr>
        <w:fldChar w:fldCharType="begin"/>
      </w:r>
      <w:r w:rsidR="00B84701" w:rsidRPr="000E0B82">
        <w:rPr>
          <w:b/>
        </w:rPr>
        <w:instrText xml:space="preserve"> SEQ Appendix \* ARABIC </w:instrText>
      </w:r>
      <w:r w:rsidR="00B84701" w:rsidRPr="000E0B82">
        <w:rPr>
          <w:b/>
        </w:rPr>
        <w:fldChar w:fldCharType="separate"/>
      </w:r>
      <w:r w:rsidR="008C301E">
        <w:rPr>
          <w:b/>
          <w:noProof/>
        </w:rPr>
        <w:t>7</w:t>
      </w:r>
      <w:r w:rsidR="00B84701" w:rsidRPr="000E0B82">
        <w:rPr>
          <w:b/>
          <w:noProof/>
        </w:rPr>
        <w:fldChar w:fldCharType="end"/>
      </w:r>
      <w:bookmarkEnd w:id="148"/>
      <w:r w:rsidRPr="000E0B82">
        <w:rPr>
          <w:b/>
        </w:rPr>
        <w:t>: PPAP processes review rollout plan for SGB</w:t>
      </w:r>
      <w:r>
        <w:t xml:space="preserve"> to update and align processes to PPAP Checklist questions</w:t>
      </w:r>
    </w:p>
    <w:p w14:paraId="48E66530" w14:textId="77777777" w:rsidR="00B7404C" w:rsidRDefault="00B7404C">
      <w:pPr>
        <w:rPr>
          <w:i/>
          <w:iCs/>
          <w:color w:val="44546A" w:themeColor="text2"/>
          <w:sz w:val="18"/>
          <w:szCs w:val="18"/>
        </w:rPr>
      </w:pPr>
      <w:r>
        <w:br w:type="page"/>
      </w:r>
    </w:p>
    <w:p w14:paraId="49C4AE1D" w14:textId="77777777" w:rsidR="00114168" w:rsidRDefault="00B7404C" w:rsidP="004E347C">
      <w:pPr>
        <w:pStyle w:val="Caption"/>
      </w:pPr>
      <w:r w:rsidRPr="00B7404C">
        <w:rPr>
          <w:noProof/>
          <w:lang w:eastAsia="en-GB"/>
        </w:rPr>
        <w:lastRenderedPageBreak/>
        <w:drawing>
          <wp:inline distT="0" distB="0" distL="0" distR="0" wp14:anchorId="0161F27B" wp14:editId="259FFCCD">
            <wp:extent cx="9201150" cy="5878314"/>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9208314" cy="5882891"/>
                    </a:xfrm>
                    <a:prstGeom prst="rect">
                      <a:avLst/>
                    </a:prstGeom>
                    <a:noFill/>
                    <a:ln>
                      <a:noFill/>
                    </a:ln>
                  </pic:spPr>
                </pic:pic>
              </a:graphicData>
            </a:graphic>
          </wp:inline>
        </w:drawing>
      </w:r>
    </w:p>
    <w:p w14:paraId="195879E9" w14:textId="77777777" w:rsidR="00B7404C" w:rsidRDefault="00B7404C" w:rsidP="00B7404C">
      <w:r w:rsidRPr="00B7404C">
        <w:rPr>
          <w:noProof/>
          <w:lang w:eastAsia="en-GB"/>
        </w:rPr>
        <w:lastRenderedPageBreak/>
        <w:drawing>
          <wp:inline distT="0" distB="0" distL="0" distR="0" wp14:anchorId="05B20D15" wp14:editId="1AAC9DFC">
            <wp:extent cx="9120308" cy="5759450"/>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9127850" cy="5764213"/>
                    </a:xfrm>
                    <a:prstGeom prst="rect">
                      <a:avLst/>
                    </a:prstGeom>
                    <a:noFill/>
                    <a:ln>
                      <a:noFill/>
                    </a:ln>
                  </pic:spPr>
                </pic:pic>
              </a:graphicData>
            </a:graphic>
          </wp:inline>
        </w:drawing>
      </w:r>
    </w:p>
    <w:p w14:paraId="72499E48" w14:textId="77777777" w:rsidR="00B7404C" w:rsidRDefault="00B7404C" w:rsidP="00B7404C">
      <w:pPr>
        <w:keepNext/>
      </w:pPr>
      <w:r w:rsidRPr="00B7404C">
        <w:rPr>
          <w:noProof/>
          <w:lang w:eastAsia="en-GB"/>
        </w:rPr>
        <w:lastRenderedPageBreak/>
        <w:drawing>
          <wp:inline distT="0" distB="0" distL="0" distR="0" wp14:anchorId="6B3582FB" wp14:editId="7EEEC2BD">
            <wp:extent cx="9124950" cy="5404888"/>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9137301" cy="5412204"/>
                    </a:xfrm>
                    <a:prstGeom prst="rect">
                      <a:avLst/>
                    </a:prstGeom>
                    <a:noFill/>
                    <a:ln>
                      <a:noFill/>
                    </a:ln>
                  </pic:spPr>
                </pic:pic>
              </a:graphicData>
            </a:graphic>
          </wp:inline>
        </w:drawing>
      </w:r>
    </w:p>
    <w:p w14:paraId="0D4A2AAB" w14:textId="0BD5D690" w:rsidR="00B7404C" w:rsidRPr="00B7404C" w:rsidRDefault="00B7404C" w:rsidP="00B7404C">
      <w:pPr>
        <w:pStyle w:val="Caption"/>
        <w:rPr>
          <w:b/>
        </w:rPr>
      </w:pPr>
      <w:bookmarkStart w:id="149" w:name="_Ref134452822"/>
      <w:bookmarkStart w:id="150" w:name="_Ref134358187"/>
      <w:r w:rsidRPr="00B7404C">
        <w:rPr>
          <w:b/>
        </w:rPr>
        <w:t xml:space="preserve">Appendix </w:t>
      </w:r>
      <w:r w:rsidRPr="00B7404C">
        <w:rPr>
          <w:b/>
        </w:rPr>
        <w:fldChar w:fldCharType="begin"/>
      </w:r>
      <w:r w:rsidRPr="00B7404C">
        <w:rPr>
          <w:b/>
        </w:rPr>
        <w:instrText xml:space="preserve"> SEQ Appendix \* ARABIC </w:instrText>
      </w:r>
      <w:r w:rsidRPr="00B7404C">
        <w:rPr>
          <w:b/>
        </w:rPr>
        <w:fldChar w:fldCharType="separate"/>
      </w:r>
      <w:r w:rsidR="008C301E">
        <w:rPr>
          <w:b/>
          <w:noProof/>
        </w:rPr>
        <w:t>8</w:t>
      </w:r>
      <w:r w:rsidRPr="00B7404C">
        <w:rPr>
          <w:b/>
        </w:rPr>
        <w:fldChar w:fldCharType="end"/>
      </w:r>
      <w:bookmarkEnd w:id="149"/>
      <w:r w:rsidRPr="00B7404C">
        <w:rPr>
          <w:b/>
        </w:rPr>
        <w:t>: AS9145 APQP Audit Results</w:t>
      </w:r>
      <w:bookmarkEnd w:id="150"/>
    </w:p>
    <w:p w14:paraId="715394FF" w14:textId="77777777" w:rsidR="000E0B82" w:rsidRDefault="00114168" w:rsidP="00B7404C">
      <w:r>
        <w:br w:type="page"/>
      </w:r>
      <w:r w:rsidR="000E0B82" w:rsidRPr="000E0B82">
        <w:rPr>
          <w:noProof/>
          <w:lang w:eastAsia="en-GB"/>
        </w:rPr>
        <w:lastRenderedPageBreak/>
        <w:drawing>
          <wp:inline distT="0" distB="0" distL="0" distR="0" wp14:anchorId="28B1D64E" wp14:editId="49773BBD">
            <wp:extent cx="9099550" cy="4709283"/>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9105780" cy="4712507"/>
                    </a:xfrm>
                    <a:prstGeom prst="rect">
                      <a:avLst/>
                    </a:prstGeom>
                    <a:noFill/>
                    <a:ln>
                      <a:noFill/>
                    </a:ln>
                  </pic:spPr>
                </pic:pic>
              </a:graphicData>
            </a:graphic>
          </wp:inline>
        </w:drawing>
      </w:r>
    </w:p>
    <w:p w14:paraId="2E87E14A" w14:textId="7B5194B6" w:rsidR="000E0B82" w:rsidRDefault="000E0B82" w:rsidP="000E0B82">
      <w:pPr>
        <w:pStyle w:val="Caption"/>
        <w:rPr>
          <w:b/>
        </w:rPr>
      </w:pPr>
      <w:bookmarkStart w:id="151" w:name="_Ref134452826"/>
      <w:bookmarkStart w:id="152" w:name="_Ref134358192"/>
      <w:r w:rsidRPr="000E0B82">
        <w:rPr>
          <w:b/>
        </w:rPr>
        <w:t xml:space="preserve">Appendix </w:t>
      </w:r>
      <w:r w:rsidRPr="000E0B82">
        <w:rPr>
          <w:b/>
        </w:rPr>
        <w:fldChar w:fldCharType="begin"/>
      </w:r>
      <w:r w:rsidRPr="000E0B82">
        <w:rPr>
          <w:b/>
        </w:rPr>
        <w:instrText xml:space="preserve"> SEQ Appendix \* ARABIC </w:instrText>
      </w:r>
      <w:r w:rsidRPr="000E0B82">
        <w:rPr>
          <w:b/>
        </w:rPr>
        <w:fldChar w:fldCharType="separate"/>
      </w:r>
      <w:r w:rsidR="008C301E">
        <w:rPr>
          <w:b/>
          <w:noProof/>
        </w:rPr>
        <w:t>9</w:t>
      </w:r>
      <w:r w:rsidRPr="000E0B82">
        <w:rPr>
          <w:b/>
        </w:rPr>
        <w:fldChar w:fldCharType="end"/>
      </w:r>
      <w:bookmarkEnd w:id="151"/>
      <w:r w:rsidRPr="000E0B82">
        <w:rPr>
          <w:b/>
        </w:rPr>
        <w:t>: AS9145 PPAP Audit Results</w:t>
      </w:r>
      <w:bookmarkEnd w:id="152"/>
    </w:p>
    <w:p w14:paraId="2DDAA807" w14:textId="7270DF2E" w:rsidR="004E347C" w:rsidRDefault="004E347C" w:rsidP="000E0B82">
      <w:pPr>
        <w:rPr>
          <w:b/>
          <w:i/>
          <w:iCs/>
          <w:color w:val="44546A" w:themeColor="text2"/>
          <w:sz w:val="18"/>
          <w:szCs w:val="18"/>
        </w:rPr>
      </w:pPr>
    </w:p>
    <w:p w14:paraId="64BCE182" w14:textId="65786ACB" w:rsidR="00676AD9" w:rsidRDefault="00676AD9">
      <w:pPr>
        <w:rPr>
          <w:b/>
          <w:i/>
          <w:iCs/>
          <w:color w:val="44546A" w:themeColor="text2"/>
          <w:sz w:val="18"/>
          <w:szCs w:val="18"/>
        </w:rPr>
      </w:pPr>
      <w:r>
        <w:rPr>
          <w:b/>
          <w:i/>
          <w:iCs/>
          <w:color w:val="44546A" w:themeColor="text2"/>
          <w:sz w:val="18"/>
          <w:szCs w:val="18"/>
        </w:rPr>
        <w:br w:type="page"/>
      </w:r>
    </w:p>
    <w:bookmarkStart w:id="153" w:name="_MON_1747899796"/>
    <w:bookmarkEnd w:id="153"/>
    <w:p w14:paraId="0C6D480E" w14:textId="2C984854" w:rsidR="00676AD9" w:rsidRDefault="0059514F" w:rsidP="00CD37AA">
      <w:pPr>
        <w:keepNext/>
      </w:pPr>
      <w:r>
        <w:rPr>
          <w:b/>
          <w:i/>
          <w:iCs/>
          <w:color w:val="44546A" w:themeColor="text2"/>
          <w:sz w:val="18"/>
          <w:szCs w:val="18"/>
        </w:rPr>
        <w:object w:dxaOrig="1520" w:dyaOrig="987" w14:anchorId="6401AEBB">
          <v:shape id="_x0000_i1027" type="#_x0000_t75" style="width:112.8pt;height:72.6pt" o:ole="">
            <v:imagedata r:id="rId63" o:title=""/>
          </v:shape>
          <o:OLEObject Type="Embed" ProgID="Excel.Sheet.12" ShapeID="_x0000_i1027" DrawAspect="Icon" ObjectID="_1748421124" r:id="rId64"/>
        </w:object>
      </w:r>
    </w:p>
    <w:p w14:paraId="57A5E149" w14:textId="2370FD67" w:rsidR="00BB56C9" w:rsidRDefault="00676AD9" w:rsidP="00CD37AA">
      <w:pPr>
        <w:pStyle w:val="Caption"/>
        <w:rPr>
          <w:b/>
        </w:rPr>
      </w:pPr>
      <w:bookmarkStart w:id="154" w:name="_Ref137660888"/>
      <w:bookmarkStart w:id="155" w:name="_Ref137660893"/>
      <w:r w:rsidRPr="00CD37AA">
        <w:rPr>
          <w:b/>
        </w:rPr>
        <w:t xml:space="preserve">Appendix </w:t>
      </w:r>
      <w:r w:rsidRPr="00CD37AA">
        <w:rPr>
          <w:b/>
        </w:rPr>
        <w:fldChar w:fldCharType="begin"/>
      </w:r>
      <w:r w:rsidRPr="00CD37AA">
        <w:rPr>
          <w:b/>
        </w:rPr>
        <w:instrText xml:space="preserve"> SEQ Appendix \* ARABIC </w:instrText>
      </w:r>
      <w:r w:rsidRPr="00CD37AA">
        <w:rPr>
          <w:b/>
        </w:rPr>
        <w:fldChar w:fldCharType="separate"/>
      </w:r>
      <w:r w:rsidR="008C301E">
        <w:rPr>
          <w:b/>
          <w:noProof/>
        </w:rPr>
        <w:t>10</w:t>
      </w:r>
      <w:r w:rsidRPr="00CD37AA">
        <w:rPr>
          <w:b/>
        </w:rPr>
        <w:fldChar w:fldCharType="end"/>
      </w:r>
      <w:bookmarkEnd w:id="155"/>
      <w:r w:rsidRPr="00CD37AA">
        <w:rPr>
          <w:b/>
        </w:rPr>
        <w:t>: Complete PPAP Phase Approval Form pack for PPAP status reporting</w:t>
      </w:r>
      <w:bookmarkEnd w:id="154"/>
    </w:p>
    <w:p w14:paraId="7DF1A25B" w14:textId="0B29B51D" w:rsidR="00B47E5D" w:rsidRDefault="00B47E5D" w:rsidP="00B47E5D"/>
    <w:p w14:paraId="44ECA29B" w14:textId="636F2C8B" w:rsidR="00B47E5D" w:rsidRDefault="00EE71D9" w:rsidP="00B47E5D">
      <w:pPr>
        <w:keepNext/>
      </w:pPr>
      <w:r>
        <w:object w:dxaOrig="1520" w:dyaOrig="987" w14:anchorId="54A0F904">
          <v:shape id="_x0000_i1201" type="#_x0000_t75" style="width:122.65pt;height:79.2pt" o:ole="">
            <v:imagedata r:id="rId65" o:title=""/>
          </v:shape>
          <o:OLEObject Type="Embed" ProgID="AcroExch.Document.DC" ShapeID="_x0000_i1201" DrawAspect="Icon" ObjectID="_1748421125" r:id="rId66"/>
        </w:object>
      </w:r>
    </w:p>
    <w:p w14:paraId="5A15CDAF" w14:textId="2B2BB31F" w:rsidR="00B47E5D" w:rsidRPr="00B47E5D" w:rsidRDefault="00B47E5D" w:rsidP="00B47E5D">
      <w:pPr>
        <w:pStyle w:val="Caption"/>
        <w:rPr>
          <w:b/>
        </w:rPr>
      </w:pPr>
      <w:bookmarkStart w:id="156" w:name="_Ref137801345"/>
      <w:r w:rsidRPr="00B47E5D">
        <w:rPr>
          <w:b/>
        </w:rPr>
        <w:t xml:space="preserve">Appendix </w:t>
      </w:r>
      <w:r w:rsidRPr="00B47E5D">
        <w:rPr>
          <w:b/>
        </w:rPr>
        <w:fldChar w:fldCharType="begin"/>
      </w:r>
      <w:r w:rsidRPr="00B47E5D">
        <w:rPr>
          <w:b/>
        </w:rPr>
        <w:instrText xml:space="preserve"> SEQ Appendix \* ARABIC </w:instrText>
      </w:r>
      <w:r w:rsidRPr="00B47E5D">
        <w:rPr>
          <w:b/>
        </w:rPr>
        <w:fldChar w:fldCharType="separate"/>
      </w:r>
      <w:r w:rsidR="008C301E">
        <w:rPr>
          <w:b/>
          <w:noProof/>
        </w:rPr>
        <w:t>11</w:t>
      </w:r>
      <w:r w:rsidRPr="00B47E5D">
        <w:rPr>
          <w:b/>
        </w:rPr>
        <w:fldChar w:fldCharType="end"/>
      </w:r>
      <w:bookmarkEnd w:id="156"/>
      <w:r w:rsidRPr="00B47E5D">
        <w:rPr>
          <w:b/>
        </w:rPr>
        <w:t>: SGB Quality Signatory Matrix</w:t>
      </w:r>
    </w:p>
    <w:p w14:paraId="033A429D" w14:textId="169E61A7" w:rsidR="00B47E5D" w:rsidRPr="00B47E5D" w:rsidRDefault="00B47E5D" w:rsidP="00B47E5D"/>
    <w:sectPr w:rsidR="00B47E5D" w:rsidRPr="00B47E5D" w:rsidSect="003B7DCD">
      <w:pgSz w:w="16838" w:h="11906" w:orient="landscape"/>
      <w:pgMar w:top="720" w:right="720" w:bottom="720" w:left="720" w:header="709" w:footer="709"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347DD8" w16cex:dateUtc="2023-06-14T16:56:00Z"/>
  <w16cex:commentExtensible w16cex:durableId="28347DBF" w16cex:dateUtc="2023-06-14T16:56:00Z"/>
  <w16cex:commentExtensible w16cex:durableId="28347DB4" w16cex:dateUtc="2023-06-14T16:56:00Z"/>
  <w16cex:commentExtensible w16cex:durableId="28347D8F" w16cex:dateUtc="2023-06-14T16:55:00Z"/>
  <w16cex:commentExtensible w16cex:durableId="28347EA7" w16cex:dateUtc="2023-06-14T17:00:00Z"/>
  <w16cex:commentExtensible w16cex:durableId="28348088" w16cex:dateUtc="2023-06-14T17:08:00Z"/>
  <w16cex:commentExtensible w16cex:durableId="283480CB" w16cex:dateUtc="2023-06-14T17: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ABF69DA" w16cid:durableId="28347837"/>
  <w16cid:commentId w16cid:paraId="10384B46" w16cid:durableId="28347DD8"/>
  <w16cid:commentId w16cid:paraId="76D4E5EC" w16cid:durableId="28347838"/>
  <w16cid:commentId w16cid:paraId="5AA3A598" w16cid:durableId="28347839"/>
  <w16cid:commentId w16cid:paraId="50B0F624" w16cid:durableId="28347DBF"/>
  <w16cid:commentId w16cid:paraId="2641BA8F" w16cid:durableId="2834783B"/>
  <w16cid:commentId w16cid:paraId="0E6FDF76" w16cid:durableId="28347DB4"/>
  <w16cid:commentId w16cid:paraId="381AC2D7" w16cid:durableId="2834783C"/>
  <w16cid:commentId w16cid:paraId="3A66F31A" w16cid:durableId="28347D8F"/>
  <w16cid:commentId w16cid:paraId="663F272B" w16cid:durableId="2834783D"/>
  <w16cid:commentId w16cid:paraId="4FB497F4" w16cid:durableId="28347EA7"/>
  <w16cid:commentId w16cid:paraId="176B8345" w16cid:durableId="2834783E"/>
  <w16cid:commentId w16cid:paraId="22FDC086" w16cid:durableId="28348088"/>
  <w16cid:commentId w16cid:paraId="552A4178" w16cid:durableId="2834783F"/>
  <w16cid:commentId w16cid:paraId="203FBE36" w16cid:durableId="283480C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A87FFD" w14:textId="77777777" w:rsidR="007A5DF3" w:rsidRDefault="007A5DF3" w:rsidP="00872440">
      <w:pPr>
        <w:spacing w:after="0" w:line="240" w:lineRule="auto"/>
      </w:pPr>
      <w:r>
        <w:separator/>
      </w:r>
    </w:p>
  </w:endnote>
  <w:endnote w:type="continuationSeparator" w:id="0">
    <w:p w14:paraId="4C890CA6" w14:textId="77777777" w:rsidR="007A5DF3" w:rsidRDefault="007A5DF3" w:rsidP="00872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0C699" w14:textId="77777777" w:rsidR="006A0BCC" w:rsidRDefault="006A0B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81EAF" w14:textId="39B55FF1" w:rsidR="008C301E" w:rsidRDefault="008C301E">
    <w:pPr>
      <w:pStyle w:val="Footer"/>
      <w:pBdr>
        <w:top w:val="single" w:sz="4" w:space="8" w:color="5B9BD5"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sidR="006A0BCC">
      <w:rPr>
        <w:noProof/>
        <w:color w:val="404040" w:themeColor="text1" w:themeTint="BF"/>
      </w:rPr>
      <w:t>27</w:t>
    </w:r>
    <w:r>
      <w:rPr>
        <w:noProof/>
        <w:color w:val="404040" w:themeColor="text1" w:themeTint="BF"/>
      </w:rPr>
      <w:fldChar w:fldCharType="end"/>
    </w:r>
  </w:p>
  <w:p w14:paraId="665DE10F" w14:textId="77777777" w:rsidR="008C301E" w:rsidRDefault="008C30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C7C5D" w14:textId="77777777" w:rsidR="006A0BCC" w:rsidRDefault="006A0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A5F32E" w14:textId="77777777" w:rsidR="007A5DF3" w:rsidRDefault="007A5DF3" w:rsidP="00872440">
      <w:pPr>
        <w:spacing w:after="0" w:line="240" w:lineRule="auto"/>
      </w:pPr>
      <w:r>
        <w:separator/>
      </w:r>
    </w:p>
  </w:footnote>
  <w:footnote w:type="continuationSeparator" w:id="0">
    <w:p w14:paraId="5C3CE10D" w14:textId="77777777" w:rsidR="007A5DF3" w:rsidRDefault="007A5DF3" w:rsidP="00872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819B58" w14:textId="77777777" w:rsidR="006A0BCC" w:rsidRDefault="006A0B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6A309" w14:textId="77777777" w:rsidR="008C301E" w:rsidRDefault="008C301E">
    <w:pPr>
      <w:pStyle w:val="Header"/>
    </w:pPr>
    <w:r>
      <w:rPr>
        <w:noProof/>
        <w:lang w:eastAsia="en-GB"/>
      </w:rPr>
      <mc:AlternateContent>
        <mc:Choice Requires="wps">
          <w:drawing>
            <wp:anchor distT="0" distB="0" distL="114300" distR="114300" simplePos="0" relativeHeight="251888640" behindDoc="0" locked="0" layoutInCell="0" allowOverlap="1" wp14:anchorId="23B6D118" wp14:editId="13570333">
              <wp:simplePos x="0" y="0"/>
              <wp:positionH relativeFrom="page">
                <wp:align>center</wp:align>
              </wp:positionH>
              <wp:positionV relativeFrom="page">
                <wp:align>top</wp:align>
              </wp:positionV>
              <wp:extent cx="7772400" cy="463550"/>
              <wp:effectExtent l="0" t="0" r="0" b="12700"/>
              <wp:wrapNone/>
              <wp:docPr id="17" name="MSIPCM188543f99ca3a9a9c19d897d"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2F36E44" w14:textId="4A448907" w:rsidR="008C301E" w:rsidRPr="006A0BCC" w:rsidRDefault="006A0BCC" w:rsidP="006A0BCC">
                          <w:pPr>
                            <w:spacing w:after="0"/>
                            <w:jc w:val="center"/>
                            <w:rPr>
                              <w:rFonts w:ascii="Calibri" w:hAnsi="Calibri" w:cs="Calibri"/>
                              <w:color w:val="FF8C00"/>
                              <w:sz w:val="20"/>
                            </w:rPr>
                          </w:pPr>
                          <w:r w:rsidRPr="006A0BCC">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23B6D118" id="_x0000_t202" coordsize="21600,21600" o:spt="202" path="m,l,21600r21600,l21600,xe">
              <v:stroke joinstyle="miter"/>
              <v:path gradientshapeok="t" o:connecttype="rect"/>
            </v:shapetype>
            <v:shape id="MSIPCM188543f99ca3a9a9c19d897d" o:spid="_x0000_s1028" type="#_x0000_t202" alt="{&quot;HashCode&quot;:-1484644562,&quot;Height&quot;:9999999.0,&quot;Width&quot;:9999999.0,&quot;Placement&quot;:&quot;Header&quot;,&quot;Index&quot;:&quot;Primary&quot;,&quot;Section&quot;:1,&quot;Top&quot;:0.0,&quot;Left&quot;:0.0}" style="position:absolute;margin-left:0;margin-top:0;width:612pt;height:36.5pt;z-index:251888640;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" o:allowincell="f" filled="f" stroked="f" strokeweight=".5pt">
              <v:textbox inset=",0,,0">
                <w:txbxContent>
                  <w:p w14:paraId="32F36E44" w14:textId="4A448907" w:rsidR="008C301E" w:rsidRPr="006A0BCC" w:rsidRDefault="006A0BCC" w:rsidP="006A0BCC">
                    <w:pPr>
                      <w:spacing w:after="0"/>
                      <w:jc w:val="center"/>
                      <w:rPr>
                        <w:rFonts w:ascii="Calibri" w:hAnsi="Calibri" w:cs="Calibri"/>
                        <w:color w:val="FF8C00"/>
                        <w:sz w:val="20"/>
                      </w:rPr>
                    </w:pPr>
                    <w:r w:rsidRPr="006A0BCC">
                      <w:rPr>
                        <w:rFonts w:ascii="Calibri" w:hAnsi="Calibri" w:cs="Calibri"/>
                        <w:color w:val="FF8C00"/>
                        <w:sz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7234A3" w14:textId="77777777" w:rsidR="008C301E" w:rsidRDefault="008C301E">
    <w:pPr>
      <w:pStyle w:val="Header"/>
    </w:pPr>
    <w:r>
      <w:rPr>
        <w:noProof/>
        <w:lang w:eastAsia="en-GB"/>
      </w:rPr>
      <mc:AlternateContent>
        <mc:Choice Requires="wps">
          <w:drawing>
            <wp:anchor distT="0" distB="0" distL="114300" distR="114300" simplePos="0" relativeHeight="251889664" behindDoc="0" locked="0" layoutInCell="0" allowOverlap="1" wp14:anchorId="511B76ED" wp14:editId="7AE51DCF">
              <wp:simplePos x="0" y="0"/>
              <wp:positionH relativeFrom="page">
                <wp:align>center</wp:align>
              </wp:positionH>
              <wp:positionV relativeFrom="page">
                <wp:align>top</wp:align>
              </wp:positionV>
              <wp:extent cx="7772400" cy="463550"/>
              <wp:effectExtent l="0" t="0" r="0" b="12700"/>
              <wp:wrapNone/>
              <wp:docPr id="21" name="MSIPCM998a4e47880bb4dbaecf7a83" descr="{&quot;HashCode&quot;:-1484644562,&quot;Height&quot;:9999999.0,&quot;Width&quot;:9999999.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4CA5A6B" w14:textId="54DA4261" w:rsidR="008C301E" w:rsidRPr="006A0BCC" w:rsidRDefault="006A0BCC" w:rsidP="006A0BCC">
                          <w:pPr>
                            <w:spacing w:after="0"/>
                            <w:jc w:val="center"/>
                            <w:rPr>
                              <w:rFonts w:ascii="Calibri" w:hAnsi="Calibri" w:cs="Calibri"/>
                              <w:color w:val="FF8C00"/>
                              <w:sz w:val="20"/>
                            </w:rPr>
                          </w:pPr>
                          <w:r w:rsidRPr="006A0BCC">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511B76ED" id="_x0000_t202" coordsize="21600,21600" o:spt="202" path="m,l,21600r21600,l21600,xe">
              <v:stroke joinstyle="miter"/>
              <v:path gradientshapeok="t" o:connecttype="rect"/>
            </v:shapetype>
            <v:shape id="MSIPCM998a4e47880bb4dbaecf7a83" o:spid="_x0000_s1029" type="#_x0000_t202" alt="{&quot;HashCode&quot;:-1484644562,&quot;Height&quot;:9999999.0,&quot;Width&quot;:9999999.0,&quot;Placement&quot;:&quot;Header&quot;,&quot;Index&quot;:&quot;FirstPage&quot;,&quot;Section&quot;:1,&quot;Top&quot;:0.0,&quot;Left&quot;:0.0}" style="position:absolute;margin-left:0;margin-top:0;width:612pt;height:36.5pt;z-index:251889664;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" o:allowincell="f" filled="f" stroked="f" strokeweight=".5pt">
              <v:textbox inset=",0,,0">
                <w:txbxContent>
                  <w:p w14:paraId="24CA5A6B" w14:textId="54DA4261" w:rsidR="008C301E" w:rsidRPr="006A0BCC" w:rsidRDefault="006A0BCC" w:rsidP="006A0BCC">
                    <w:pPr>
                      <w:spacing w:after="0"/>
                      <w:jc w:val="center"/>
                      <w:rPr>
                        <w:rFonts w:ascii="Calibri" w:hAnsi="Calibri" w:cs="Calibri"/>
                        <w:color w:val="FF8C00"/>
                        <w:sz w:val="20"/>
                      </w:rPr>
                    </w:pPr>
                    <w:r w:rsidRPr="006A0BCC">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81E59"/>
    <w:multiLevelType w:val="hybridMultilevel"/>
    <w:tmpl w:val="E8442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97522"/>
    <w:multiLevelType w:val="hybridMultilevel"/>
    <w:tmpl w:val="FA10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41715"/>
    <w:multiLevelType w:val="hybridMultilevel"/>
    <w:tmpl w:val="8E3AC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A7AB6"/>
    <w:multiLevelType w:val="hybridMultilevel"/>
    <w:tmpl w:val="1E46DCD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62F48DC"/>
    <w:multiLevelType w:val="hybridMultilevel"/>
    <w:tmpl w:val="BA90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25C7F"/>
    <w:multiLevelType w:val="hybridMultilevel"/>
    <w:tmpl w:val="9B5C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463F6"/>
    <w:multiLevelType w:val="hybridMultilevel"/>
    <w:tmpl w:val="3AB8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4C1E81"/>
    <w:multiLevelType w:val="hybridMultilevel"/>
    <w:tmpl w:val="F91AD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173A6"/>
    <w:multiLevelType w:val="hybridMultilevel"/>
    <w:tmpl w:val="01D6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401112"/>
    <w:multiLevelType w:val="hybridMultilevel"/>
    <w:tmpl w:val="2A7C4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363266"/>
    <w:multiLevelType w:val="hybridMultilevel"/>
    <w:tmpl w:val="50984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DD028F"/>
    <w:multiLevelType w:val="hybridMultilevel"/>
    <w:tmpl w:val="A8BA6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2A0382"/>
    <w:multiLevelType w:val="hybridMultilevel"/>
    <w:tmpl w:val="86AAA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3D7645"/>
    <w:multiLevelType w:val="hybridMultilevel"/>
    <w:tmpl w:val="26586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9D0B2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8FE4059"/>
    <w:multiLevelType w:val="hybridMultilevel"/>
    <w:tmpl w:val="9B268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9B0275"/>
    <w:multiLevelType w:val="multilevel"/>
    <w:tmpl w:val="8336402C"/>
    <w:lvl w:ilvl="0">
      <w:start w:val="1"/>
      <w:numFmt w:val="decimal"/>
      <w:lvlText w:val="%1."/>
      <w:lvlJc w:val="left"/>
      <w:pPr>
        <w:ind w:left="720" w:hanging="360"/>
      </w:pPr>
      <w:rPr>
        <w:rFonts w:hint="default"/>
      </w:rPr>
    </w:lvl>
    <w:lvl w:ilvl="1">
      <w:start w:val="1"/>
      <w:numFmt w:val="decimal"/>
      <w:isLgl/>
      <w:lvlText w:val="%1.%2"/>
      <w:lvlJc w:val="left"/>
      <w:pPr>
        <w:ind w:left="786" w:hanging="360"/>
      </w:pPr>
      <w:rPr>
        <w:rFonts w:hint="default"/>
      </w:rPr>
    </w:lvl>
    <w:lvl w:ilvl="2">
      <w:start w:val="1"/>
      <w:numFmt w:val="decimal"/>
      <w:isLgl/>
      <w:lvlText w:val="%1.%2.%3"/>
      <w:lvlJc w:val="left"/>
      <w:pPr>
        <w:ind w:left="1944" w:hanging="720"/>
      </w:pPr>
      <w:rPr>
        <w:rFonts w:hint="default"/>
      </w:rPr>
    </w:lvl>
    <w:lvl w:ilvl="3">
      <w:start w:val="1"/>
      <w:numFmt w:val="decimal"/>
      <w:isLgl/>
      <w:lvlText w:val="%1.%2.%3.%4"/>
      <w:lvlJc w:val="left"/>
      <w:pPr>
        <w:ind w:left="2376" w:hanging="720"/>
      </w:pPr>
      <w:rPr>
        <w:rFonts w:hint="default"/>
      </w:rPr>
    </w:lvl>
    <w:lvl w:ilvl="4">
      <w:start w:val="1"/>
      <w:numFmt w:val="decimal"/>
      <w:isLgl/>
      <w:lvlText w:val="%1.%2.%3.%4.%5"/>
      <w:lvlJc w:val="left"/>
      <w:pPr>
        <w:ind w:left="3168"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92" w:hanging="1440"/>
      </w:pPr>
      <w:rPr>
        <w:rFonts w:hint="default"/>
      </w:rPr>
    </w:lvl>
    <w:lvl w:ilvl="7">
      <w:start w:val="1"/>
      <w:numFmt w:val="decimal"/>
      <w:isLgl/>
      <w:lvlText w:val="%1.%2.%3.%4.%5.%6.%7.%8"/>
      <w:lvlJc w:val="left"/>
      <w:pPr>
        <w:ind w:left="4824" w:hanging="1440"/>
      </w:pPr>
      <w:rPr>
        <w:rFonts w:hint="default"/>
      </w:rPr>
    </w:lvl>
    <w:lvl w:ilvl="8">
      <w:start w:val="1"/>
      <w:numFmt w:val="decimal"/>
      <w:isLgl/>
      <w:lvlText w:val="%1.%2.%3.%4.%5.%6.%7.%8.%9"/>
      <w:lvlJc w:val="left"/>
      <w:pPr>
        <w:ind w:left="5616" w:hanging="1800"/>
      </w:pPr>
      <w:rPr>
        <w:rFonts w:hint="default"/>
      </w:rPr>
    </w:lvl>
  </w:abstractNum>
  <w:abstractNum w:abstractNumId="17" w15:restartNumberingAfterBreak="0">
    <w:nsid w:val="6AB62537"/>
    <w:multiLevelType w:val="hybridMultilevel"/>
    <w:tmpl w:val="D5B87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4E45FA"/>
    <w:multiLevelType w:val="hybridMultilevel"/>
    <w:tmpl w:val="BDEA460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C658B6"/>
    <w:multiLevelType w:val="hybridMultilevel"/>
    <w:tmpl w:val="2B7A6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72970"/>
    <w:multiLevelType w:val="hybridMultilevel"/>
    <w:tmpl w:val="BD68B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D80EA5"/>
    <w:multiLevelType w:val="hybridMultilevel"/>
    <w:tmpl w:val="E5A452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56664"/>
    <w:multiLevelType w:val="hybridMultilevel"/>
    <w:tmpl w:val="9C1C6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540606"/>
    <w:multiLevelType w:val="hybridMultilevel"/>
    <w:tmpl w:val="8BE2C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F62CB4"/>
    <w:multiLevelType w:val="multilevel"/>
    <w:tmpl w:val="E3467F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D2410CC"/>
    <w:multiLevelType w:val="hybridMultilevel"/>
    <w:tmpl w:val="0FE65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9A3E95"/>
    <w:multiLevelType w:val="hybridMultilevel"/>
    <w:tmpl w:val="2DA0A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2807E0"/>
    <w:multiLevelType w:val="multilevel"/>
    <w:tmpl w:val="F71A2532"/>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27"/>
  </w:num>
  <w:num w:numId="3">
    <w:abstractNumId w:val="15"/>
  </w:num>
  <w:num w:numId="4">
    <w:abstractNumId w:val="18"/>
  </w:num>
  <w:num w:numId="5">
    <w:abstractNumId w:val="14"/>
  </w:num>
  <w:num w:numId="6">
    <w:abstractNumId w:val="16"/>
  </w:num>
  <w:num w:numId="7">
    <w:abstractNumId w:val="0"/>
  </w:num>
  <w:num w:numId="8">
    <w:abstractNumId w:val="22"/>
  </w:num>
  <w:num w:numId="9">
    <w:abstractNumId w:val="6"/>
  </w:num>
  <w:num w:numId="10">
    <w:abstractNumId w:val="4"/>
  </w:num>
  <w:num w:numId="11">
    <w:abstractNumId w:val="2"/>
  </w:num>
  <w:num w:numId="12">
    <w:abstractNumId w:val="3"/>
  </w:num>
  <w:num w:numId="13">
    <w:abstractNumId w:val="17"/>
  </w:num>
  <w:num w:numId="14">
    <w:abstractNumId w:val="5"/>
  </w:num>
  <w:num w:numId="15">
    <w:abstractNumId w:val="7"/>
  </w:num>
  <w:num w:numId="16">
    <w:abstractNumId w:val="8"/>
  </w:num>
  <w:num w:numId="17">
    <w:abstractNumId w:val="12"/>
  </w:num>
  <w:num w:numId="18">
    <w:abstractNumId w:val="26"/>
  </w:num>
  <w:num w:numId="19">
    <w:abstractNumId w:val="23"/>
  </w:num>
  <w:num w:numId="20">
    <w:abstractNumId w:val="9"/>
  </w:num>
  <w:num w:numId="21">
    <w:abstractNumId w:val="20"/>
  </w:num>
  <w:num w:numId="22">
    <w:abstractNumId w:val="21"/>
  </w:num>
  <w:num w:numId="23">
    <w:abstractNumId w:val="10"/>
  </w:num>
  <w:num w:numId="24">
    <w:abstractNumId w:val="13"/>
  </w:num>
  <w:num w:numId="25">
    <w:abstractNumId w:val="1"/>
  </w:num>
  <w:num w:numId="26">
    <w:abstractNumId w:val="11"/>
  </w:num>
  <w:num w:numId="27">
    <w:abstractNumId w:val="19"/>
  </w:num>
  <w:num w:numId="28">
    <w:abstractNumId w:val="25"/>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BA"/>
    <w:rsid w:val="000001EB"/>
    <w:rsid w:val="00001E48"/>
    <w:rsid w:val="000054C0"/>
    <w:rsid w:val="000075F0"/>
    <w:rsid w:val="00010105"/>
    <w:rsid w:val="00021E8B"/>
    <w:rsid w:val="00024FC5"/>
    <w:rsid w:val="00030D1A"/>
    <w:rsid w:val="00031C04"/>
    <w:rsid w:val="0003257E"/>
    <w:rsid w:val="0003514C"/>
    <w:rsid w:val="00041079"/>
    <w:rsid w:val="0004113E"/>
    <w:rsid w:val="00042CAB"/>
    <w:rsid w:val="0004467E"/>
    <w:rsid w:val="00052FC1"/>
    <w:rsid w:val="0005360F"/>
    <w:rsid w:val="00053DB3"/>
    <w:rsid w:val="000576BF"/>
    <w:rsid w:val="00061137"/>
    <w:rsid w:val="00062700"/>
    <w:rsid w:val="00064CCA"/>
    <w:rsid w:val="00077E62"/>
    <w:rsid w:val="0008195C"/>
    <w:rsid w:val="00082FE7"/>
    <w:rsid w:val="0008387C"/>
    <w:rsid w:val="00086973"/>
    <w:rsid w:val="00092A02"/>
    <w:rsid w:val="00092C55"/>
    <w:rsid w:val="0009307E"/>
    <w:rsid w:val="00093B04"/>
    <w:rsid w:val="00093E12"/>
    <w:rsid w:val="00094F47"/>
    <w:rsid w:val="000A2130"/>
    <w:rsid w:val="000A2D57"/>
    <w:rsid w:val="000A5387"/>
    <w:rsid w:val="000A5700"/>
    <w:rsid w:val="000A7943"/>
    <w:rsid w:val="000B1860"/>
    <w:rsid w:val="000B2C61"/>
    <w:rsid w:val="000B2E15"/>
    <w:rsid w:val="000B5B48"/>
    <w:rsid w:val="000C3CDA"/>
    <w:rsid w:val="000C4EBF"/>
    <w:rsid w:val="000D64C4"/>
    <w:rsid w:val="000E0B82"/>
    <w:rsid w:val="000E5837"/>
    <w:rsid w:val="000E7975"/>
    <w:rsid w:val="000F0D17"/>
    <w:rsid w:val="000F30F0"/>
    <w:rsid w:val="000F4069"/>
    <w:rsid w:val="000F578A"/>
    <w:rsid w:val="000F7B37"/>
    <w:rsid w:val="00100D6F"/>
    <w:rsid w:val="00104800"/>
    <w:rsid w:val="00110CDC"/>
    <w:rsid w:val="0011117F"/>
    <w:rsid w:val="00112212"/>
    <w:rsid w:val="00114168"/>
    <w:rsid w:val="00123341"/>
    <w:rsid w:val="00123A04"/>
    <w:rsid w:val="00132F54"/>
    <w:rsid w:val="0014220E"/>
    <w:rsid w:val="00142892"/>
    <w:rsid w:val="00142BBE"/>
    <w:rsid w:val="00144078"/>
    <w:rsid w:val="00147D01"/>
    <w:rsid w:val="001507FD"/>
    <w:rsid w:val="00151587"/>
    <w:rsid w:val="00153661"/>
    <w:rsid w:val="00155298"/>
    <w:rsid w:val="00156AA3"/>
    <w:rsid w:val="00157798"/>
    <w:rsid w:val="00162C3F"/>
    <w:rsid w:val="00164B0D"/>
    <w:rsid w:val="00167DAB"/>
    <w:rsid w:val="00172CC4"/>
    <w:rsid w:val="00173969"/>
    <w:rsid w:val="001770BC"/>
    <w:rsid w:val="00182838"/>
    <w:rsid w:val="00183F1A"/>
    <w:rsid w:val="0018427C"/>
    <w:rsid w:val="00184290"/>
    <w:rsid w:val="001847F4"/>
    <w:rsid w:val="00184B22"/>
    <w:rsid w:val="00190C91"/>
    <w:rsid w:val="00192C81"/>
    <w:rsid w:val="00192E1A"/>
    <w:rsid w:val="00193603"/>
    <w:rsid w:val="00193EDA"/>
    <w:rsid w:val="00194D05"/>
    <w:rsid w:val="001965D0"/>
    <w:rsid w:val="00197D5D"/>
    <w:rsid w:val="001A1BC0"/>
    <w:rsid w:val="001A1D1F"/>
    <w:rsid w:val="001A2808"/>
    <w:rsid w:val="001A6DA4"/>
    <w:rsid w:val="001A7C46"/>
    <w:rsid w:val="001B1DE3"/>
    <w:rsid w:val="001B386C"/>
    <w:rsid w:val="001B4ABD"/>
    <w:rsid w:val="001B68F0"/>
    <w:rsid w:val="001C1ADC"/>
    <w:rsid w:val="001C49BA"/>
    <w:rsid w:val="001E01BF"/>
    <w:rsid w:val="001E4654"/>
    <w:rsid w:val="001E5CC6"/>
    <w:rsid w:val="001E746C"/>
    <w:rsid w:val="001F3015"/>
    <w:rsid w:val="001F5D4E"/>
    <w:rsid w:val="002038DC"/>
    <w:rsid w:val="0020694E"/>
    <w:rsid w:val="002076C9"/>
    <w:rsid w:val="00211251"/>
    <w:rsid w:val="00211FCE"/>
    <w:rsid w:val="00220863"/>
    <w:rsid w:val="00225674"/>
    <w:rsid w:val="002258B4"/>
    <w:rsid w:val="00226A2B"/>
    <w:rsid w:val="00233953"/>
    <w:rsid w:val="00242EE2"/>
    <w:rsid w:val="002445A7"/>
    <w:rsid w:val="00245AEA"/>
    <w:rsid w:val="00255C15"/>
    <w:rsid w:val="0026309F"/>
    <w:rsid w:val="002728F0"/>
    <w:rsid w:val="0027386D"/>
    <w:rsid w:val="00281AEE"/>
    <w:rsid w:val="00282B87"/>
    <w:rsid w:val="0028450A"/>
    <w:rsid w:val="002863C8"/>
    <w:rsid w:val="002878B5"/>
    <w:rsid w:val="00290C41"/>
    <w:rsid w:val="002918EE"/>
    <w:rsid w:val="002937D5"/>
    <w:rsid w:val="00293FA3"/>
    <w:rsid w:val="002959F3"/>
    <w:rsid w:val="002972C5"/>
    <w:rsid w:val="002A1EBA"/>
    <w:rsid w:val="002A360F"/>
    <w:rsid w:val="002A660D"/>
    <w:rsid w:val="002A68E3"/>
    <w:rsid w:val="002A77A8"/>
    <w:rsid w:val="002B0F2A"/>
    <w:rsid w:val="002B3174"/>
    <w:rsid w:val="002B6138"/>
    <w:rsid w:val="002B737E"/>
    <w:rsid w:val="002C4FAF"/>
    <w:rsid w:val="002C6C66"/>
    <w:rsid w:val="002C7B82"/>
    <w:rsid w:val="002C7E20"/>
    <w:rsid w:val="002D04E0"/>
    <w:rsid w:val="002D0920"/>
    <w:rsid w:val="002E09B3"/>
    <w:rsid w:val="002E33B2"/>
    <w:rsid w:val="002E404C"/>
    <w:rsid w:val="002E787B"/>
    <w:rsid w:val="002F3805"/>
    <w:rsid w:val="002F562C"/>
    <w:rsid w:val="00300435"/>
    <w:rsid w:val="00303754"/>
    <w:rsid w:val="00305937"/>
    <w:rsid w:val="00305C93"/>
    <w:rsid w:val="00307C48"/>
    <w:rsid w:val="00312CF7"/>
    <w:rsid w:val="00317428"/>
    <w:rsid w:val="00333328"/>
    <w:rsid w:val="00333925"/>
    <w:rsid w:val="003363F1"/>
    <w:rsid w:val="0033688D"/>
    <w:rsid w:val="003403D8"/>
    <w:rsid w:val="00343344"/>
    <w:rsid w:val="00343F46"/>
    <w:rsid w:val="003450F7"/>
    <w:rsid w:val="0034613B"/>
    <w:rsid w:val="00346B18"/>
    <w:rsid w:val="00346B53"/>
    <w:rsid w:val="00351690"/>
    <w:rsid w:val="00353054"/>
    <w:rsid w:val="0035359B"/>
    <w:rsid w:val="003569A4"/>
    <w:rsid w:val="0036347F"/>
    <w:rsid w:val="003637F9"/>
    <w:rsid w:val="00366701"/>
    <w:rsid w:val="003705E2"/>
    <w:rsid w:val="003706F4"/>
    <w:rsid w:val="0038319D"/>
    <w:rsid w:val="00384F3D"/>
    <w:rsid w:val="003858FA"/>
    <w:rsid w:val="003A0123"/>
    <w:rsid w:val="003A1D44"/>
    <w:rsid w:val="003A6EC0"/>
    <w:rsid w:val="003B344A"/>
    <w:rsid w:val="003B3A3C"/>
    <w:rsid w:val="003B4788"/>
    <w:rsid w:val="003B4D02"/>
    <w:rsid w:val="003B7DCD"/>
    <w:rsid w:val="003B7F36"/>
    <w:rsid w:val="003C12FB"/>
    <w:rsid w:val="003C1337"/>
    <w:rsid w:val="003C2747"/>
    <w:rsid w:val="003C284F"/>
    <w:rsid w:val="003C4AB2"/>
    <w:rsid w:val="003D1235"/>
    <w:rsid w:val="003D3462"/>
    <w:rsid w:val="003D3A5F"/>
    <w:rsid w:val="003D484B"/>
    <w:rsid w:val="003D48AC"/>
    <w:rsid w:val="003E06EA"/>
    <w:rsid w:val="003E5D72"/>
    <w:rsid w:val="003E5F60"/>
    <w:rsid w:val="003F469C"/>
    <w:rsid w:val="003F5545"/>
    <w:rsid w:val="003F5716"/>
    <w:rsid w:val="003F622D"/>
    <w:rsid w:val="003F77BE"/>
    <w:rsid w:val="00402303"/>
    <w:rsid w:val="00411779"/>
    <w:rsid w:val="00414678"/>
    <w:rsid w:val="00415260"/>
    <w:rsid w:val="0041647B"/>
    <w:rsid w:val="004201EB"/>
    <w:rsid w:val="00423E54"/>
    <w:rsid w:val="00425630"/>
    <w:rsid w:val="00427F24"/>
    <w:rsid w:val="004320ED"/>
    <w:rsid w:val="004323B0"/>
    <w:rsid w:val="00442241"/>
    <w:rsid w:val="00442E31"/>
    <w:rsid w:val="0045622E"/>
    <w:rsid w:val="00466FA1"/>
    <w:rsid w:val="00471524"/>
    <w:rsid w:val="004770B5"/>
    <w:rsid w:val="0047747D"/>
    <w:rsid w:val="00482E7E"/>
    <w:rsid w:val="0048380E"/>
    <w:rsid w:val="00485D57"/>
    <w:rsid w:val="004A244F"/>
    <w:rsid w:val="004A3EBE"/>
    <w:rsid w:val="004A5104"/>
    <w:rsid w:val="004A676B"/>
    <w:rsid w:val="004B007F"/>
    <w:rsid w:val="004B057E"/>
    <w:rsid w:val="004B4685"/>
    <w:rsid w:val="004C1360"/>
    <w:rsid w:val="004C50CE"/>
    <w:rsid w:val="004D18F6"/>
    <w:rsid w:val="004D19A7"/>
    <w:rsid w:val="004D4193"/>
    <w:rsid w:val="004D4AD7"/>
    <w:rsid w:val="004D5CC3"/>
    <w:rsid w:val="004E1022"/>
    <w:rsid w:val="004E2DAB"/>
    <w:rsid w:val="004E347C"/>
    <w:rsid w:val="004E5377"/>
    <w:rsid w:val="004E6247"/>
    <w:rsid w:val="004E6BBE"/>
    <w:rsid w:val="004E6C38"/>
    <w:rsid w:val="004E70A1"/>
    <w:rsid w:val="004F3269"/>
    <w:rsid w:val="004F37B4"/>
    <w:rsid w:val="005012D0"/>
    <w:rsid w:val="00501DDF"/>
    <w:rsid w:val="0050339F"/>
    <w:rsid w:val="005033BC"/>
    <w:rsid w:val="0050557C"/>
    <w:rsid w:val="00506EEF"/>
    <w:rsid w:val="00513B2A"/>
    <w:rsid w:val="00515EC2"/>
    <w:rsid w:val="00521050"/>
    <w:rsid w:val="0052329A"/>
    <w:rsid w:val="005257E7"/>
    <w:rsid w:val="00531527"/>
    <w:rsid w:val="00532487"/>
    <w:rsid w:val="00533528"/>
    <w:rsid w:val="005345AC"/>
    <w:rsid w:val="00542B2F"/>
    <w:rsid w:val="00545038"/>
    <w:rsid w:val="00551230"/>
    <w:rsid w:val="00553A23"/>
    <w:rsid w:val="00554C47"/>
    <w:rsid w:val="00555271"/>
    <w:rsid w:val="00556C27"/>
    <w:rsid w:val="0056438F"/>
    <w:rsid w:val="00565AF2"/>
    <w:rsid w:val="00565F30"/>
    <w:rsid w:val="005676E6"/>
    <w:rsid w:val="00571160"/>
    <w:rsid w:val="00573EF9"/>
    <w:rsid w:val="005775B8"/>
    <w:rsid w:val="00577E1C"/>
    <w:rsid w:val="00582029"/>
    <w:rsid w:val="00583858"/>
    <w:rsid w:val="005908E1"/>
    <w:rsid w:val="0059514F"/>
    <w:rsid w:val="005A0804"/>
    <w:rsid w:val="005B05B8"/>
    <w:rsid w:val="005B1300"/>
    <w:rsid w:val="005B6719"/>
    <w:rsid w:val="005C0AA8"/>
    <w:rsid w:val="005C2FC1"/>
    <w:rsid w:val="005C5DAD"/>
    <w:rsid w:val="005C7152"/>
    <w:rsid w:val="005C7700"/>
    <w:rsid w:val="005D3A4E"/>
    <w:rsid w:val="005D5DA0"/>
    <w:rsid w:val="005D6272"/>
    <w:rsid w:val="005E1E00"/>
    <w:rsid w:val="005E279A"/>
    <w:rsid w:val="005E2A6B"/>
    <w:rsid w:val="005E37E8"/>
    <w:rsid w:val="005F7664"/>
    <w:rsid w:val="006008DF"/>
    <w:rsid w:val="0060154A"/>
    <w:rsid w:val="006041FA"/>
    <w:rsid w:val="00604C31"/>
    <w:rsid w:val="00612D2D"/>
    <w:rsid w:val="00613402"/>
    <w:rsid w:val="006141A3"/>
    <w:rsid w:val="006177CA"/>
    <w:rsid w:val="00617BAA"/>
    <w:rsid w:val="00621ACB"/>
    <w:rsid w:val="00625492"/>
    <w:rsid w:val="00636A4B"/>
    <w:rsid w:val="006373C4"/>
    <w:rsid w:val="0063785B"/>
    <w:rsid w:val="00641648"/>
    <w:rsid w:val="00647B0C"/>
    <w:rsid w:val="00652A80"/>
    <w:rsid w:val="006532E4"/>
    <w:rsid w:val="006576CF"/>
    <w:rsid w:val="00662718"/>
    <w:rsid w:val="00672C91"/>
    <w:rsid w:val="00676AD9"/>
    <w:rsid w:val="00685A67"/>
    <w:rsid w:val="00685F98"/>
    <w:rsid w:val="00687217"/>
    <w:rsid w:val="0069173E"/>
    <w:rsid w:val="0069389D"/>
    <w:rsid w:val="00695B16"/>
    <w:rsid w:val="006A0BCC"/>
    <w:rsid w:val="006A329B"/>
    <w:rsid w:val="006A3A07"/>
    <w:rsid w:val="006A4E98"/>
    <w:rsid w:val="006A52AD"/>
    <w:rsid w:val="006A7370"/>
    <w:rsid w:val="006B4246"/>
    <w:rsid w:val="006B443C"/>
    <w:rsid w:val="006C1658"/>
    <w:rsid w:val="006C2AD0"/>
    <w:rsid w:val="006D20E3"/>
    <w:rsid w:val="006D3312"/>
    <w:rsid w:val="006D3877"/>
    <w:rsid w:val="006D4A35"/>
    <w:rsid w:val="006D5077"/>
    <w:rsid w:val="006D623F"/>
    <w:rsid w:val="006E0B9B"/>
    <w:rsid w:val="006E7841"/>
    <w:rsid w:val="006F00CA"/>
    <w:rsid w:val="006F1F5F"/>
    <w:rsid w:val="00705A29"/>
    <w:rsid w:val="0071224C"/>
    <w:rsid w:val="0071520D"/>
    <w:rsid w:val="00715E82"/>
    <w:rsid w:val="00720FA5"/>
    <w:rsid w:val="00722C69"/>
    <w:rsid w:val="007237AC"/>
    <w:rsid w:val="00724123"/>
    <w:rsid w:val="007262EF"/>
    <w:rsid w:val="00726B6E"/>
    <w:rsid w:val="00730D62"/>
    <w:rsid w:val="00735689"/>
    <w:rsid w:val="00735A1A"/>
    <w:rsid w:val="00735B94"/>
    <w:rsid w:val="00736903"/>
    <w:rsid w:val="00737A56"/>
    <w:rsid w:val="00737D56"/>
    <w:rsid w:val="0074239D"/>
    <w:rsid w:val="00742D09"/>
    <w:rsid w:val="00745D0E"/>
    <w:rsid w:val="00746391"/>
    <w:rsid w:val="00747C30"/>
    <w:rsid w:val="00752FB1"/>
    <w:rsid w:val="007628FF"/>
    <w:rsid w:val="0076329E"/>
    <w:rsid w:val="007644EF"/>
    <w:rsid w:val="00767FDA"/>
    <w:rsid w:val="007711A5"/>
    <w:rsid w:val="00771BEB"/>
    <w:rsid w:val="00771E2C"/>
    <w:rsid w:val="007733ED"/>
    <w:rsid w:val="00773C8F"/>
    <w:rsid w:val="00776327"/>
    <w:rsid w:val="00776EC2"/>
    <w:rsid w:val="00777B45"/>
    <w:rsid w:val="00786FBF"/>
    <w:rsid w:val="00790549"/>
    <w:rsid w:val="00790949"/>
    <w:rsid w:val="00790A7A"/>
    <w:rsid w:val="0079145B"/>
    <w:rsid w:val="007A051E"/>
    <w:rsid w:val="007A084F"/>
    <w:rsid w:val="007A0E73"/>
    <w:rsid w:val="007A32F6"/>
    <w:rsid w:val="007A3F7D"/>
    <w:rsid w:val="007A5DF3"/>
    <w:rsid w:val="007A5F93"/>
    <w:rsid w:val="007B1867"/>
    <w:rsid w:val="007B5825"/>
    <w:rsid w:val="007C2479"/>
    <w:rsid w:val="007C7D37"/>
    <w:rsid w:val="007D08E7"/>
    <w:rsid w:val="007D0CC3"/>
    <w:rsid w:val="007D138C"/>
    <w:rsid w:val="007D6054"/>
    <w:rsid w:val="007E21D9"/>
    <w:rsid w:val="007F0099"/>
    <w:rsid w:val="007F3C38"/>
    <w:rsid w:val="007F4A10"/>
    <w:rsid w:val="007F5C82"/>
    <w:rsid w:val="0080117D"/>
    <w:rsid w:val="008029BA"/>
    <w:rsid w:val="00804AC2"/>
    <w:rsid w:val="00804B7F"/>
    <w:rsid w:val="0080618F"/>
    <w:rsid w:val="0080780D"/>
    <w:rsid w:val="00814217"/>
    <w:rsid w:val="00817DA7"/>
    <w:rsid w:val="0082354B"/>
    <w:rsid w:val="00832DB1"/>
    <w:rsid w:val="008417BA"/>
    <w:rsid w:val="00842D7D"/>
    <w:rsid w:val="0084346A"/>
    <w:rsid w:val="0084600B"/>
    <w:rsid w:val="00847432"/>
    <w:rsid w:val="008505D1"/>
    <w:rsid w:val="00851A3A"/>
    <w:rsid w:val="008607BE"/>
    <w:rsid w:val="0086170D"/>
    <w:rsid w:val="008646BC"/>
    <w:rsid w:val="00864C18"/>
    <w:rsid w:val="00872440"/>
    <w:rsid w:val="00875824"/>
    <w:rsid w:val="00876241"/>
    <w:rsid w:val="00880DEE"/>
    <w:rsid w:val="00880F8A"/>
    <w:rsid w:val="00881299"/>
    <w:rsid w:val="00881584"/>
    <w:rsid w:val="00882AD6"/>
    <w:rsid w:val="00882E93"/>
    <w:rsid w:val="00885791"/>
    <w:rsid w:val="0088607F"/>
    <w:rsid w:val="00887D51"/>
    <w:rsid w:val="008A132E"/>
    <w:rsid w:val="008A6F8C"/>
    <w:rsid w:val="008A7B2C"/>
    <w:rsid w:val="008B029F"/>
    <w:rsid w:val="008C2042"/>
    <w:rsid w:val="008C301E"/>
    <w:rsid w:val="008C66F8"/>
    <w:rsid w:val="008C6C3D"/>
    <w:rsid w:val="008D0402"/>
    <w:rsid w:val="008D5874"/>
    <w:rsid w:val="008F2DBE"/>
    <w:rsid w:val="008F5358"/>
    <w:rsid w:val="008F5909"/>
    <w:rsid w:val="00900BE6"/>
    <w:rsid w:val="00900C47"/>
    <w:rsid w:val="00901351"/>
    <w:rsid w:val="009021F1"/>
    <w:rsid w:val="00904B91"/>
    <w:rsid w:val="009057A4"/>
    <w:rsid w:val="009069E5"/>
    <w:rsid w:val="00916DAF"/>
    <w:rsid w:val="009220EE"/>
    <w:rsid w:val="00926701"/>
    <w:rsid w:val="00931669"/>
    <w:rsid w:val="0093195C"/>
    <w:rsid w:val="009339F6"/>
    <w:rsid w:val="009366D4"/>
    <w:rsid w:val="00936CB3"/>
    <w:rsid w:val="00942248"/>
    <w:rsid w:val="0094226F"/>
    <w:rsid w:val="00946798"/>
    <w:rsid w:val="0095306E"/>
    <w:rsid w:val="00954C70"/>
    <w:rsid w:val="0096093E"/>
    <w:rsid w:val="009617EA"/>
    <w:rsid w:val="00964527"/>
    <w:rsid w:val="00981747"/>
    <w:rsid w:val="009827BA"/>
    <w:rsid w:val="0098587C"/>
    <w:rsid w:val="009877DD"/>
    <w:rsid w:val="009957C1"/>
    <w:rsid w:val="00996B9A"/>
    <w:rsid w:val="00997373"/>
    <w:rsid w:val="00997BCD"/>
    <w:rsid w:val="009A01AF"/>
    <w:rsid w:val="009A03F5"/>
    <w:rsid w:val="009A0D9E"/>
    <w:rsid w:val="009A3CD4"/>
    <w:rsid w:val="009A7A86"/>
    <w:rsid w:val="009B0EFA"/>
    <w:rsid w:val="009C3978"/>
    <w:rsid w:val="009C4F3E"/>
    <w:rsid w:val="009C5FA4"/>
    <w:rsid w:val="009C6284"/>
    <w:rsid w:val="009C7AC6"/>
    <w:rsid w:val="009D0BA0"/>
    <w:rsid w:val="009D0EFD"/>
    <w:rsid w:val="009D1A16"/>
    <w:rsid w:val="009D231A"/>
    <w:rsid w:val="009D750D"/>
    <w:rsid w:val="009E0A03"/>
    <w:rsid w:val="009F313F"/>
    <w:rsid w:val="009F3455"/>
    <w:rsid w:val="009F6096"/>
    <w:rsid w:val="00A00B8B"/>
    <w:rsid w:val="00A0396F"/>
    <w:rsid w:val="00A0404E"/>
    <w:rsid w:val="00A06E0F"/>
    <w:rsid w:val="00A203D2"/>
    <w:rsid w:val="00A20C73"/>
    <w:rsid w:val="00A25120"/>
    <w:rsid w:val="00A256CE"/>
    <w:rsid w:val="00A25B60"/>
    <w:rsid w:val="00A27D98"/>
    <w:rsid w:val="00A3137C"/>
    <w:rsid w:val="00A31C52"/>
    <w:rsid w:val="00A343AD"/>
    <w:rsid w:val="00A356D2"/>
    <w:rsid w:val="00A4116E"/>
    <w:rsid w:val="00A4261E"/>
    <w:rsid w:val="00A4460A"/>
    <w:rsid w:val="00A4539B"/>
    <w:rsid w:val="00A46640"/>
    <w:rsid w:val="00A4675F"/>
    <w:rsid w:val="00A46A36"/>
    <w:rsid w:val="00A516CD"/>
    <w:rsid w:val="00A51D41"/>
    <w:rsid w:val="00A5475D"/>
    <w:rsid w:val="00A617BC"/>
    <w:rsid w:val="00A63BDE"/>
    <w:rsid w:val="00A66A7C"/>
    <w:rsid w:val="00A729E2"/>
    <w:rsid w:val="00A8029F"/>
    <w:rsid w:val="00A86DDB"/>
    <w:rsid w:val="00A87B62"/>
    <w:rsid w:val="00A957DB"/>
    <w:rsid w:val="00A95C6C"/>
    <w:rsid w:val="00AA14C5"/>
    <w:rsid w:val="00AA298B"/>
    <w:rsid w:val="00AA7130"/>
    <w:rsid w:val="00AA74B5"/>
    <w:rsid w:val="00AB1DDD"/>
    <w:rsid w:val="00AC7A91"/>
    <w:rsid w:val="00AD209D"/>
    <w:rsid w:val="00AD3851"/>
    <w:rsid w:val="00AD5663"/>
    <w:rsid w:val="00AD648B"/>
    <w:rsid w:val="00AE4781"/>
    <w:rsid w:val="00AE5B9E"/>
    <w:rsid w:val="00AE7869"/>
    <w:rsid w:val="00AF335F"/>
    <w:rsid w:val="00AF459A"/>
    <w:rsid w:val="00AF476D"/>
    <w:rsid w:val="00AF72D7"/>
    <w:rsid w:val="00B02CF4"/>
    <w:rsid w:val="00B05567"/>
    <w:rsid w:val="00B05647"/>
    <w:rsid w:val="00B07189"/>
    <w:rsid w:val="00B07675"/>
    <w:rsid w:val="00B15F2E"/>
    <w:rsid w:val="00B32261"/>
    <w:rsid w:val="00B33EE1"/>
    <w:rsid w:val="00B41C12"/>
    <w:rsid w:val="00B435F9"/>
    <w:rsid w:val="00B4378A"/>
    <w:rsid w:val="00B43D3B"/>
    <w:rsid w:val="00B46CEE"/>
    <w:rsid w:val="00B46FD8"/>
    <w:rsid w:val="00B47E5D"/>
    <w:rsid w:val="00B51157"/>
    <w:rsid w:val="00B53730"/>
    <w:rsid w:val="00B54D21"/>
    <w:rsid w:val="00B56CCC"/>
    <w:rsid w:val="00B573B3"/>
    <w:rsid w:val="00B624CB"/>
    <w:rsid w:val="00B663F0"/>
    <w:rsid w:val="00B7404C"/>
    <w:rsid w:val="00B75A07"/>
    <w:rsid w:val="00B76B6B"/>
    <w:rsid w:val="00B84701"/>
    <w:rsid w:val="00B87CAA"/>
    <w:rsid w:val="00B915EF"/>
    <w:rsid w:val="00B931EC"/>
    <w:rsid w:val="00B950C6"/>
    <w:rsid w:val="00B959A6"/>
    <w:rsid w:val="00B97616"/>
    <w:rsid w:val="00BA0C46"/>
    <w:rsid w:val="00BB0072"/>
    <w:rsid w:val="00BB56C9"/>
    <w:rsid w:val="00BB7E75"/>
    <w:rsid w:val="00BC4A32"/>
    <w:rsid w:val="00BD10AA"/>
    <w:rsid w:val="00BD357A"/>
    <w:rsid w:val="00BD4BD5"/>
    <w:rsid w:val="00BF0C45"/>
    <w:rsid w:val="00BF15B1"/>
    <w:rsid w:val="00BF2030"/>
    <w:rsid w:val="00BF394F"/>
    <w:rsid w:val="00BF5CBB"/>
    <w:rsid w:val="00C03C6B"/>
    <w:rsid w:val="00C04040"/>
    <w:rsid w:val="00C044CD"/>
    <w:rsid w:val="00C06781"/>
    <w:rsid w:val="00C075D0"/>
    <w:rsid w:val="00C14582"/>
    <w:rsid w:val="00C15C2E"/>
    <w:rsid w:val="00C2019D"/>
    <w:rsid w:val="00C262F2"/>
    <w:rsid w:val="00C3445B"/>
    <w:rsid w:val="00C41696"/>
    <w:rsid w:val="00C52648"/>
    <w:rsid w:val="00C5757C"/>
    <w:rsid w:val="00C60DE9"/>
    <w:rsid w:val="00C61A8B"/>
    <w:rsid w:val="00C67084"/>
    <w:rsid w:val="00C708DA"/>
    <w:rsid w:val="00C74249"/>
    <w:rsid w:val="00C7466A"/>
    <w:rsid w:val="00C7763D"/>
    <w:rsid w:val="00C800E2"/>
    <w:rsid w:val="00C83480"/>
    <w:rsid w:val="00C8351E"/>
    <w:rsid w:val="00C84DB8"/>
    <w:rsid w:val="00C8610A"/>
    <w:rsid w:val="00C87A5C"/>
    <w:rsid w:val="00C958FB"/>
    <w:rsid w:val="00C97AE3"/>
    <w:rsid w:val="00CA04DC"/>
    <w:rsid w:val="00CA4ABD"/>
    <w:rsid w:val="00CB4EA8"/>
    <w:rsid w:val="00CC0C60"/>
    <w:rsid w:val="00CC28E4"/>
    <w:rsid w:val="00CC324B"/>
    <w:rsid w:val="00CC36EB"/>
    <w:rsid w:val="00CC380C"/>
    <w:rsid w:val="00CC69CF"/>
    <w:rsid w:val="00CD37AA"/>
    <w:rsid w:val="00CE4DD1"/>
    <w:rsid w:val="00CE51A7"/>
    <w:rsid w:val="00CF67A7"/>
    <w:rsid w:val="00D0011E"/>
    <w:rsid w:val="00D01EE1"/>
    <w:rsid w:val="00D02ECF"/>
    <w:rsid w:val="00D0612E"/>
    <w:rsid w:val="00D10536"/>
    <w:rsid w:val="00D11EDD"/>
    <w:rsid w:val="00D12B86"/>
    <w:rsid w:val="00D12C3D"/>
    <w:rsid w:val="00D15DC7"/>
    <w:rsid w:val="00D16E51"/>
    <w:rsid w:val="00D228BC"/>
    <w:rsid w:val="00D2375C"/>
    <w:rsid w:val="00D247E4"/>
    <w:rsid w:val="00D277B7"/>
    <w:rsid w:val="00D31E7B"/>
    <w:rsid w:val="00D33D04"/>
    <w:rsid w:val="00D33F27"/>
    <w:rsid w:val="00D408C2"/>
    <w:rsid w:val="00D4576F"/>
    <w:rsid w:val="00D45E02"/>
    <w:rsid w:val="00D502BA"/>
    <w:rsid w:val="00D55102"/>
    <w:rsid w:val="00D55A73"/>
    <w:rsid w:val="00D55BFB"/>
    <w:rsid w:val="00D57A84"/>
    <w:rsid w:val="00D6231A"/>
    <w:rsid w:val="00D637A1"/>
    <w:rsid w:val="00D64D43"/>
    <w:rsid w:val="00D66C41"/>
    <w:rsid w:val="00D7238C"/>
    <w:rsid w:val="00D819A0"/>
    <w:rsid w:val="00D8215E"/>
    <w:rsid w:val="00D83B21"/>
    <w:rsid w:val="00D83B8D"/>
    <w:rsid w:val="00D8478A"/>
    <w:rsid w:val="00D926FB"/>
    <w:rsid w:val="00D9549E"/>
    <w:rsid w:val="00D95D87"/>
    <w:rsid w:val="00D9759D"/>
    <w:rsid w:val="00DA02C1"/>
    <w:rsid w:val="00DA3DDE"/>
    <w:rsid w:val="00DA611B"/>
    <w:rsid w:val="00DA6C7B"/>
    <w:rsid w:val="00DB2127"/>
    <w:rsid w:val="00DB293C"/>
    <w:rsid w:val="00DB4DA0"/>
    <w:rsid w:val="00DB5C91"/>
    <w:rsid w:val="00DB7681"/>
    <w:rsid w:val="00DB7865"/>
    <w:rsid w:val="00DC16FB"/>
    <w:rsid w:val="00DC3B6A"/>
    <w:rsid w:val="00DC4764"/>
    <w:rsid w:val="00DC59C7"/>
    <w:rsid w:val="00DC658A"/>
    <w:rsid w:val="00DC773D"/>
    <w:rsid w:val="00DD110C"/>
    <w:rsid w:val="00DE240D"/>
    <w:rsid w:val="00DE75B9"/>
    <w:rsid w:val="00DF1F01"/>
    <w:rsid w:val="00E02E68"/>
    <w:rsid w:val="00E10E20"/>
    <w:rsid w:val="00E12D3A"/>
    <w:rsid w:val="00E12F58"/>
    <w:rsid w:val="00E148A6"/>
    <w:rsid w:val="00E15DBA"/>
    <w:rsid w:val="00E16811"/>
    <w:rsid w:val="00E2264F"/>
    <w:rsid w:val="00E3357C"/>
    <w:rsid w:val="00E35698"/>
    <w:rsid w:val="00E36237"/>
    <w:rsid w:val="00E371D9"/>
    <w:rsid w:val="00E40270"/>
    <w:rsid w:val="00E40399"/>
    <w:rsid w:val="00E44F01"/>
    <w:rsid w:val="00E46B09"/>
    <w:rsid w:val="00E4725A"/>
    <w:rsid w:val="00E47612"/>
    <w:rsid w:val="00E47FE0"/>
    <w:rsid w:val="00E61EC3"/>
    <w:rsid w:val="00E625B5"/>
    <w:rsid w:val="00E63B2C"/>
    <w:rsid w:val="00E71B43"/>
    <w:rsid w:val="00E737B3"/>
    <w:rsid w:val="00E75AFC"/>
    <w:rsid w:val="00E92FFF"/>
    <w:rsid w:val="00E937E6"/>
    <w:rsid w:val="00E96067"/>
    <w:rsid w:val="00EA2F87"/>
    <w:rsid w:val="00EA4D03"/>
    <w:rsid w:val="00EA5A91"/>
    <w:rsid w:val="00EB0939"/>
    <w:rsid w:val="00EB325E"/>
    <w:rsid w:val="00EB42CF"/>
    <w:rsid w:val="00EB4A20"/>
    <w:rsid w:val="00EC35BC"/>
    <w:rsid w:val="00ED13D4"/>
    <w:rsid w:val="00ED20A8"/>
    <w:rsid w:val="00ED4787"/>
    <w:rsid w:val="00ED58C9"/>
    <w:rsid w:val="00ED7B69"/>
    <w:rsid w:val="00ED7C0E"/>
    <w:rsid w:val="00EE0448"/>
    <w:rsid w:val="00EE4ADA"/>
    <w:rsid w:val="00EE71D9"/>
    <w:rsid w:val="00EF06AF"/>
    <w:rsid w:val="00EF275C"/>
    <w:rsid w:val="00F011AC"/>
    <w:rsid w:val="00F07CDD"/>
    <w:rsid w:val="00F07D3D"/>
    <w:rsid w:val="00F175FB"/>
    <w:rsid w:val="00F200AB"/>
    <w:rsid w:val="00F217AE"/>
    <w:rsid w:val="00F2298B"/>
    <w:rsid w:val="00F25385"/>
    <w:rsid w:val="00F25779"/>
    <w:rsid w:val="00F25D9C"/>
    <w:rsid w:val="00F260C7"/>
    <w:rsid w:val="00F26CA6"/>
    <w:rsid w:val="00F30A34"/>
    <w:rsid w:val="00F326DC"/>
    <w:rsid w:val="00F360DE"/>
    <w:rsid w:val="00F45B5A"/>
    <w:rsid w:val="00F47057"/>
    <w:rsid w:val="00F60F63"/>
    <w:rsid w:val="00F61C02"/>
    <w:rsid w:val="00F61CF7"/>
    <w:rsid w:val="00F646D6"/>
    <w:rsid w:val="00F664E0"/>
    <w:rsid w:val="00F67F68"/>
    <w:rsid w:val="00F832F4"/>
    <w:rsid w:val="00F8515F"/>
    <w:rsid w:val="00F8597D"/>
    <w:rsid w:val="00F87C98"/>
    <w:rsid w:val="00F87E0D"/>
    <w:rsid w:val="00F95393"/>
    <w:rsid w:val="00FA4C87"/>
    <w:rsid w:val="00FB1282"/>
    <w:rsid w:val="00FC07B4"/>
    <w:rsid w:val="00FC143B"/>
    <w:rsid w:val="00FD1988"/>
    <w:rsid w:val="00FD3823"/>
    <w:rsid w:val="00FD46B5"/>
    <w:rsid w:val="00FD551B"/>
    <w:rsid w:val="00FD5B5F"/>
    <w:rsid w:val="00FD5D39"/>
    <w:rsid w:val="00FD6AA3"/>
    <w:rsid w:val="00FE4CC2"/>
    <w:rsid w:val="00FE69FA"/>
    <w:rsid w:val="00FF06B6"/>
    <w:rsid w:val="00FF1DF4"/>
    <w:rsid w:val="00FF3A62"/>
    <w:rsid w:val="00FF4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7FABA8"/>
  <w15:chartTrackingRefBased/>
  <w15:docId w15:val="{51368CDF-FBA7-4960-92F8-E9A67886B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29BA"/>
    <w:rPr>
      <w:rFonts w:ascii="Arial" w:hAnsi="Arial"/>
    </w:rPr>
  </w:style>
  <w:style w:type="paragraph" w:styleId="Heading1">
    <w:name w:val="heading 1"/>
    <w:basedOn w:val="Normal"/>
    <w:next w:val="Normal"/>
    <w:link w:val="Heading1Char"/>
    <w:uiPriority w:val="9"/>
    <w:qFormat/>
    <w:rsid w:val="008724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32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D419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29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29BA"/>
    <w:rPr>
      <w:rFonts w:eastAsiaTheme="minorEastAsia"/>
      <w:lang w:val="en-US"/>
    </w:rPr>
  </w:style>
  <w:style w:type="paragraph" w:styleId="NormalWeb">
    <w:name w:val="Normal (Web)"/>
    <w:basedOn w:val="Normal"/>
    <w:uiPriority w:val="99"/>
    <w:semiHidden/>
    <w:unhideWhenUsed/>
    <w:rsid w:val="008029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7244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72440"/>
    <w:pPr>
      <w:spacing w:line="259" w:lineRule="auto"/>
      <w:outlineLvl w:val="9"/>
    </w:pPr>
    <w:rPr>
      <w:lang w:val="en-US"/>
    </w:rPr>
  </w:style>
  <w:style w:type="paragraph" w:styleId="TOC1">
    <w:name w:val="toc 1"/>
    <w:basedOn w:val="Normal"/>
    <w:next w:val="Normal"/>
    <w:autoRedefine/>
    <w:uiPriority w:val="39"/>
    <w:unhideWhenUsed/>
    <w:rsid w:val="00872440"/>
    <w:pPr>
      <w:spacing w:after="100"/>
    </w:pPr>
  </w:style>
  <w:style w:type="character" w:styleId="Hyperlink">
    <w:name w:val="Hyperlink"/>
    <w:basedOn w:val="DefaultParagraphFont"/>
    <w:uiPriority w:val="99"/>
    <w:unhideWhenUsed/>
    <w:rsid w:val="00872440"/>
    <w:rPr>
      <w:color w:val="0563C1" w:themeColor="hyperlink"/>
      <w:u w:val="single"/>
    </w:rPr>
  </w:style>
  <w:style w:type="paragraph" w:styleId="Header">
    <w:name w:val="header"/>
    <w:basedOn w:val="Normal"/>
    <w:link w:val="HeaderChar"/>
    <w:uiPriority w:val="99"/>
    <w:unhideWhenUsed/>
    <w:rsid w:val="00872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440"/>
    <w:rPr>
      <w:rFonts w:ascii="Arial" w:hAnsi="Arial"/>
    </w:rPr>
  </w:style>
  <w:style w:type="paragraph" w:styleId="Footer">
    <w:name w:val="footer"/>
    <w:basedOn w:val="Normal"/>
    <w:link w:val="FooterChar"/>
    <w:uiPriority w:val="99"/>
    <w:unhideWhenUsed/>
    <w:qFormat/>
    <w:rsid w:val="00872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440"/>
    <w:rPr>
      <w:rFonts w:ascii="Arial" w:hAnsi="Arial"/>
    </w:rPr>
  </w:style>
  <w:style w:type="character" w:styleId="PlaceholderText">
    <w:name w:val="Placeholder Text"/>
    <w:basedOn w:val="DefaultParagraphFont"/>
    <w:uiPriority w:val="99"/>
    <w:semiHidden/>
    <w:rsid w:val="00BB0072"/>
    <w:rPr>
      <w:color w:val="808080"/>
    </w:rPr>
  </w:style>
  <w:style w:type="paragraph" w:styleId="z-TopofForm">
    <w:name w:val="HTML Top of Form"/>
    <w:basedOn w:val="Normal"/>
    <w:next w:val="Normal"/>
    <w:link w:val="z-TopofFormChar"/>
    <w:hidden/>
    <w:uiPriority w:val="99"/>
    <w:semiHidden/>
    <w:unhideWhenUsed/>
    <w:rsid w:val="002972C5"/>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2972C5"/>
    <w:rPr>
      <w:rFonts w:ascii="Arial" w:eastAsia="Times New Roman" w:hAnsi="Arial" w:cs="Arial"/>
      <w:vanish/>
      <w:sz w:val="16"/>
      <w:szCs w:val="16"/>
      <w:lang w:eastAsia="en-GB"/>
    </w:rPr>
  </w:style>
  <w:style w:type="paragraph" w:styleId="Caption">
    <w:name w:val="caption"/>
    <w:basedOn w:val="Normal"/>
    <w:next w:val="Normal"/>
    <w:uiPriority w:val="35"/>
    <w:unhideWhenUsed/>
    <w:qFormat/>
    <w:rsid w:val="00AD648B"/>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1B6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B6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B6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3823"/>
    <w:pPr>
      <w:ind w:left="720"/>
      <w:contextualSpacing/>
    </w:pPr>
  </w:style>
  <w:style w:type="character" w:customStyle="1" w:styleId="Heading2Char">
    <w:name w:val="Heading 2 Char"/>
    <w:basedOn w:val="DefaultParagraphFont"/>
    <w:link w:val="Heading2"/>
    <w:uiPriority w:val="9"/>
    <w:rsid w:val="00CC324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C284F"/>
    <w:pPr>
      <w:spacing w:after="100"/>
      <w:ind w:left="220"/>
    </w:pPr>
  </w:style>
  <w:style w:type="paragraph" w:styleId="TableofFigures">
    <w:name w:val="table of figures"/>
    <w:basedOn w:val="Normal"/>
    <w:next w:val="Normal"/>
    <w:uiPriority w:val="99"/>
    <w:unhideWhenUsed/>
    <w:rsid w:val="009220EE"/>
    <w:pPr>
      <w:spacing w:after="0"/>
    </w:pPr>
  </w:style>
  <w:style w:type="paragraph" w:styleId="BalloonText">
    <w:name w:val="Balloon Text"/>
    <w:basedOn w:val="Normal"/>
    <w:link w:val="BalloonTextChar"/>
    <w:uiPriority w:val="99"/>
    <w:semiHidden/>
    <w:unhideWhenUsed/>
    <w:rsid w:val="00D24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7E4"/>
    <w:rPr>
      <w:rFonts w:ascii="Segoe UI" w:hAnsi="Segoe UI" w:cs="Segoe UI"/>
      <w:sz w:val="18"/>
      <w:szCs w:val="18"/>
    </w:rPr>
  </w:style>
  <w:style w:type="character" w:styleId="CommentReference">
    <w:name w:val="annotation reference"/>
    <w:basedOn w:val="DefaultParagraphFont"/>
    <w:uiPriority w:val="99"/>
    <w:semiHidden/>
    <w:unhideWhenUsed/>
    <w:rsid w:val="006A4E98"/>
    <w:rPr>
      <w:sz w:val="16"/>
      <w:szCs w:val="16"/>
    </w:rPr>
  </w:style>
  <w:style w:type="paragraph" w:styleId="CommentText">
    <w:name w:val="annotation text"/>
    <w:basedOn w:val="Normal"/>
    <w:link w:val="CommentTextChar"/>
    <w:uiPriority w:val="99"/>
    <w:unhideWhenUsed/>
    <w:rsid w:val="006A4E98"/>
    <w:pPr>
      <w:spacing w:line="240" w:lineRule="auto"/>
    </w:pPr>
    <w:rPr>
      <w:rFonts w:asciiTheme="minorHAnsi" w:hAnsiTheme="minorHAnsi"/>
      <w:sz w:val="20"/>
      <w:szCs w:val="20"/>
    </w:rPr>
  </w:style>
  <w:style w:type="character" w:customStyle="1" w:styleId="CommentTextChar">
    <w:name w:val="Comment Text Char"/>
    <w:basedOn w:val="DefaultParagraphFont"/>
    <w:link w:val="CommentText"/>
    <w:uiPriority w:val="99"/>
    <w:rsid w:val="006A4E98"/>
    <w:rPr>
      <w:sz w:val="20"/>
      <w:szCs w:val="20"/>
    </w:rPr>
  </w:style>
  <w:style w:type="character" w:customStyle="1" w:styleId="Heading3Char">
    <w:name w:val="Heading 3 Char"/>
    <w:basedOn w:val="DefaultParagraphFont"/>
    <w:link w:val="Heading3"/>
    <w:uiPriority w:val="9"/>
    <w:rsid w:val="004D419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43F46"/>
    <w:pPr>
      <w:spacing w:after="100"/>
      <w:ind w:left="440"/>
    </w:pPr>
  </w:style>
  <w:style w:type="paragraph" w:styleId="Revision">
    <w:name w:val="Revision"/>
    <w:hidden/>
    <w:uiPriority w:val="99"/>
    <w:semiHidden/>
    <w:rsid w:val="00B950C6"/>
    <w:pPr>
      <w:spacing w:after="0" w:line="240" w:lineRule="auto"/>
    </w:pPr>
    <w:rPr>
      <w:rFonts w:ascii="Arial" w:hAnsi="Arial"/>
    </w:rPr>
  </w:style>
  <w:style w:type="paragraph" w:styleId="CommentSubject">
    <w:name w:val="annotation subject"/>
    <w:basedOn w:val="CommentText"/>
    <w:next w:val="CommentText"/>
    <w:link w:val="CommentSubjectChar"/>
    <w:uiPriority w:val="99"/>
    <w:semiHidden/>
    <w:unhideWhenUsed/>
    <w:rsid w:val="00E2264F"/>
    <w:rPr>
      <w:rFonts w:ascii="Arial" w:hAnsi="Arial"/>
      <w:b/>
      <w:bCs/>
    </w:rPr>
  </w:style>
  <w:style w:type="character" w:customStyle="1" w:styleId="CommentSubjectChar">
    <w:name w:val="Comment Subject Char"/>
    <w:basedOn w:val="CommentTextChar"/>
    <w:link w:val="CommentSubject"/>
    <w:uiPriority w:val="99"/>
    <w:semiHidden/>
    <w:rsid w:val="00E2264F"/>
    <w:rPr>
      <w:rFonts w:ascii="Arial" w:hAnsi="Arial"/>
      <w:b/>
      <w:bCs/>
      <w:sz w:val="20"/>
      <w:szCs w:val="20"/>
    </w:rPr>
  </w:style>
  <w:style w:type="character" w:customStyle="1" w:styleId="UnresolvedMention1">
    <w:name w:val="Unresolved Mention1"/>
    <w:basedOn w:val="DefaultParagraphFont"/>
    <w:uiPriority w:val="99"/>
    <w:semiHidden/>
    <w:unhideWhenUsed/>
    <w:rsid w:val="00041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750067">
      <w:bodyDiv w:val="1"/>
      <w:marLeft w:val="0"/>
      <w:marRight w:val="0"/>
      <w:marTop w:val="0"/>
      <w:marBottom w:val="0"/>
      <w:divBdr>
        <w:top w:val="none" w:sz="0" w:space="0" w:color="auto"/>
        <w:left w:val="none" w:sz="0" w:space="0" w:color="auto"/>
        <w:bottom w:val="none" w:sz="0" w:space="0" w:color="auto"/>
        <w:right w:val="none" w:sz="0" w:space="0" w:color="auto"/>
      </w:divBdr>
    </w:div>
    <w:div w:id="62217134">
      <w:bodyDiv w:val="1"/>
      <w:marLeft w:val="0"/>
      <w:marRight w:val="0"/>
      <w:marTop w:val="0"/>
      <w:marBottom w:val="0"/>
      <w:divBdr>
        <w:top w:val="none" w:sz="0" w:space="0" w:color="auto"/>
        <w:left w:val="none" w:sz="0" w:space="0" w:color="auto"/>
        <w:bottom w:val="none" w:sz="0" w:space="0" w:color="auto"/>
        <w:right w:val="none" w:sz="0" w:space="0" w:color="auto"/>
      </w:divBdr>
    </w:div>
    <w:div w:id="334961150">
      <w:bodyDiv w:val="1"/>
      <w:marLeft w:val="0"/>
      <w:marRight w:val="0"/>
      <w:marTop w:val="0"/>
      <w:marBottom w:val="0"/>
      <w:divBdr>
        <w:top w:val="none" w:sz="0" w:space="0" w:color="auto"/>
        <w:left w:val="none" w:sz="0" w:space="0" w:color="auto"/>
        <w:bottom w:val="none" w:sz="0" w:space="0" w:color="auto"/>
        <w:right w:val="none" w:sz="0" w:space="0" w:color="auto"/>
      </w:divBdr>
    </w:div>
    <w:div w:id="355154296">
      <w:bodyDiv w:val="1"/>
      <w:marLeft w:val="0"/>
      <w:marRight w:val="0"/>
      <w:marTop w:val="0"/>
      <w:marBottom w:val="0"/>
      <w:divBdr>
        <w:top w:val="none" w:sz="0" w:space="0" w:color="auto"/>
        <w:left w:val="none" w:sz="0" w:space="0" w:color="auto"/>
        <w:bottom w:val="none" w:sz="0" w:space="0" w:color="auto"/>
        <w:right w:val="none" w:sz="0" w:space="0" w:color="auto"/>
      </w:divBdr>
    </w:div>
    <w:div w:id="377356886">
      <w:bodyDiv w:val="1"/>
      <w:marLeft w:val="0"/>
      <w:marRight w:val="0"/>
      <w:marTop w:val="0"/>
      <w:marBottom w:val="0"/>
      <w:divBdr>
        <w:top w:val="none" w:sz="0" w:space="0" w:color="auto"/>
        <w:left w:val="none" w:sz="0" w:space="0" w:color="auto"/>
        <w:bottom w:val="none" w:sz="0" w:space="0" w:color="auto"/>
        <w:right w:val="none" w:sz="0" w:space="0" w:color="auto"/>
      </w:divBdr>
    </w:div>
    <w:div w:id="527717242">
      <w:bodyDiv w:val="1"/>
      <w:marLeft w:val="0"/>
      <w:marRight w:val="0"/>
      <w:marTop w:val="0"/>
      <w:marBottom w:val="0"/>
      <w:divBdr>
        <w:top w:val="none" w:sz="0" w:space="0" w:color="auto"/>
        <w:left w:val="none" w:sz="0" w:space="0" w:color="auto"/>
        <w:bottom w:val="none" w:sz="0" w:space="0" w:color="auto"/>
        <w:right w:val="none" w:sz="0" w:space="0" w:color="auto"/>
      </w:divBdr>
    </w:div>
    <w:div w:id="619460068">
      <w:bodyDiv w:val="1"/>
      <w:marLeft w:val="0"/>
      <w:marRight w:val="0"/>
      <w:marTop w:val="0"/>
      <w:marBottom w:val="0"/>
      <w:divBdr>
        <w:top w:val="none" w:sz="0" w:space="0" w:color="auto"/>
        <w:left w:val="none" w:sz="0" w:space="0" w:color="auto"/>
        <w:bottom w:val="none" w:sz="0" w:space="0" w:color="auto"/>
        <w:right w:val="none" w:sz="0" w:space="0" w:color="auto"/>
      </w:divBdr>
    </w:div>
    <w:div w:id="764497389">
      <w:bodyDiv w:val="1"/>
      <w:marLeft w:val="0"/>
      <w:marRight w:val="0"/>
      <w:marTop w:val="0"/>
      <w:marBottom w:val="0"/>
      <w:divBdr>
        <w:top w:val="none" w:sz="0" w:space="0" w:color="auto"/>
        <w:left w:val="none" w:sz="0" w:space="0" w:color="auto"/>
        <w:bottom w:val="none" w:sz="0" w:space="0" w:color="auto"/>
        <w:right w:val="none" w:sz="0" w:space="0" w:color="auto"/>
      </w:divBdr>
      <w:divsChild>
        <w:div w:id="951596661">
          <w:marLeft w:val="0"/>
          <w:marRight w:val="0"/>
          <w:marTop w:val="0"/>
          <w:marBottom w:val="0"/>
          <w:divBdr>
            <w:top w:val="single" w:sz="6" w:space="0" w:color="D9D9E3"/>
            <w:left w:val="single" w:sz="2" w:space="0" w:color="D9D9E3"/>
            <w:bottom w:val="single" w:sz="2" w:space="0" w:color="D9D9E3"/>
            <w:right w:val="single" w:sz="2" w:space="0" w:color="D9D9E3"/>
          </w:divBdr>
        </w:div>
        <w:div w:id="2112043058">
          <w:marLeft w:val="0"/>
          <w:marRight w:val="0"/>
          <w:marTop w:val="0"/>
          <w:marBottom w:val="0"/>
          <w:divBdr>
            <w:top w:val="single" w:sz="2" w:space="0" w:color="D9D9E3"/>
            <w:left w:val="single" w:sz="2" w:space="0" w:color="D9D9E3"/>
            <w:bottom w:val="single" w:sz="2" w:space="0" w:color="D9D9E3"/>
            <w:right w:val="single" w:sz="2" w:space="0" w:color="D9D9E3"/>
          </w:divBdr>
          <w:divsChild>
            <w:div w:id="1018241870">
              <w:marLeft w:val="0"/>
              <w:marRight w:val="0"/>
              <w:marTop w:val="0"/>
              <w:marBottom w:val="0"/>
              <w:divBdr>
                <w:top w:val="single" w:sz="2" w:space="0" w:color="D9D9E3"/>
                <w:left w:val="single" w:sz="2" w:space="0" w:color="D9D9E3"/>
                <w:bottom w:val="single" w:sz="2" w:space="0" w:color="D9D9E3"/>
                <w:right w:val="single" w:sz="2" w:space="0" w:color="D9D9E3"/>
              </w:divBdr>
              <w:divsChild>
                <w:div w:id="2095465502">
                  <w:marLeft w:val="0"/>
                  <w:marRight w:val="0"/>
                  <w:marTop w:val="0"/>
                  <w:marBottom w:val="0"/>
                  <w:divBdr>
                    <w:top w:val="single" w:sz="2" w:space="0" w:color="D9D9E3"/>
                    <w:left w:val="single" w:sz="2" w:space="0" w:color="D9D9E3"/>
                    <w:bottom w:val="single" w:sz="2" w:space="0" w:color="D9D9E3"/>
                    <w:right w:val="single" w:sz="2" w:space="0" w:color="D9D9E3"/>
                  </w:divBdr>
                  <w:divsChild>
                    <w:div w:id="1154372280">
                      <w:marLeft w:val="0"/>
                      <w:marRight w:val="0"/>
                      <w:marTop w:val="0"/>
                      <w:marBottom w:val="0"/>
                      <w:divBdr>
                        <w:top w:val="single" w:sz="2" w:space="0" w:color="D9D9E3"/>
                        <w:left w:val="single" w:sz="2" w:space="0" w:color="D9D9E3"/>
                        <w:bottom w:val="single" w:sz="2" w:space="0" w:color="D9D9E3"/>
                        <w:right w:val="single" w:sz="2" w:space="0" w:color="D9D9E3"/>
                      </w:divBdr>
                      <w:divsChild>
                        <w:div w:id="217279177">
                          <w:marLeft w:val="0"/>
                          <w:marRight w:val="0"/>
                          <w:marTop w:val="0"/>
                          <w:marBottom w:val="0"/>
                          <w:divBdr>
                            <w:top w:val="single" w:sz="2" w:space="0" w:color="auto"/>
                            <w:left w:val="single" w:sz="2" w:space="0" w:color="auto"/>
                            <w:bottom w:val="single" w:sz="6" w:space="0" w:color="auto"/>
                            <w:right w:val="single" w:sz="2" w:space="0" w:color="auto"/>
                          </w:divBdr>
                          <w:divsChild>
                            <w:div w:id="2010598419">
                              <w:marLeft w:val="0"/>
                              <w:marRight w:val="0"/>
                              <w:marTop w:val="100"/>
                              <w:marBottom w:val="100"/>
                              <w:divBdr>
                                <w:top w:val="single" w:sz="2" w:space="0" w:color="D9D9E3"/>
                                <w:left w:val="single" w:sz="2" w:space="0" w:color="D9D9E3"/>
                                <w:bottom w:val="single" w:sz="2" w:space="0" w:color="D9D9E3"/>
                                <w:right w:val="single" w:sz="2" w:space="0" w:color="D9D9E3"/>
                              </w:divBdr>
                              <w:divsChild>
                                <w:div w:id="774133142">
                                  <w:marLeft w:val="0"/>
                                  <w:marRight w:val="0"/>
                                  <w:marTop w:val="0"/>
                                  <w:marBottom w:val="0"/>
                                  <w:divBdr>
                                    <w:top w:val="single" w:sz="2" w:space="0" w:color="D9D9E3"/>
                                    <w:left w:val="single" w:sz="2" w:space="0" w:color="D9D9E3"/>
                                    <w:bottom w:val="single" w:sz="2" w:space="0" w:color="D9D9E3"/>
                                    <w:right w:val="single" w:sz="2" w:space="0" w:color="D9D9E3"/>
                                  </w:divBdr>
                                  <w:divsChild>
                                    <w:div w:id="1751855225">
                                      <w:marLeft w:val="0"/>
                                      <w:marRight w:val="0"/>
                                      <w:marTop w:val="0"/>
                                      <w:marBottom w:val="0"/>
                                      <w:divBdr>
                                        <w:top w:val="single" w:sz="2" w:space="0" w:color="D9D9E3"/>
                                        <w:left w:val="single" w:sz="2" w:space="0" w:color="D9D9E3"/>
                                        <w:bottom w:val="single" w:sz="2" w:space="0" w:color="D9D9E3"/>
                                        <w:right w:val="single" w:sz="2" w:space="0" w:color="D9D9E3"/>
                                      </w:divBdr>
                                      <w:divsChild>
                                        <w:div w:id="114719962">
                                          <w:marLeft w:val="0"/>
                                          <w:marRight w:val="0"/>
                                          <w:marTop w:val="0"/>
                                          <w:marBottom w:val="0"/>
                                          <w:divBdr>
                                            <w:top w:val="single" w:sz="2" w:space="0" w:color="D9D9E3"/>
                                            <w:left w:val="single" w:sz="2" w:space="0" w:color="D9D9E3"/>
                                            <w:bottom w:val="single" w:sz="2" w:space="0" w:color="D9D9E3"/>
                                            <w:right w:val="single" w:sz="2" w:space="0" w:color="D9D9E3"/>
                                          </w:divBdr>
                                          <w:divsChild>
                                            <w:div w:id="279072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88430398">
      <w:bodyDiv w:val="1"/>
      <w:marLeft w:val="0"/>
      <w:marRight w:val="0"/>
      <w:marTop w:val="0"/>
      <w:marBottom w:val="0"/>
      <w:divBdr>
        <w:top w:val="none" w:sz="0" w:space="0" w:color="auto"/>
        <w:left w:val="none" w:sz="0" w:space="0" w:color="auto"/>
        <w:bottom w:val="none" w:sz="0" w:space="0" w:color="auto"/>
        <w:right w:val="none" w:sz="0" w:space="0" w:color="auto"/>
      </w:divBdr>
    </w:div>
    <w:div w:id="825780709">
      <w:bodyDiv w:val="1"/>
      <w:marLeft w:val="0"/>
      <w:marRight w:val="0"/>
      <w:marTop w:val="0"/>
      <w:marBottom w:val="0"/>
      <w:divBdr>
        <w:top w:val="none" w:sz="0" w:space="0" w:color="auto"/>
        <w:left w:val="none" w:sz="0" w:space="0" w:color="auto"/>
        <w:bottom w:val="none" w:sz="0" w:space="0" w:color="auto"/>
        <w:right w:val="none" w:sz="0" w:space="0" w:color="auto"/>
      </w:divBdr>
    </w:div>
    <w:div w:id="979067823">
      <w:bodyDiv w:val="1"/>
      <w:marLeft w:val="0"/>
      <w:marRight w:val="0"/>
      <w:marTop w:val="0"/>
      <w:marBottom w:val="0"/>
      <w:divBdr>
        <w:top w:val="none" w:sz="0" w:space="0" w:color="auto"/>
        <w:left w:val="none" w:sz="0" w:space="0" w:color="auto"/>
        <w:bottom w:val="none" w:sz="0" w:space="0" w:color="auto"/>
        <w:right w:val="none" w:sz="0" w:space="0" w:color="auto"/>
      </w:divBdr>
    </w:div>
    <w:div w:id="1012956627">
      <w:bodyDiv w:val="1"/>
      <w:marLeft w:val="0"/>
      <w:marRight w:val="0"/>
      <w:marTop w:val="0"/>
      <w:marBottom w:val="0"/>
      <w:divBdr>
        <w:top w:val="none" w:sz="0" w:space="0" w:color="auto"/>
        <w:left w:val="none" w:sz="0" w:space="0" w:color="auto"/>
        <w:bottom w:val="none" w:sz="0" w:space="0" w:color="auto"/>
        <w:right w:val="none" w:sz="0" w:space="0" w:color="auto"/>
      </w:divBdr>
    </w:div>
    <w:div w:id="1137839238">
      <w:bodyDiv w:val="1"/>
      <w:marLeft w:val="0"/>
      <w:marRight w:val="0"/>
      <w:marTop w:val="0"/>
      <w:marBottom w:val="0"/>
      <w:divBdr>
        <w:top w:val="none" w:sz="0" w:space="0" w:color="auto"/>
        <w:left w:val="none" w:sz="0" w:space="0" w:color="auto"/>
        <w:bottom w:val="none" w:sz="0" w:space="0" w:color="auto"/>
        <w:right w:val="none" w:sz="0" w:space="0" w:color="auto"/>
      </w:divBdr>
    </w:div>
    <w:div w:id="1274676126">
      <w:bodyDiv w:val="1"/>
      <w:marLeft w:val="0"/>
      <w:marRight w:val="0"/>
      <w:marTop w:val="0"/>
      <w:marBottom w:val="0"/>
      <w:divBdr>
        <w:top w:val="none" w:sz="0" w:space="0" w:color="auto"/>
        <w:left w:val="none" w:sz="0" w:space="0" w:color="auto"/>
        <w:bottom w:val="none" w:sz="0" w:space="0" w:color="auto"/>
        <w:right w:val="none" w:sz="0" w:space="0" w:color="auto"/>
      </w:divBdr>
    </w:div>
    <w:div w:id="1347974675">
      <w:bodyDiv w:val="1"/>
      <w:marLeft w:val="0"/>
      <w:marRight w:val="0"/>
      <w:marTop w:val="0"/>
      <w:marBottom w:val="0"/>
      <w:divBdr>
        <w:top w:val="none" w:sz="0" w:space="0" w:color="auto"/>
        <w:left w:val="none" w:sz="0" w:space="0" w:color="auto"/>
        <w:bottom w:val="none" w:sz="0" w:space="0" w:color="auto"/>
        <w:right w:val="none" w:sz="0" w:space="0" w:color="auto"/>
      </w:divBdr>
    </w:div>
    <w:div w:id="1570573523">
      <w:bodyDiv w:val="1"/>
      <w:marLeft w:val="0"/>
      <w:marRight w:val="0"/>
      <w:marTop w:val="0"/>
      <w:marBottom w:val="0"/>
      <w:divBdr>
        <w:top w:val="none" w:sz="0" w:space="0" w:color="auto"/>
        <w:left w:val="none" w:sz="0" w:space="0" w:color="auto"/>
        <w:bottom w:val="none" w:sz="0" w:space="0" w:color="auto"/>
        <w:right w:val="none" w:sz="0" w:space="0" w:color="auto"/>
      </w:divBdr>
    </w:div>
    <w:div w:id="1665819045">
      <w:bodyDiv w:val="1"/>
      <w:marLeft w:val="0"/>
      <w:marRight w:val="0"/>
      <w:marTop w:val="0"/>
      <w:marBottom w:val="0"/>
      <w:divBdr>
        <w:top w:val="none" w:sz="0" w:space="0" w:color="auto"/>
        <w:left w:val="none" w:sz="0" w:space="0" w:color="auto"/>
        <w:bottom w:val="none" w:sz="0" w:space="0" w:color="auto"/>
        <w:right w:val="none" w:sz="0" w:space="0" w:color="auto"/>
      </w:divBdr>
    </w:div>
    <w:div w:id="1885292329">
      <w:bodyDiv w:val="1"/>
      <w:marLeft w:val="0"/>
      <w:marRight w:val="0"/>
      <w:marTop w:val="0"/>
      <w:marBottom w:val="0"/>
      <w:divBdr>
        <w:top w:val="none" w:sz="0" w:space="0" w:color="auto"/>
        <w:left w:val="none" w:sz="0" w:space="0" w:color="auto"/>
        <w:bottom w:val="none" w:sz="0" w:space="0" w:color="auto"/>
        <w:right w:val="none" w:sz="0" w:space="0" w:color="auto"/>
      </w:divBdr>
    </w:div>
    <w:div w:id="211551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2.png"/><Relationship Id="rId39" Type="http://schemas.openxmlformats.org/officeDocument/2006/relationships/image" Target="media/image23.png"/><Relationship Id="rId21" Type="http://schemas.openxmlformats.org/officeDocument/2006/relationships/footer" Target="footer1.xml"/><Relationship Id="rId34" Type="http://schemas.openxmlformats.org/officeDocument/2006/relationships/image" Target="media/image20.png"/><Relationship Id="rId42" Type="http://schemas.openxmlformats.org/officeDocument/2006/relationships/image" Target="media/image26.png"/><Relationship Id="rId47" Type="http://schemas.openxmlformats.org/officeDocument/2006/relationships/image" Target="media/image28.emf"/><Relationship Id="rId50" Type="http://schemas.openxmlformats.org/officeDocument/2006/relationships/oleObject" Target="embeddings/oleObject2.bin"/><Relationship Id="rId55" Type="http://schemas.openxmlformats.org/officeDocument/2006/relationships/image" Target="media/image33.png"/><Relationship Id="rId63" Type="http://schemas.openxmlformats.org/officeDocument/2006/relationships/image" Target="media/image41.emf"/><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32" Type="http://schemas.openxmlformats.org/officeDocument/2006/relationships/image" Target="media/image18.png"/><Relationship Id="rId37" Type="http://schemas.openxmlformats.org/officeDocument/2006/relationships/image" Target="media/image22.emf"/><Relationship Id="rId40" Type="http://schemas.openxmlformats.org/officeDocument/2006/relationships/image" Target="media/image24.png"/><Relationship Id="rId45" Type="http://schemas.openxmlformats.org/officeDocument/2006/relationships/chart" Target="charts/chart2.xml"/><Relationship Id="rId53" Type="http://schemas.openxmlformats.org/officeDocument/2006/relationships/image" Target="media/image31.png"/><Relationship Id="rId58" Type="http://schemas.openxmlformats.org/officeDocument/2006/relationships/image" Target="media/image36.png"/><Relationship Id="rId66" Type="http://schemas.openxmlformats.org/officeDocument/2006/relationships/oleObject" Target="embeddings/oleObject4.bin"/><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3.xml"/><Relationship Id="rId28" Type="http://schemas.openxmlformats.org/officeDocument/2006/relationships/image" Target="media/image14.png"/><Relationship Id="rId36" Type="http://schemas.openxmlformats.org/officeDocument/2006/relationships/package" Target="embeddings/Microsoft_Visio_Drawing.vsdx"/><Relationship Id="rId49" Type="http://schemas.openxmlformats.org/officeDocument/2006/relationships/image" Target="media/image29.emf"/><Relationship Id="rId57" Type="http://schemas.openxmlformats.org/officeDocument/2006/relationships/image" Target="media/image35.png"/><Relationship Id="rId61" Type="http://schemas.openxmlformats.org/officeDocument/2006/relationships/image" Target="media/image39.emf"/><Relationship Id="rId10" Type="http://schemas.openxmlformats.org/officeDocument/2006/relationships/image" Target="media/image2.png"/><Relationship Id="rId19" Type="http://schemas.openxmlformats.org/officeDocument/2006/relationships/header" Target="header1.xml"/><Relationship Id="rId31" Type="http://schemas.openxmlformats.org/officeDocument/2006/relationships/image" Target="media/image17.png"/><Relationship Id="rId44" Type="http://schemas.openxmlformats.org/officeDocument/2006/relationships/chart" Target="charts/chart1.xml"/><Relationship Id="rId52" Type="http://schemas.openxmlformats.org/officeDocument/2006/relationships/oleObject" Target="embeddings/oleObject3.bin"/><Relationship Id="rId60" Type="http://schemas.openxmlformats.org/officeDocument/2006/relationships/image" Target="media/image38.emf"/><Relationship Id="rId65" Type="http://schemas.openxmlformats.org/officeDocument/2006/relationships/image" Target="media/image4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emf"/><Relationship Id="rId43" Type="http://schemas.openxmlformats.org/officeDocument/2006/relationships/image" Target="media/image27.png"/><Relationship Id="rId48" Type="http://schemas.openxmlformats.org/officeDocument/2006/relationships/oleObject" Target="embeddings/oleObject1.bin"/><Relationship Id="rId56" Type="http://schemas.openxmlformats.org/officeDocument/2006/relationships/image" Target="media/image34.png"/><Relationship Id="rId64" Type="http://schemas.openxmlformats.org/officeDocument/2006/relationships/package" Target="embeddings/Microsoft_Excel_Worksheet.xlsx"/><Relationship Id="rId69" Type="http://schemas.microsoft.com/office/2018/08/relationships/commentsExtensible" Target="commentsExtensible.xml"/><Relationship Id="rId8" Type="http://schemas.openxmlformats.org/officeDocument/2006/relationships/endnotes" Target="endnotes.xml"/><Relationship Id="rId51" Type="http://schemas.openxmlformats.org/officeDocument/2006/relationships/image" Target="media/image30.emf"/><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package" Target="embeddings/Microsoft_Visio_Drawing1.vsdx"/><Relationship Id="rId46" Type="http://schemas.openxmlformats.org/officeDocument/2006/relationships/chart" Target="charts/chart3.xml"/><Relationship Id="rId59" Type="http://schemas.openxmlformats.org/officeDocument/2006/relationships/image" Target="media/image37.emf"/><Relationship Id="rId67" Type="http://schemas.openxmlformats.org/officeDocument/2006/relationships/fontTable" Target="fontTable.xml"/><Relationship Id="rId20" Type="http://schemas.openxmlformats.org/officeDocument/2006/relationships/header" Target="header2.xml"/><Relationship Id="rId41" Type="http://schemas.openxmlformats.org/officeDocument/2006/relationships/image" Target="media/image25.png"/><Relationship Id="rId54" Type="http://schemas.openxmlformats.org/officeDocument/2006/relationships/image" Target="media/image32.png"/><Relationship Id="rId62" Type="http://schemas.openxmlformats.org/officeDocument/2006/relationships/image" Target="media/image40.emf"/><Relationship Id="rId70" Type="http://schemas.microsoft.com/office/2016/09/relationships/commentsIds" Target="commentsIds.xml"/></Relationships>
</file>

<file path=word/charts/_rels/chart1.xml.rels><?xml version="1.0" encoding="UTF-8" standalone="yes"?>
<Relationships xmlns="http://schemas.openxmlformats.org/package/2006/relationships"><Relationship Id="rId3" Type="http://schemas.openxmlformats.org/officeDocument/2006/relationships/oleObject" Target="file:///\\corp.zodiac.lan\share_ssgb\Cwmbran\Quality\(03)%20Quality%20NPDI\(14)%20APQP\AS9145%20Audit%20Checklis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orp.zodiac.lan\share_ssgb\Cwmbran\Quality\(03)%20Quality%20NPDI\(14)%20APQP\AS9145%20Audit%20Checklis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orp.zodiac.lan\share_ssgb\Cwmbran\Quality\(03)%20Quality%20NPDI\(14)%20APQP\AS9145%20Audit%20Checklis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[AS9145 Audit Checklist.xlsx]KPI!PivotTable1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APQP/PPAP Conformity to AS9145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rgbClr val="92D050"/>
          </a:solidFill>
          <a:ln w="19050">
            <a:solidFill>
              <a:schemeClr val="lt1"/>
            </a:solidFill>
          </a:ln>
          <a:effectLst/>
        </c:spPr>
        <c:dLbl>
          <c:idx val="0"/>
          <c:layout>
            <c:manualLayout>
              <c:x val="-9.5613176121298299E-2"/>
              <c:y val="-1.8518518518518517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0"/>
                    <a:gd name="adj2" fmla="val -8725"/>
                  </a:avLst>
                </a:prstGeom>
                <a:noFill/>
                <a:ln>
                  <a:noFill/>
                </a:ln>
              </c15:spPr>
            </c:ext>
          </c:extLst>
        </c:dLbl>
      </c:pivotFmt>
      <c:pivotFmt>
        <c:idx val="2"/>
        <c:spPr>
          <a:solidFill>
            <a:schemeClr val="accent4"/>
          </a:solidFill>
          <a:ln w="19050">
            <a:solidFill>
              <a:schemeClr val="lt1"/>
            </a:solidFill>
          </a:ln>
          <a:effectLst/>
        </c:spPr>
        <c:dLbl>
          <c:idx val="0"/>
          <c:layout>
            <c:manualLayout>
              <c:x val="6.3888888888888787E-2"/>
              <c:y val="-2.7777777777777863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9297"/>
                    <a:gd name="adj2" fmla="val 4759"/>
                  </a:avLst>
                </a:prstGeom>
                <a:noFill/>
                <a:ln>
                  <a:noFill/>
                </a:ln>
              </c15:spPr>
            </c:ext>
          </c:extLst>
        </c:dLbl>
      </c:pivotFmt>
      <c:pivotFmt>
        <c:idx val="3"/>
        <c:spPr>
          <a:solidFill>
            <a:schemeClr val="accent1"/>
          </a:solidFill>
          <a:ln w="19050">
            <a:solidFill>
              <a:schemeClr val="lt1"/>
            </a:solidFill>
          </a:ln>
          <a:effectLst/>
        </c:spPr>
        <c:dLbl>
          <c:idx val="0"/>
          <c:layout>
            <c:manualLayout>
              <c:x val="-7.2222222222222243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rgbClr val="FF0000"/>
          </a:solidFill>
          <a:ln w="19050">
            <a:solidFill>
              <a:schemeClr val="lt1"/>
            </a:solidFill>
          </a:ln>
          <a:effectLst/>
        </c:spPr>
        <c:dLbl>
          <c:idx val="0"/>
          <c:layout>
            <c:manualLayout>
              <c:x val="-7.7777777777777751E-2"/>
              <c:y val="6.9444444444444448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2864"/>
                    <a:gd name="adj2" fmla="val -14278"/>
                  </a:avLst>
                </a:prstGeom>
                <a:noFill/>
                <a:ln>
                  <a:noFill/>
                </a:ln>
              </c15:spPr>
            </c:ext>
          </c:extLst>
        </c:dLbl>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4"/>
          </a:solidFill>
          <a:ln w="19050">
            <a:solidFill>
              <a:schemeClr val="lt1"/>
            </a:solidFill>
          </a:ln>
          <a:effectLst/>
        </c:spPr>
        <c:dLbl>
          <c:idx val="0"/>
          <c:layout>
            <c:manualLayout>
              <c:x val="6.3888888888888787E-2"/>
              <c:y val="-2.7777777777777863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9297"/>
                    <a:gd name="adj2" fmla="val 4759"/>
                  </a:avLst>
                </a:prstGeom>
                <a:noFill/>
                <a:ln>
                  <a:noFill/>
                </a:ln>
              </c15:spPr>
            </c:ext>
          </c:extLst>
        </c:dLbl>
      </c:pivotFmt>
      <c:pivotFmt>
        <c:idx val="7"/>
        <c:spPr>
          <a:solidFill>
            <a:srgbClr val="FF0000"/>
          </a:solidFill>
          <a:ln w="19050">
            <a:solidFill>
              <a:schemeClr val="lt1"/>
            </a:solidFill>
          </a:ln>
          <a:effectLst/>
        </c:spPr>
        <c:dLbl>
          <c:idx val="0"/>
          <c:layout>
            <c:manualLayout>
              <c:x val="-7.7777777777777751E-2"/>
              <c:y val="6.9444444444444448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2864"/>
                    <a:gd name="adj2" fmla="val -14278"/>
                  </a:avLst>
                </a:prstGeom>
                <a:noFill/>
                <a:ln>
                  <a:noFill/>
                </a:ln>
              </c15:spPr>
            </c:ext>
          </c:extLst>
        </c:dLbl>
      </c:pivotFmt>
      <c:pivotFmt>
        <c:idx val="8"/>
        <c:spPr>
          <a:solidFill>
            <a:schemeClr val="accent1"/>
          </a:solidFill>
          <a:ln w="19050">
            <a:solidFill>
              <a:schemeClr val="lt1"/>
            </a:solidFill>
          </a:ln>
          <a:effectLst/>
        </c:spPr>
        <c:dLbl>
          <c:idx val="0"/>
          <c:layout>
            <c:manualLayout>
              <c:x val="-7.2222222222222243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rgbClr val="92D050"/>
          </a:solidFill>
          <a:ln w="19050">
            <a:solidFill>
              <a:schemeClr val="lt1"/>
            </a:solidFill>
          </a:ln>
          <a:effectLst/>
        </c:spPr>
        <c:dLbl>
          <c:idx val="0"/>
          <c:layout>
            <c:manualLayout>
              <c:x val="-9.5613176121298299E-2"/>
              <c:y val="-1.8518518518518517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0"/>
                    <a:gd name="adj2" fmla="val -8725"/>
                  </a:avLst>
                </a:prstGeom>
                <a:noFill/>
                <a:ln>
                  <a:noFill/>
                </a:ln>
              </c15:spPr>
            </c:ext>
          </c:extLst>
        </c:dLbl>
      </c:pivotFmt>
      <c:pivotFmt>
        <c:idx val="1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4"/>
          </a:solidFill>
          <a:ln w="19050">
            <a:solidFill>
              <a:schemeClr val="lt1"/>
            </a:solidFill>
          </a:ln>
          <a:effectLst/>
        </c:spPr>
        <c:dLbl>
          <c:idx val="0"/>
          <c:layout>
            <c:manualLayout>
              <c:x val="6.3888888888888787E-2"/>
              <c:y val="-2.7777777777777863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9297"/>
                    <a:gd name="adj2" fmla="val 4759"/>
                  </a:avLst>
                </a:prstGeom>
                <a:noFill/>
                <a:ln>
                  <a:noFill/>
                </a:ln>
              </c15:spPr>
            </c:ext>
          </c:extLst>
        </c:dLbl>
      </c:pivotFmt>
      <c:pivotFmt>
        <c:idx val="12"/>
        <c:spPr>
          <a:solidFill>
            <a:srgbClr val="FF0000"/>
          </a:solidFill>
          <a:ln w="19050">
            <a:solidFill>
              <a:schemeClr val="lt1"/>
            </a:solidFill>
          </a:ln>
          <a:effectLst/>
        </c:spPr>
        <c:dLbl>
          <c:idx val="0"/>
          <c:layout>
            <c:manualLayout>
              <c:x val="-7.7777777777777751E-2"/>
              <c:y val="6.9444444444444448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2864"/>
                    <a:gd name="adj2" fmla="val -14278"/>
                  </a:avLst>
                </a:prstGeom>
                <a:noFill/>
                <a:ln>
                  <a:noFill/>
                </a:ln>
              </c15:spPr>
            </c:ext>
          </c:extLst>
        </c:dLbl>
      </c:pivotFmt>
      <c:pivotFmt>
        <c:idx val="13"/>
        <c:spPr>
          <a:solidFill>
            <a:schemeClr val="accent1"/>
          </a:solidFill>
          <a:ln w="19050">
            <a:solidFill>
              <a:schemeClr val="lt1"/>
            </a:solidFill>
          </a:ln>
          <a:effectLst/>
        </c:spPr>
        <c:dLbl>
          <c:idx val="0"/>
          <c:layout>
            <c:manualLayout>
              <c:x val="-7.2222222222222243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rgbClr val="92D050"/>
          </a:solidFill>
          <a:ln w="19050">
            <a:solidFill>
              <a:schemeClr val="lt1"/>
            </a:solidFill>
          </a:ln>
          <a:effectLst/>
        </c:spPr>
        <c:dLbl>
          <c:idx val="0"/>
          <c:layout>
            <c:manualLayout>
              <c:x val="-9.5613176121298299E-2"/>
              <c:y val="-1.8518518518518517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0"/>
                    <a:gd name="adj2" fmla="val -8725"/>
                  </a:avLst>
                </a:prstGeom>
                <a:noFill/>
                <a:ln>
                  <a:noFill/>
                </a:ln>
              </c15:spPr>
            </c:ext>
          </c:extLst>
        </c:dLbl>
      </c:pivotFmt>
    </c:pivotFmts>
    <c:plotArea>
      <c:layout/>
      <c:doughnutChart>
        <c:varyColors val="1"/>
        <c:ser>
          <c:idx val="0"/>
          <c:order val="0"/>
          <c:tx>
            <c:strRef>
              <c:f>KPI!$C$2</c:f>
              <c:strCache>
                <c:ptCount val="1"/>
                <c:pt idx="0">
                  <c:v>Total</c:v>
                </c:pt>
              </c:strCache>
            </c:strRef>
          </c:tx>
          <c:dPt>
            <c:idx val="0"/>
            <c:bubble3D val="0"/>
            <c:spPr>
              <a:solidFill>
                <a:schemeClr val="accent4"/>
              </a:solidFill>
              <a:ln w="19050">
                <a:solidFill>
                  <a:schemeClr val="lt1"/>
                </a:solidFill>
              </a:ln>
              <a:effectLst/>
            </c:spPr>
            <c:extLst>
              <c:ext xmlns:c16="http://schemas.microsoft.com/office/drawing/2014/chart" uri="{C3380CC4-5D6E-409C-BE32-E72D297353CC}">
                <c16:uniqueId val="{00000001-4DC7-4786-96C0-33FF0C444C4F}"/>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4DC7-4786-96C0-33FF0C444C4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DC7-4786-96C0-33FF0C444C4F}"/>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7-4DC7-4786-96C0-33FF0C444C4F}"/>
              </c:ext>
            </c:extLst>
          </c:dPt>
          <c:dLbls>
            <c:dLbl>
              <c:idx val="0"/>
              <c:layout>
                <c:manualLayout>
                  <c:x val="6.3888888888888787E-2"/>
                  <c:y val="-2.7777777777777863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9297"/>
                        <a:gd name="adj2" fmla="val 4759"/>
                      </a:avLst>
                    </a:prstGeom>
                    <a:noFill/>
                    <a:ln>
                      <a:noFill/>
                    </a:ln>
                  </c15:spPr>
                </c:ext>
                <c:ext xmlns:c16="http://schemas.microsoft.com/office/drawing/2014/chart" uri="{C3380CC4-5D6E-409C-BE32-E72D297353CC}">
                  <c16:uniqueId val="{00000001-4DC7-4786-96C0-33FF0C444C4F}"/>
                </c:ext>
              </c:extLst>
            </c:dLbl>
            <c:dLbl>
              <c:idx val="1"/>
              <c:layout>
                <c:manualLayout>
                  <c:x val="-7.7777777777777751E-2"/>
                  <c:y val="6.9444444444444448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2864"/>
                        <a:gd name="adj2" fmla="val -14278"/>
                      </a:avLst>
                    </a:prstGeom>
                    <a:noFill/>
                    <a:ln>
                      <a:noFill/>
                    </a:ln>
                  </c15:spPr>
                </c:ext>
                <c:ext xmlns:c16="http://schemas.microsoft.com/office/drawing/2014/chart" uri="{C3380CC4-5D6E-409C-BE32-E72D297353CC}">
                  <c16:uniqueId val="{00000003-4DC7-4786-96C0-33FF0C444C4F}"/>
                </c:ext>
              </c:extLst>
            </c:dLbl>
            <c:dLbl>
              <c:idx val="2"/>
              <c:layout>
                <c:manualLayout>
                  <c:x val="-7.2222222222222243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4DC7-4786-96C0-33FF0C444C4F}"/>
                </c:ext>
              </c:extLst>
            </c:dLbl>
            <c:dLbl>
              <c:idx val="3"/>
              <c:layout>
                <c:manualLayout>
                  <c:x val="-9.5613176121298299E-2"/>
                  <c:y val="-1.8518518518518517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0"/>
                        <a:gd name="adj2" fmla="val -8725"/>
                      </a:avLst>
                    </a:prstGeom>
                    <a:noFill/>
                    <a:ln>
                      <a:noFill/>
                    </a:ln>
                  </c15:spPr>
                </c:ext>
                <c:ext xmlns:c16="http://schemas.microsoft.com/office/drawing/2014/chart" uri="{C3380CC4-5D6E-409C-BE32-E72D297353CC}">
                  <c16:uniqueId val="{00000007-4DC7-4786-96C0-33FF0C444C4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KPI!$B$3:$B$7</c:f>
              <c:strCache>
                <c:ptCount val="4"/>
                <c:pt idx="0">
                  <c:v>IP</c:v>
                </c:pt>
                <c:pt idx="1">
                  <c:v>N</c:v>
                </c:pt>
                <c:pt idx="2">
                  <c:v>N/A</c:v>
                </c:pt>
                <c:pt idx="3">
                  <c:v>Y</c:v>
                </c:pt>
              </c:strCache>
            </c:strRef>
          </c:cat>
          <c:val>
            <c:numRef>
              <c:f>KPI!$C$3:$C$7</c:f>
              <c:numCache>
                <c:formatCode>General</c:formatCode>
                <c:ptCount val="4"/>
                <c:pt idx="0">
                  <c:v>43</c:v>
                </c:pt>
                <c:pt idx="1">
                  <c:v>21</c:v>
                </c:pt>
                <c:pt idx="2">
                  <c:v>1</c:v>
                </c:pt>
                <c:pt idx="3">
                  <c:v>23</c:v>
                </c:pt>
              </c:numCache>
            </c:numRef>
          </c:val>
          <c:extLst>
            <c:ext xmlns:c16="http://schemas.microsoft.com/office/drawing/2014/chart" uri="{C3380CC4-5D6E-409C-BE32-E72D297353CC}">
              <c16:uniqueId val="{00000008-4DC7-4786-96C0-33FF0C444C4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[AS9145 Audit Checklist.xlsx]KPI!PivotTable3</c:name>
    <c:fmtId val="-1"/>
  </c:pivotSource>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APQP Conformity to AS9145</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rgbClr val="92D050"/>
          </a:solidFill>
          <a:ln w="19050">
            <a:solidFill>
              <a:schemeClr val="lt1"/>
            </a:solidFill>
          </a:ln>
          <a:effectLst/>
        </c:spPr>
        <c:dLbl>
          <c:idx val="0"/>
          <c:layout>
            <c:manualLayout>
              <c:x val="-4.4444444444444467E-2"/>
              <c:y val="-9.2592592592592629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rgbClr val="FFC000"/>
          </a:solidFill>
          <a:ln w="19050">
            <a:solidFill>
              <a:schemeClr val="lt1"/>
            </a:solidFill>
          </a:ln>
          <a:effectLst/>
        </c:spPr>
        <c:dLbl>
          <c:idx val="0"/>
          <c:layout>
            <c:manualLayout>
              <c:x val="8.055555555555545E-2"/>
              <c:y val="-9.2592592592593437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rgbClr val="FF0000"/>
          </a:solidFill>
          <a:ln w="19050">
            <a:solidFill>
              <a:schemeClr val="lt1"/>
            </a:solidFill>
          </a:ln>
          <a:effectLst/>
        </c:spPr>
        <c:dLbl>
          <c:idx val="0"/>
          <c:layout>
            <c:manualLayout>
              <c:x val="-7.4999999999999997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3"/>
          </a:solidFill>
          <a:ln w="19050">
            <a:solidFill>
              <a:schemeClr val="lt1"/>
            </a:solidFill>
          </a:ln>
          <a:effectLst/>
        </c:spPr>
        <c:dLbl>
          <c:idx val="0"/>
          <c:layout>
            <c:manualLayout>
              <c:x val="-8.3333333333333329E-2"/>
              <c:y val="-8.4875562720133283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rgbClr val="FFC000"/>
          </a:solidFill>
          <a:ln w="19050">
            <a:solidFill>
              <a:schemeClr val="lt1"/>
            </a:solidFill>
          </a:ln>
          <a:effectLst/>
        </c:spPr>
        <c:dLbl>
          <c:idx val="0"/>
          <c:layout>
            <c:manualLayout>
              <c:x val="8.055555555555545E-2"/>
              <c:y val="-9.2592592592593437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rgbClr val="FF0000"/>
          </a:solidFill>
          <a:ln w="19050">
            <a:solidFill>
              <a:schemeClr val="lt1"/>
            </a:solidFill>
          </a:ln>
          <a:effectLst/>
        </c:spPr>
        <c:dLbl>
          <c:idx val="0"/>
          <c:layout>
            <c:manualLayout>
              <c:x val="-7.4999999999999997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dLbl>
          <c:idx val="0"/>
          <c:layout>
            <c:manualLayout>
              <c:x val="-8.3333333333333329E-2"/>
              <c:y val="-8.4875562720133283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rgbClr val="92D050"/>
          </a:solidFill>
          <a:ln w="19050">
            <a:solidFill>
              <a:schemeClr val="lt1"/>
            </a:solidFill>
          </a:ln>
          <a:effectLst/>
        </c:spPr>
        <c:dLbl>
          <c:idx val="0"/>
          <c:layout>
            <c:manualLayout>
              <c:x val="-4.4444444444444467E-2"/>
              <c:y val="-9.2592592592592629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rgbClr val="FFC000"/>
          </a:solidFill>
          <a:ln w="19050">
            <a:solidFill>
              <a:schemeClr val="lt1"/>
            </a:solidFill>
          </a:ln>
          <a:effectLst/>
        </c:spPr>
        <c:dLbl>
          <c:idx val="0"/>
          <c:layout>
            <c:manualLayout>
              <c:x val="8.055555555555545E-2"/>
              <c:y val="-9.2592592592593437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rgbClr val="FF0000"/>
          </a:solidFill>
          <a:ln w="19050">
            <a:solidFill>
              <a:schemeClr val="lt1"/>
            </a:solidFill>
          </a:ln>
          <a:effectLst/>
        </c:spPr>
        <c:dLbl>
          <c:idx val="0"/>
          <c:layout>
            <c:manualLayout>
              <c:x val="-7.4999999999999997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w="19050">
            <a:solidFill>
              <a:schemeClr val="lt1"/>
            </a:solidFill>
          </a:ln>
          <a:effectLst/>
        </c:spPr>
        <c:dLbl>
          <c:idx val="0"/>
          <c:layout>
            <c:manualLayout>
              <c:x val="-8.3333333333333329E-2"/>
              <c:y val="-8.4875562720133283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rgbClr val="92D050"/>
          </a:solidFill>
          <a:ln w="19050">
            <a:solidFill>
              <a:schemeClr val="lt1"/>
            </a:solidFill>
          </a:ln>
          <a:effectLst/>
        </c:spPr>
        <c:dLbl>
          <c:idx val="0"/>
          <c:layout>
            <c:manualLayout>
              <c:x val="-4.4444444444444467E-2"/>
              <c:y val="-9.2592592592592629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doughnutChart>
        <c:varyColors val="1"/>
        <c:ser>
          <c:idx val="0"/>
          <c:order val="0"/>
          <c:tx>
            <c:strRef>
              <c:f>KPI!$R$4</c:f>
              <c:strCache>
                <c:ptCount val="1"/>
                <c:pt idx="0">
                  <c:v>Total</c:v>
                </c:pt>
              </c:strCache>
            </c:strRef>
          </c:tx>
          <c:dPt>
            <c:idx val="0"/>
            <c:bubble3D val="0"/>
            <c:spPr>
              <a:solidFill>
                <a:srgbClr val="FFC000"/>
              </a:solidFill>
              <a:ln w="19050">
                <a:solidFill>
                  <a:schemeClr val="lt1"/>
                </a:solidFill>
              </a:ln>
              <a:effectLst/>
            </c:spPr>
            <c:extLst>
              <c:ext xmlns:c16="http://schemas.microsoft.com/office/drawing/2014/chart" uri="{C3380CC4-5D6E-409C-BE32-E72D297353CC}">
                <c16:uniqueId val="{00000001-6B6E-486B-AFF1-8A81D3A463A2}"/>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6B6E-486B-AFF1-8A81D3A463A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6E-486B-AFF1-8A81D3A463A2}"/>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7-6B6E-486B-AFF1-8A81D3A463A2}"/>
              </c:ext>
            </c:extLst>
          </c:dPt>
          <c:dLbls>
            <c:dLbl>
              <c:idx val="0"/>
              <c:layout>
                <c:manualLayout>
                  <c:x val="8.055555555555545E-2"/>
                  <c:y val="-9.2592592592593437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B6E-486B-AFF1-8A81D3A463A2}"/>
                </c:ext>
              </c:extLst>
            </c:dLbl>
            <c:dLbl>
              <c:idx val="1"/>
              <c:layout>
                <c:manualLayout>
                  <c:x val="-7.4999999999999997E-2"/>
                  <c:y val="8.796296296296296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B6E-486B-AFF1-8A81D3A463A2}"/>
                </c:ext>
              </c:extLst>
            </c:dLbl>
            <c:dLbl>
              <c:idx val="2"/>
              <c:layout>
                <c:manualLayout>
                  <c:x val="-8.3333333333333329E-2"/>
                  <c:y val="-8.4875562720133283E-1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B6E-486B-AFF1-8A81D3A463A2}"/>
                </c:ext>
              </c:extLst>
            </c:dLbl>
            <c:dLbl>
              <c:idx val="3"/>
              <c:layout>
                <c:manualLayout>
                  <c:x val="-4.4444444444444467E-2"/>
                  <c:y val="-9.259259259259262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B6E-486B-AFF1-8A81D3A463A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KPI!$Q$5:$Q$9</c:f>
              <c:strCache>
                <c:ptCount val="4"/>
                <c:pt idx="0">
                  <c:v>IP</c:v>
                </c:pt>
                <c:pt idx="1">
                  <c:v>N</c:v>
                </c:pt>
                <c:pt idx="2">
                  <c:v>N/A</c:v>
                </c:pt>
                <c:pt idx="3">
                  <c:v>Y</c:v>
                </c:pt>
              </c:strCache>
            </c:strRef>
          </c:cat>
          <c:val>
            <c:numRef>
              <c:f>KPI!$R$5:$R$9</c:f>
              <c:numCache>
                <c:formatCode>General</c:formatCode>
                <c:ptCount val="4"/>
                <c:pt idx="0">
                  <c:v>43</c:v>
                </c:pt>
                <c:pt idx="1">
                  <c:v>15</c:v>
                </c:pt>
                <c:pt idx="2">
                  <c:v>1</c:v>
                </c:pt>
                <c:pt idx="3">
                  <c:v>16</c:v>
                </c:pt>
              </c:numCache>
            </c:numRef>
          </c:val>
          <c:extLst>
            <c:ext xmlns:c16="http://schemas.microsoft.com/office/drawing/2014/chart" uri="{C3380CC4-5D6E-409C-BE32-E72D297353CC}">
              <c16:uniqueId val="{00000008-6B6E-486B-AFF1-8A81D3A463A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[AS9145 Audit Checklist.xlsx]KPI!PivotTable4</c:name>
    <c:fmtId val="-1"/>
  </c:pivotSource>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PPAP Conformity to AS9145</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rgbClr val="92D050"/>
          </a:solidFill>
          <a:ln w="19050">
            <a:solidFill>
              <a:schemeClr val="lt1"/>
            </a:solidFill>
          </a:ln>
          <a:effectLst/>
        </c:spPr>
        <c:dLbl>
          <c:idx val="0"/>
          <c:layout>
            <c:manualLayout>
              <c:x val="-7.7777777777777779E-2"/>
              <c:y val="-4.6296296296296294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rgbClr val="FF0000"/>
          </a:solidFill>
          <a:ln w="19050">
            <a:solidFill>
              <a:schemeClr val="lt1"/>
            </a:solidFill>
          </a:ln>
          <a:effectLst/>
        </c:spPr>
        <c:dLbl>
          <c:idx val="0"/>
          <c:layout>
            <c:manualLayout>
              <c:x val="6.6666666666666666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6.0459755030621169E-2"/>
                  <c:h val="0.11673082531350248"/>
                </c:manualLayout>
              </c15:layout>
            </c:ext>
          </c:extLst>
        </c:dLbl>
      </c:pivotFmt>
      <c:pivotFmt>
        <c:idx val="3"/>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rgbClr val="FF0000"/>
          </a:solidFill>
          <a:ln w="19050">
            <a:solidFill>
              <a:schemeClr val="lt1"/>
            </a:solidFill>
          </a:ln>
          <a:effectLst/>
        </c:spPr>
        <c:dLbl>
          <c:idx val="0"/>
          <c:layout>
            <c:manualLayout>
              <c:x val="6.6666666666666666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6.0459755030621169E-2"/>
                  <c:h val="0.11673082531350248"/>
                </c:manualLayout>
              </c15:layout>
            </c:ext>
          </c:extLst>
        </c:dLbl>
      </c:pivotFmt>
      <c:pivotFmt>
        <c:idx val="5"/>
        <c:spPr>
          <a:solidFill>
            <a:srgbClr val="92D050"/>
          </a:solidFill>
          <a:ln w="19050">
            <a:solidFill>
              <a:schemeClr val="lt1"/>
            </a:solidFill>
          </a:ln>
          <a:effectLst/>
        </c:spPr>
        <c:dLbl>
          <c:idx val="0"/>
          <c:layout>
            <c:manualLayout>
              <c:x val="-7.7777777777777779E-2"/>
              <c:y val="-4.6296296296296294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rgbClr val="FF0000"/>
          </a:solidFill>
          <a:ln w="19050">
            <a:solidFill>
              <a:schemeClr val="lt1"/>
            </a:solidFill>
          </a:ln>
          <a:effectLst/>
        </c:spPr>
        <c:dLbl>
          <c:idx val="0"/>
          <c:layout>
            <c:manualLayout>
              <c:x val="6.6666666666666666E-2"/>
              <c:y val="-8.7962962962962965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6.0459755030621169E-2"/>
                  <c:h val="0.11673082531350248"/>
                </c:manualLayout>
              </c15:layout>
            </c:ext>
          </c:extLst>
        </c:dLbl>
      </c:pivotFmt>
      <c:pivotFmt>
        <c:idx val="8"/>
        <c:spPr>
          <a:solidFill>
            <a:srgbClr val="92D050"/>
          </a:solidFill>
          <a:ln w="19050">
            <a:solidFill>
              <a:schemeClr val="lt1"/>
            </a:solidFill>
          </a:ln>
          <a:effectLst/>
        </c:spPr>
        <c:dLbl>
          <c:idx val="0"/>
          <c:layout>
            <c:manualLayout>
              <c:x val="-7.7777777777777779E-2"/>
              <c:y val="-4.6296296296296294E-3"/>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doughnutChart>
        <c:varyColors val="1"/>
        <c:ser>
          <c:idx val="0"/>
          <c:order val="0"/>
          <c:tx>
            <c:strRef>
              <c:f>KPI!$R$19</c:f>
              <c:strCache>
                <c:ptCount val="1"/>
                <c:pt idx="0">
                  <c:v>Total</c:v>
                </c:pt>
              </c:strCache>
            </c:strRef>
          </c:tx>
          <c:dPt>
            <c:idx val="0"/>
            <c:bubble3D val="0"/>
            <c:spPr>
              <a:solidFill>
                <a:srgbClr val="FF0000"/>
              </a:solidFill>
              <a:ln w="19050">
                <a:solidFill>
                  <a:schemeClr val="lt1"/>
                </a:solidFill>
              </a:ln>
              <a:effectLst/>
            </c:spPr>
            <c:extLst>
              <c:ext xmlns:c16="http://schemas.microsoft.com/office/drawing/2014/chart" uri="{C3380CC4-5D6E-409C-BE32-E72D297353CC}">
                <c16:uniqueId val="{00000001-FCC2-43CB-A5A2-7BC3A6F46BAD}"/>
              </c:ext>
            </c:extLst>
          </c:dPt>
          <c:dPt>
            <c:idx val="1"/>
            <c:bubble3D val="0"/>
            <c:spPr>
              <a:solidFill>
                <a:srgbClr val="92D050"/>
              </a:solidFill>
              <a:ln w="19050">
                <a:solidFill>
                  <a:schemeClr val="lt1"/>
                </a:solidFill>
              </a:ln>
              <a:effectLst/>
            </c:spPr>
            <c:extLst>
              <c:ext xmlns:c16="http://schemas.microsoft.com/office/drawing/2014/chart" uri="{C3380CC4-5D6E-409C-BE32-E72D297353CC}">
                <c16:uniqueId val="{00000003-FCC2-43CB-A5A2-7BC3A6F46BAD}"/>
              </c:ext>
            </c:extLst>
          </c:dPt>
          <c:dLbls>
            <c:dLbl>
              <c:idx val="0"/>
              <c:layout>
                <c:manualLayout>
                  <c:x val="6.6666666666666666E-2"/>
                  <c:y val="-8.7962962962962965E-2"/>
                </c:manualLayout>
              </c:layout>
              <c:showLegendKey val="0"/>
              <c:showVal val="0"/>
              <c:showCatName val="1"/>
              <c:showSerName val="0"/>
              <c:showPercent val="1"/>
              <c:showBubbleSize val="0"/>
              <c:extLst>
                <c:ext xmlns:c15="http://schemas.microsoft.com/office/drawing/2012/chart" uri="{CE6537A1-D6FC-4f65-9D91-7224C49458BB}">
                  <c15:layout>
                    <c:manualLayout>
                      <c:w val="6.0459755030621169E-2"/>
                      <c:h val="0.11673082531350248"/>
                    </c:manualLayout>
                  </c15:layout>
                </c:ext>
                <c:ext xmlns:c16="http://schemas.microsoft.com/office/drawing/2014/chart" uri="{C3380CC4-5D6E-409C-BE32-E72D297353CC}">
                  <c16:uniqueId val="{00000001-FCC2-43CB-A5A2-7BC3A6F46BAD}"/>
                </c:ext>
              </c:extLst>
            </c:dLbl>
            <c:dLbl>
              <c:idx val="1"/>
              <c:layout>
                <c:manualLayout>
                  <c:x val="-7.7777777777777779E-2"/>
                  <c:y val="-4.6296296296296294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CC2-43CB-A5A2-7BC3A6F46BAD}"/>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KPI!$Q$20:$Q$22</c:f>
              <c:strCache>
                <c:ptCount val="2"/>
                <c:pt idx="0">
                  <c:v>N</c:v>
                </c:pt>
                <c:pt idx="1">
                  <c:v>Y</c:v>
                </c:pt>
              </c:strCache>
            </c:strRef>
          </c:cat>
          <c:val>
            <c:numRef>
              <c:f>KPI!$R$20:$R$22</c:f>
              <c:numCache>
                <c:formatCode>General</c:formatCode>
                <c:ptCount val="2"/>
                <c:pt idx="0">
                  <c:v>6</c:v>
                </c:pt>
                <c:pt idx="1">
                  <c:v>7</c:v>
                </c:pt>
              </c:numCache>
            </c:numRef>
          </c:val>
          <c:extLst>
            <c:ext xmlns:c16="http://schemas.microsoft.com/office/drawing/2014/chart" uri="{C3380CC4-5D6E-409C-BE32-E72D297353CC}">
              <c16:uniqueId val="{00000004-FCC2-43CB-A5A2-7BC3A6F46BAD}"/>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3FEA44-FBC0-4FBE-A6A6-AD8F01D06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2454</TotalTime>
  <Pages>80</Pages>
  <Words>27924</Words>
  <Characters>159167</Characters>
  <Application>Microsoft Office Word</Application>
  <DocSecurity>0</DocSecurity>
  <Lines>1326</Lines>
  <Paragraphs>373</Paragraphs>
  <ScaleCrop>false</ScaleCrop>
  <HeadingPairs>
    <vt:vector size="2" baseType="variant">
      <vt:variant>
        <vt:lpstr>Title</vt:lpstr>
      </vt:variant>
      <vt:variant>
        <vt:i4>1</vt:i4>
      </vt:variant>
    </vt:vector>
  </HeadingPairs>
  <TitlesOfParts>
    <vt:vector size="1" baseType="lpstr">
      <vt:lpstr>Introduction of an Advanced Product Quality Planning (APQP) Framework at a low-volume manufacturing company</vt:lpstr>
    </vt:vector>
  </TitlesOfParts>
  <Company>BEng Manufacturing Systems Engineering</Company>
  <LinksUpToDate>false</LinksUpToDate>
  <CharactersWithSpaces>186718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of an Advanced Product Quality Planning (APQP) Framework at a low-volume manufacturing company</dc:title>
  <dc:subject>ACMA 6013 - Independent Project</dc:subject>
  <dc:creator>EVANS Owen (SAFRAN SEATS)</dc:creator>
  <cp:keywords/>
  <dc:description/>
  <cp:lastModifiedBy>EVANS Owen (SAFRAN SEATS)</cp:lastModifiedBy>
  <cp:revision>9</cp:revision>
  <dcterms:created xsi:type="dcterms:W3CDTF">2023-06-14T17:50:00Z</dcterms:created>
  <dcterms:modified xsi:type="dcterms:W3CDTF">2023-06-16T10:44:00Z</dcterms:modified>
  <cp:category>BEng (Hons) Manufacturing Systems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060d5c72-2f65-3087-bef8-71cbb0329a58</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SIP_Label_024ffcea-f25b-491e-9dc9-834516f3550e_Enabled">
    <vt:lpwstr>true</vt:lpwstr>
  </property>
  <property fmtid="{D5CDD505-2E9C-101B-9397-08002B2CF9AE}" pid="26" name="MSIP_Label_024ffcea-f25b-491e-9dc9-834516f3550e_SetDate">
    <vt:lpwstr>2023-06-16T10:44:57Z</vt:lpwstr>
  </property>
  <property fmtid="{D5CDD505-2E9C-101B-9397-08002B2CF9AE}" pid="27" name="MSIP_Label_024ffcea-f25b-491e-9dc9-834516f3550e_Method">
    <vt:lpwstr>Standard</vt:lpwstr>
  </property>
  <property fmtid="{D5CDD505-2E9C-101B-9397-08002B2CF9AE}" pid="28" name="MSIP_Label_024ffcea-f25b-491e-9dc9-834516f3550e_Name">
    <vt:lpwstr>C2 - restricted</vt:lpwstr>
  </property>
  <property fmtid="{D5CDD505-2E9C-101B-9397-08002B2CF9AE}" pid="29" name="MSIP_Label_024ffcea-f25b-491e-9dc9-834516f3550e_SiteId">
    <vt:lpwstr>d52b49b7-0c8f-4d89-8c4f-f20517306e08</vt:lpwstr>
  </property>
  <property fmtid="{D5CDD505-2E9C-101B-9397-08002B2CF9AE}" pid="30" name="MSIP_Label_024ffcea-f25b-491e-9dc9-834516f3550e_ActionId">
    <vt:lpwstr>504c524c-dc7d-4c60-99d2-3a08036eb59f</vt:lpwstr>
  </property>
  <property fmtid="{D5CDD505-2E9C-101B-9397-08002B2CF9AE}" pid="31" name="MSIP_Label_024ffcea-f25b-491e-9dc9-834516f3550e_ContentBits">
    <vt:lpwstr>1</vt:lpwstr>
  </property>
</Properties>
</file>