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E5F1E" w14:textId="77777777" w:rsidR="006B56CC" w:rsidRPr="00215355" w:rsidRDefault="00000000" w:rsidP="00287F9A">
      <w:pPr>
        <w:spacing w:after="200"/>
        <w:jc w:val="center"/>
      </w:pPr>
      <w:r w:rsidRPr="00215355">
        <w:rPr>
          <w:noProof/>
        </w:rPr>
        <w:drawing>
          <wp:inline distT="0" distB="0" distL="0" distR="0" wp14:anchorId="4D1A3F0E" wp14:editId="02F1DC39">
            <wp:extent cx="19050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1905000" cy="838200"/>
                    </a:xfrm>
                    <a:prstGeom prst="rect">
                      <a:avLst/>
                    </a:prstGeom>
                  </pic:spPr>
                </pic:pic>
              </a:graphicData>
            </a:graphic>
          </wp:inline>
        </w:drawing>
      </w:r>
    </w:p>
    <w:p w14:paraId="4513BD77" w14:textId="77777777" w:rsidR="006B56CC" w:rsidRPr="00215355" w:rsidRDefault="006B56CC" w:rsidP="00287F9A">
      <w:pPr>
        <w:jc w:val="center"/>
      </w:pPr>
    </w:p>
    <w:p w14:paraId="21586796" w14:textId="77777777" w:rsidR="006B56CC" w:rsidRPr="00215355" w:rsidRDefault="006B56CC" w:rsidP="00287F9A">
      <w:pPr>
        <w:pBdr>
          <w:bottom w:val="single" w:sz="6" w:space="1" w:color="2E74B5"/>
        </w:pBdr>
        <w:spacing w:after="80"/>
        <w:jc w:val="center"/>
      </w:pPr>
    </w:p>
    <w:p w14:paraId="578A9871" w14:textId="77777777" w:rsidR="006B56CC" w:rsidRPr="00215355" w:rsidRDefault="006B56CC" w:rsidP="00287F9A">
      <w:pPr>
        <w:jc w:val="center"/>
      </w:pPr>
    </w:p>
    <w:p w14:paraId="7B0714AB" w14:textId="77777777" w:rsidR="006B56CC" w:rsidRPr="00215355" w:rsidRDefault="00000000" w:rsidP="00287F9A">
      <w:pPr>
        <w:spacing w:after="120"/>
        <w:jc w:val="center"/>
      </w:pPr>
      <w:r w:rsidRPr="00215355">
        <w:rPr>
          <w:b/>
          <w:bCs/>
          <w:sz w:val="24"/>
          <w:szCs w:val="24"/>
        </w:rPr>
        <w:t>BA (Hons) Leadership and Management Skills for the Workplace</w:t>
      </w:r>
    </w:p>
    <w:p w14:paraId="59B0DA5B" w14:textId="77777777" w:rsidR="006B56CC" w:rsidRPr="00215355" w:rsidRDefault="00000000" w:rsidP="00287F9A">
      <w:pPr>
        <w:spacing w:after="240"/>
        <w:jc w:val="center"/>
      </w:pPr>
      <w:r w:rsidRPr="00215355">
        <w:rPr>
          <w:i/>
          <w:iCs/>
        </w:rPr>
        <w:t>Module: Developing and Managing Individuals and Teams</w:t>
      </w:r>
    </w:p>
    <w:p w14:paraId="70B5C72C" w14:textId="77777777" w:rsidR="006B56CC" w:rsidRPr="00215355" w:rsidRDefault="00000000" w:rsidP="00287F9A">
      <w:pPr>
        <w:spacing w:after="400"/>
        <w:jc w:val="center"/>
      </w:pPr>
      <w:r w:rsidRPr="00215355">
        <w:t>Module Code: LCLM5002</w:t>
      </w:r>
    </w:p>
    <w:p w14:paraId="08A6D554" w14:textId="77777777" w:rsidR="006B56CC" w:rsidRPr="00215355" w:rsidRDefault="00000000" w:rsidP="00287F9A">
      <w:pPr>
        <w:spacing w:after="200"/>
        <w:jc w:val="center"/>
      </w:pPr>
      <w:r w:rsidRPr="00215355">
        <w:rPr>
          <w:b/>
          <w:bCs/>
          <w:sz w:val="32"/>
          <w:szCs w:val="32"/>
        </w:rPr>
        <w:t>Component 2 – Individual Report</w:t>
      </w:r>
    </w:p>
    <w:p w14:paraId="0352B230" w14:textId="77777777" w:rsidR="006B56CC" w:rsidRPr="00215355" w:rsidRDefault="00000000" w:rsidP="00287F9A">
      <w:pPr>
        <w:spacing w:after="400"/>
        <w:jc w:val="center"/>
      </w:pPr>
      <w:r w:rsidRPr="00215355">
        <w:rPr>
          <w:b/>
          <w:bCs/>
          <w:sz w:val="26"/>
          <w:szCs w:val="26"/>
        </w:rPr>
        <w:t>Contemporary HR Challenges and Practices at FGH Security Ltd</w:t>
      </w:r>
    </w:p>
    <w:p w14:paraId="168A9788" w14:textId="77777777" w:rsidR="006B56CC" w:rsidRPr="00215355" w:rsidRDefault="006B56CC" w:rsidP="00287F9A">
      <w:pPr>
        <w:jc w:val="center"/>
      </w:pPr>
    </w:p>
    <w:p w14:paraId="5DE409CF" w14:textId="77777777" w:rsidR="006B56CC" w:rsidRPr="00215355" w:rsidRDefault="006B56CC" w:rsidP="00287F9A">
      <w:pPr>
        <w:jc w:val="center"/>
      </w:pPr>
    </w:p>
    <w:tbl>
      <w:tblPr>
        <w:tblStyle w:val="TableGrid"/>
        <w:tblW w:w="8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3000"/>
        <w:gridCol w:w="5000"/>
      </w:tblGrid>
      <w:tr w:rsidR="00215355" w:rsidRPr="00215355" w14:paraId="41E4DD9B" w14:textId="77777777" w:rsidTr="001D024E">
        <w:tc>
          <w:tcPr>
            <w:tcW w:w="3000" w:type="dxa"/>
          </w:tcPr>
          <w:p w14:paraId="10592D08" w14:textId="77777777" w:rsidR="006B56CC" w:rsidRPr="00215355" w:rsidRDefault="00000000" w:rsidP="00287F9A">
            <w:pPr>
              <w:jc w:val="center"/>
            </w:pPr>
            <w:r w:rsidRPr="00215355">
              <w:rPr>
                <w:b/>
                <w:bCs/>
              </w:rPr>
              <w:t>Student Name:</w:t>
            </w:r>
          </w:p>
        </w:tc>
        <w:tc>
          <w:tcPr>
            <w:tcW w:w="5000" w:type="dxa"/>
          </w:tcPr>
          <w:p w14:paraId="482155C9" w14:textId="77777777" w:rsidR="006B56CC" w:rsidRPr="00215355" w:rsidRDefault="00000000" w:rsidP="00287F9A">
            <w:pPr>
              <w:jc w:val="center"/>
            </w:pPr>
            <w:proofErr w:type="spellStart"/>
            <w:r w:rsidRPr="00215355">
              <w:t>Alhajji</w:t>
            </w:r>
            <w:proofErr w:type="spellEnd"/>
            <w:r w:rsidRPr="00215355">
              <w:t xml:space="preserve"> Abu Bakr Bangura</w:t>
            </w:r>
          </w:p>
        </w:tc>
      </w:tr>
      <w:tr w:rsidR="00215355" w:rsidRPr="00215355" w14:paraId="69A7A361" w14:textId="77777777" w:rsidTr="001D024E">
        <w:tc>
          <w:tcPr>
            <w:tcW w:w="3000" w:type="dxa"/>
          </w:tcPr>
          <w:p w14:paraId="75E46DCA" w14:textId="121AC238" w:rsidR="00D10FF8" w:rsidRPr="00215355" w:rsidRDefault="00D10FF8" w:rsidP="00287F9A">
            <w:pPr>
              <w:jc w:val="center"/>
              <w:rPr>
                <w:b/>
                <w:bCs/>
              </w:rPr>
            </w:pPr>
            <w:r w:rsidRPr="00215355">
              <w:rPr>
                <w:b/>
                <w:bCs/>
              </w:rPr>
              <w:t>Student ID</w:t>
            </w:r>
          </w:p>
        </w:tc>
        <w:tc>
          <w:tcPr>
            <w:tcW w:w="5000" w:type="dxa"/>
          </w:tcPr>
          <w:p w14:paraId="5754C21C" w14:textId="77ED301B" w:rsidR="00D10FF8" w:rsidRPr="00215355" w:rsidRDefault="00D10FF8" w:rsidP="00287F9A">
            <w:pPr>
              <w:jc w:val="center"/>
            </w:pPr>
            <w:r w:rsidRPr="00215355">
              <w:t>2428995</w:t>
            </w:r>
          </w:p>
        </w:tc>
      </w:tr>
      <w:tr w:rsidR="00215355" w:rsidRPr="00215355" w14:paraId="6F150708" w14:textId="77777777" w:rsidTr="001D024E">
        <w:tc>
          <w:tcPr>
            <w:tcW w:w="3000" w:type="dxa"/>
          </w:tcPr>
          <w:p w14:paraId="04165822" w14:textId="413A2395" w:rsidR="006B56CC" w:rsidRPr="00215355" w:rsidRDefault="00000000" w:rsidP="00287F9A">
            <w:pPr>
              <w:jc w:val="center"/>
            </w:pPr>
            <w:r w:rsidRPr="00215355">
              <w:rPr>
                <w:b/>
                <w:bCs/>
              </w:rPr>
              <w:t xml:space="preserve">Module </w:t>
            </w:r>
            <w:proofErr w:type="spellStart"/>
            <w:r w:rsidR="00745B3F" w:rsidRPr="00215355">
              <w:rPr>
                <w:b/>
                <w:bCs/>
              </w:rPr>
              <w:t>Lecurer</w:t>
            </w:r>
            <w:proofErr w:type="spellEnd"/>
            <w:r w:rsidRPr="00215355">
              <w:rPr>
                <w:b/>
                <w:bCs/>
              </w:rPr>
              <w:t>:</w:t>
            </w:r>
          </w:p>
        </w:tc>
        <w:tc>
          <w:tcPr>
            <w:tcW w:w="5000" w:type="dxa"/>
          </w:tcPr>
          <w:p w14:paraId="683FB524" w14:textId="662A0D7C" w:rsidR="006B56CC" w:rsidRPr="00215355" w:rsidRDefault="00745B3F" w:rsidP="00287F9A">
            <w:pPr>
              <w:jc w:val="center"/>
            </w:pPr>
            <w:proofErr w:type="spellStart"/>
            <w:r w:rsidRPr="00215355">
              <w:t>Faizu</w:t>
            </w:r>
            <w:proofErr w:type="spellEnd"/>
            <w:r w:rsidRPr="00215355">
              <w:t xml:space="preserve"> Edu</w:t>
            </w:r>
          </w:p>
        </w:tc>
      </w:tr>
      <w:tr w:rsidR="00215355" w:rsidRPr="00215355" w14:paraId="04AC948A" w14:textId="77777777" w:rsidTr="001D024E">
        <w:tc>
          <w:tcPr>
            <w:tcW w:w="3000" w:type="dxa"/>
          </w:tcPr>
          <w:p w14:paraId="22472081" w14:textId="77777777" w:rsidR="006B56CC" w:rsidRPr="00215355" w:rsidRDefault="00000000" w:rsidP="00287F9A">
            <w:pPr>
              <w:jc w:val="center"/>
            </w:pPr>
            <w:r w:rsidRPr="00215355">
              <w:rPr>
                <w:b/>
                <w:bCs/>
              </w:rPr>
              <w:t>Assignment Title:</w:t>
            </w:r>
          </w:p>
        </w:tc>
        <w:tc>
          <w:tcPr>
            <w:tcW w:w="5000" w:type="dxa"/>
          </w:tcPr>
          <w:p w14:paraId="1DB6B0E2" w14:textId="77777777" w:rsidR="006B56CC" w:rsidRPr="00215355" w:rsidRDefault="00000000" w:rsidP="00287F9A">
            <w:pPr>
              <w:jc w:val="center"/>
            </w:pPr>
            <w:r w:rsidRPr="00215355">
              <w:t>Component 2 – Individual Report</w:t>
            </w:r>
          </w:p>
        </w:tc>
      </w:tr>
      <w:tr w:rsidR="00215355" w:rsidRPr="00215355" w14:paraId="322EA6F1" w14:textId="77777777" w:rsidTr="001D024E">
        <w:tc>
          <w:tcPr>
            <w:tcW w:w="3000" w:type="dxa"/>
          </w:tcPr>
          <w:p w14:paraId="6BCB1BB7" w14:textId="77777777" w:rsidR="006B56CC" w:rsidRPr="00215355" w:rsidRDefault="00000000" w:rsidP="00287F9A">
            <w:pPr>
              <w:jc w:val="center"/>
            </w:pPr>
            <w:r w:rsidRPr="00215355">
              <w:rPr>
                <w:b/>
                <w:bCs/>
              </w:rPr>
              <w:t>Submission Deadline:</w:t>
            </w:r>
          </w:p>
        </w:tc>
        <w:tc>
          <w:tcPr>
            <w:tcW w:w="5000" w:type="dxa"/>
          </w:tcPr>
          <w:p w14:paraId="69F3346A" w14:textId="77777777" w:rsidR="006B56CC" w:rsidRPr="00215355" w:rsidRDefault="00000000" w:rsidP="00287F9A">
            <w:pPr>
              <w:jc w:val="center"/>
            </w:pPr>
            <w:r w:rsidRPr="00215355">
              <w:t>01 May 2026 – 2:00 PM</w:t>
            </w:r>
          </w:p>
        </w:tc>
      </w:tr>
      <w:tr w:rsidR="00215355" w:rsidRPr="00215355" w14:paraId="35F2772F" w14:textId="77777777" w:rsidTr="001D024E">
        <w:tc>
          <w:tcPr>
            <w:tcW w:w="3000" w:type="dxa"/>
          </w:tcPr>
          <w:p w14:paraId="42C73CA0" w14:textId="77777777" w:rsidR="006B56CC" w:rsidRPr="00215355" w:rsidRDefault="00000000" w:rsidP="00287F9A">
            <w:pPr>
              <w:jc w:val="center"/>
            </w:pPr>
            <w:r w:rsidRPr="00215355">
              <w:rPr>
                <w:b/>
                <w:bCs/>
              </w:rPr>
              <w:t>Word Count:</w:t>
            </w:r>
          </w:p>
        </w:tc>
        <w:tc>
          <w:tcPr>
            <w:tcW w:w="5000" w:type="dxa"/>
          </w:tcPr>
          <w:p w14:paraId="706D8E21" w14:textId="7BBA014A" w:rsidR="006B56CC" w:rsidRPr="00215355" w:rsidRDefault="00287F9A" w:rsidP="00287F9A">
            <w:pPr>
              <w:jc w:val="center"/>
            </w:pPr>
            <w:r w:rsidRPr="00215355">
              <w:t xml:space="preserve">1957 words </w:t>
            </w:r>
          </w:p>
        </w:tc>
      </w:tr>
    </w:tbl>
    <w:p w14:paraId="31D30ED5" w14:textId="77777777" w:rsidR="006B56CC" w:rsidRPr="00215355" w:rsidRDefault="006B56CC" w:rsidP="00287F9A">
      <w:pPr>
        <w:jc w:val="center"/>
      </w:pPr>
    </w:p>
    <w:p w14:paraId="08ECC32B" w14:textId="77777777" w:rsidR="006B56CC" w:rsidRPr="00215355" w:rsidRDefault="006B56CC" w:rsidP="00287F9A">
      <w:pPr>
        <w:jc w:val="center"/>
      </w:pPr>
    </w:p>
    <w:p w14:paraId="7E080E87" w14:textId="77777777" w:rsidR="006B56CC" w:rsidRPr="00215355" w:rsidRDefault="00000000" w:rsidP="00287F9A">
      <w:pPr>
        <w:spacing w:before="400"/>
        <w:jc w:val="center"/>
      </w:pPr>
      <w:r w:rsidRPr="00215355">
        <w:rPr>
          <w:noProof/>
        </w:rPr>
        <w:drawing>
          <wp:inline distT="0" distB="0" distL="0" distR="0" wp14:anchorId="139A2BE9" wp14:editId="1C933BC7">
            <wp:extent cx="1524000" cy="561975"/>
            <wp:effectExtent l="0" t="0" r="0" b="0"/>
            <wp:docPr id="1142036984" name="Picture 1142036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1524000" cy="561975"/>
                    </a:xfrm>
                    <a:prstGeom prst="rect">
                      <a:avLst/>
                    </a:prstGeom>
                  </pic:spPr>
                </pic:pic>
              </a:graphicData>
            </a:graphic>
          </wp:inline>
        </w:drawing>
      </w:r>
    </w:p>
    <w:p w14:paraId="16223CF1" w14:textId="77777777" w:rsidR="006B56CC" w:rsidRPr="00215355" w:rsidRDefault="00000000" w:rsidP="00287F9A">
      <w:pPr>
        <w:jc w:val="center"/>
      </w:pPr>
      <w:r w:rsidRPr="00215355">
        <w:rPr>
          <w:i/>
          <w:iCs/>
          <w:sz w:val="20"/>
          <w:szCs w:val="20"/>
        </w:rPr>
        <w:t>March 2026</w:t>
      </w:r>
    </w:p>
    <w:p w14:paraId="544C3CF1" w14:textId="77777777" w:rsidR="0054249B" w:rsidRDefault="0054249B" w:rsidP="00287F9A">
      <w:pPr>
        <w:jc w:val="both"/>
      </w:pPr>
    </w:p>
    <w:p w14:paraId="7CCDA3F6" w14:textId="77777777" w:rsidR="0054249B" w:rsidRDefault="0054249B" w:rsidP="00287F9A">
      <w:pPr>
        <w:jc w:val="both"/>
      </w:pPr>
    </w:p>
    <w:p w14:paraId="4F97AE40" w14:textId="77777777" w:rsidR="0054249B" w:rsidRDefault="0054249B" w:rsidP="00287F9A">
      <w:pPr>
        <w:jc w:val="both"/>
      </w:pPr>
    </w:p>
    <w:p w14:paraId="1303A999" w14:textId="77777777" w:rsidR="0054249B" w:rsidRDefault="0054249B" w:rsidP="00287F9A">
      <w:pPr>
        <w:jc w:val="both"/>
      </w:pPr>
    </w:p>
    <w:p w14:paraId="7C489F90" w14:textId="77777777" w:rsidR="0054249B" w:rsidRDefault="0054249B" w:rsidP="00287F9A">
      <w:pPr>
        <w:jc w:val="both"/>
      </w:pPr>
    </w:p>
    <w:p w14:paraId="6AC88371" w14:textId="77777777" w:rsidR="0054249B" w:rsidRDefault="0054249B" w:rsidP="00287F9A">
      <w:pPr>
        <w:jc w:val="both"/>
      </w:pPr>
    </w:p>
    <w:p w14:paraId="003AC3F5" w14:textId="77777777" w:rsidR="0054249B" w:rsidRDefault="0054249B" w:rsidP="00287F9A">
      <w:pPr>
        <w:jc w:val="both"/>
      </w:pPr>
    </w:p>
    <w:p w14:paraId="5F86F63E" w14:textId="77777777" w:rsidR="0054249B" w:rsidRDefault="0054249B" w:rsidP="00287F9A">
      <w:pPr>
        <w:jc w:val="both"/>
      </w:pPr>
    </w:p>
    <w:p w14:paraId="6CB0BD52" w14:textId="77777777" w:rsidR="0054249B" w:rsidRDefault="0054249B" w:rsidP="00287F9A">
      <w:pPr>
        <w:jc w:val="both"/>
      </w:pPr>
    </w:p>
    <w:p w14:paraId="09496ED1" w14:textId="77777777" w:rsidR="0054249B" w:rsidRDefault="0054249B" w:rsidP="00287F9A">
      <w:pPr>
        <w:jc w:val="both"/>
      </w:pPr>
    </w:p>
    <w:p w14:paraId="1373AA16" w14:textId="77777777" w:rsidR="0054249B" w:rsidRDefault="0054249B" w:rsidP="00287F9A">
      <w:pPr>
        <w:jc w:val="both"/>
      </w:pPr>
    </w:p>
    <w:p w14:paraId="5370A3DB" w14:textId="77777777" w:rsidR="0054249B" w:rsidRDefault="0054249B" w:rsidP="00287F9A">
      <w:pPr>
        <w:jc w:val="both"/>
      </w:pPr>
    </w:p>
    <w:p w14:paraId="0B57CF2B" w14:textId="77777777" w:rsidR="0054249B" w:rsidRDefault="0054249B" w:rsidP="00287F9A">
      <w:pPr>
        <w:jc w:val="both"/>
      </w:pPr>
    </w:p>
    <w:p w14:paraId="7766D04F" w14:textId="77777777" w:rsidR="0054249B" w:rsidRDefault="0054249B" w:rsidP="00287F9A">
      <w:pPr>
        <w:jc w:val="both"/>
      </w:pPr>
    </w:p>
    <w:p w14:paraId="7873B28F" w14:textId="77777777" w:rsidR="0054249B" w:rsidRDefault="0054249B" w:rsidP="00287F9A">
      <w:pPr>
        <w:jc w:val="both"/>
      </w:pPr>
    </w:p>
    <w:p w14:paraId="5C211965" w14:textId="77777777" w:rsidR="0054249B" w:rsidRDefault="0054249B" w:rsidP="00287F9A">
      <w:pPr>
        <w:jc w:val="both"/>
      </w:pPr>
    </w:p>
    <w:p w14:paraId="0CB74B72" w14:textId="77777777" w:rsidR="0054249B" w:rsidRDefault="0054249B" w:rsidP="00287F9A">
      <w:pPr>
        <w:jc w:val="both"/>
      </w:pPr>
    </w:p>
    <w:p w14:paraId="258635A8" w14:textId="77777777" w:rsidR="0054249B" w:rsidRDefault="0054249B" w:rsidP="00287F9A">
      <w:pPr>
        <w:jc w:val="both"/>
      </w:pPr>
    </w:p>
    <w:sdt>
      <w:sdtPr>
        <w:rPr>
          <w:rFonts w:ascii="Arial" w:eastAsia="Arial" w:hAnsi="Arial" w:cs="Arial"/>
          <w:color w:val="auto"/>
          <w:sz w:val="22"/>
          <w:szCs w:val="22"/>
        </w:rPr>
        <w:id w:val="-196774343"/>
        <w:docPartObj>
          <w:docPartGallery w:val="Table of Contents"/>
          <w:docPartUnique/>
        </w:docPartObj>
      </w:sdtPr>
      <w:sdtEndPr>
        <w:rPr>
          <w:b/>
          <w:bCs/>
        </w:rPr>
      </w:sdtEndPr>
      <w:sdtContent>
        <w:p w14:paraId="7B4B9603" w14:textId="207189E9" w:rsidR="0054249B" w:rsidRDefault="0054249B">
          <w:pPr>
            <w:pStyle w:val="TOCHeading"/>
          </w:pPr>
          <w:r>
            <w:t>Table of Contents</w:t>
          </w:r>
        </w:p>
        <w:p w14:paraId="6E96698E" w14:textId="26772EC8" w:rsidR="0054249B" w:rsidRDefault="0054249B">
          <w:pPr>
            <w:pStyle w:val="TOC1"/>
            <w:tabs>
              <w:tab w:val="right" w:leader="dot" w:pos="9016"/>
            </w:tabs>
            <w:rPr>
              <w:noProof/>
            </w:rPr>
          </w:pPr>
          <w:r>
            <w:fldChar w:fldCharType="begin"/>
          </w:r>
          <w:r>
            <w:instrText xml:space="preserve"> TOC \o "1-3" \h \z \u </w:instrText>
          </w:r>
          <w:r>
            <w:fldChar w:fldCharType="separate"/>
          </w:r>
          <w:hyperlink w:anchor="_Toc227097411" w:history="1">
            <w:r w:rsidRPr="00CF1F3C">
              <w:rPr>
                <w:rStyle w:val="Hyperlink"/>
                <w:noProof/>
              </w:rPr>
              <w:t>1. Introduction</w:t>
            </w:r>
            <w:r>
              <w:rPr>
                <w:noProof/>
                <w:webHidden/>
              </w:rPr>
              <w:tab/>
            </w:r>
            <w:r>
              <w:rPr>
                <w:noProof/>
                <w:webHidden/>
              </w:rPr>
              <w:fldChar w:fldCharType="begin"/>
            </w:r>
            <w:r>
              <w:rPr>
                <w:noProof/>
                <w:webHidden/>
              </w:rPr>
              <w:instrText xml:space="preserve"> PAGEREF _Toc227097411 \h </w:instrText>
            </w:r>
            <w:r>
              <w:rPr>
                <w:noProof/>
                <w:webHidden/>
              </w:rPr>
            </w:r>
            <w:r>
              <w:rPr>
                <w:noProof/>
                <w:webHidden/>
              </w:rPr>
              <w:fldChar w:fldCharType="separate"/>
            </w:r>
            <w:r>
              <w:rPr>
                <w:noProof/>
                <w:webHidden/>
              </w:rPr>
              <w:t>3</w:t>
            </w:r>
            <w:r>
              <w:rPr>
                <w:noProof/>
                <w:webHidden/>
              </w:rPr>
              <w:fldChar w:fldCharType="end"/>
            </w:r>
          </w:hyperlink>
        </w:p>
        <w:p w14:paraId="1B5C6C31" w14:textId="56C2490D" w:rsidR="0054249B" w:rsidRDefault="0054249B">
          <w:pPr>
            <w:pStyle w:val="TOC1"/>
            <w:tabs>
              <w:tab w:val="right" w:leader="dot" w:pos="9016"/>
            </w:tabs>
            <w:rPr>
              <w:noProof/>
            </w:rPr>
          </w:pPr>
          <w:hyperlink w:anchor="_Toc227097412" w:history="1">
            <w:r w:rsidRPr="00CF1F3C">
              <w:rPr>
                <w:rStyle w:val="Hyperlink"/>
                <w:noProof/>
              </w:rPr>
              <w:t>2. Key HR Factors Facing FGH Security Ltd</w:t>
            </w:r>
            <w:r>
              <w:rPr>
                <w:noProof/>
                <w:webHidden/>
              </w:rPr>
              <w:tab/>
            </w:r>
            <w:r>
              <w:rPr>
                <w:noProof/>
                <w:webHidden/>
              </w:rPr>
              <w:fldChar w:fldCharType="begin"/>
            </w:r>
            <w:r>
              <w:rPr>
                <w:noProof/>
                <w:webHidden/>
              </w:rPr>
              <w:instrText xml:space="preserve"> PAGEREF _Toc227097412 \h </w:instrText>
            </w:r>
            <w:r>
              <w:rPr>
                <w:noProof/>
                <w:webHidden/>
              </w:rPr>
            </w:r>
            <w:r>
              <w:rPr>
                <w:noProof/>
                <w:webHidden/>
              </w:rPr>
              <w:fldChar w:fldCharType="separate"/>
            </w:r>
            <w:r>
              <w:rPr>
                <w:noProof/>
                <w:webHidden/>
              </w:rPr>
              <w:t>3</w:t>
            </w:r>
            <w:r>
              <w:rPr>
                <w:noProof/>
                <w:webHidden/>
              </w:rPr>
              <w:fldChar w:fldCharType="end"/>
            </w:r>
          </w:hyperlink>
        </w:p>
        <w:p w14:paraId="43AF542A" w14:textId="274092BA" w:rsidR="0054249B" w:rsidRDefault="0054249B">
          <w:pPr>
            <w:pStyle w:val="TOC2"/>
            <w:tabs>
              <w:tab w:val="right" w:leader="dot" w:pos="9016"/>
            </w:tabs>
            <w:rPr>
              <w:noProof/>
            </w:rPr>
          </w:pPr>
          <w:hyperlink w:anchor="_Toc227097413" w:history="1">
            <w:r w:rsidRPr="00CF1F3C">
              <w:rPr>
                <w:rStyle w:val="Hyperlink"/>
                <w:noProof/>
              </w:rPr>
              <w:t>2.1 Meeting Technological Advancement</w:t>
            </w:r>
            <w:r>
              <w:rPr>
                <w:noProof/>
                <w:webHidden/>
              </w:rPr>
              <w:tab/>
            </w:r>
            <w:r>
              <w:rPr>
                <w:noProof/>
                <w:webHidden/>
              </w:rPr>
              <w:fldChar w:fldCharType="begin"/>
            </w:r>
            <w:r>
              <w:rPr>
                <w:noProof/>
                <w:webHidden/>
              </w:rPr>
              <w:instrText xml:space="preserve"> PAGEREF _Toc227097413 \h </w:instrText>
            </w:r>
            <w:r>
              <w:rPr>
                <w:noProof/>
                <w:webHidden/>
              </w:rPr>
            </w:r>
            <w:r>
              <w:rPr>
                <w:noProof/>
                <w:webHidden/>
              </w:rPr>
              <w:fldChar w:fldCharType="separate"/>
            </w:r>
            <w:r>
              <w:rPr>
                <w:noProof/>
                <w:webHidden/>
              </w:rPr>
              <w:t>3</w:t>
            </w:r>
            <w:r>
              <w:rPr>
                <w:noProof/>
                <w:webHidden/>
              </w:rPr>
              <w:fldChar w:fldCharType="end"/>
            </w:r>
          </w:hyperlink>
        </w:p>
        <w:p w14:paraId="383CAA39" w14:textId="6E8CF3D1" w:rsidR="0054249B" w:rsidRDefault="0054249B">
          <w:pPr>
            <w:pStyle w:val="TOC2"/>
            <w:tabs>
              <w:tab w:val="right" w:leader="dot" w:pos="9016"/>
            </w:tabs>
            <w:rPr>
              <w:noProof/>
            </w:rPr>
          </w:pPr>
          <w:hyperlink w:anchor="_Toc227097414" w:history="1">
            <w:r w:rsidRPr="00CF1F3C">
              <w:rPr>
                <w:rStyle w:val="Hyperlink"/>
                <w:noProof/>
              </w:rPr>
              <w:t>2.2 Talent Acquisition and Retention</w:t>
            </w:r>
            <w:r>
              <w:rPr>
                <w:noProof/>
                <w:webHidden/>
              </w:rPr>
              <w:tab/>
            </w:r>
            <w:r>
              <w:rPr>
                <w:noProof/>
                <w:webHidden/>
              </w:rPr>
              <w:fldChar w:fldCharType="begin"/>
            </w:r>
            <w:r>
              <w:rPr>
                <w:noProof/>
                <w:webHidden/>
              </w:rPr>
              <w:instrText xml:space="preserve"> PAGEREF _Toc227097414 \h </w:instrText>
            </w:r>
            <w:r>
              <w:rPr>
                <w:noProof/>
                <w:webHidden/>
              </w:rPr>
            </w:r>
            <w:r>
              <w:rPr>
                <w:noProof/>
                <w:webHidden/>
              </w:rPr>
              <w:fldChar w:fldCharType="separate"/>
            </w:r>
            <w:r>
              <w:rPr>
                <w:noProof/>
                <w:webHidden/>
              </w:rPr>
              <w:t>3</w:t>
            </w:r>
            <w:r>
              <w:rPr>
                <w:noProof/>
                <w:webHidden/>
              </w:rPr>
              <w:fldChar w:fldCharType="end"/>
            </w:r>
          </w:hyperlink>
        </w:p>
        <w:p w14:paraId="0A5B13D1" w14:textId="34447CF3" w:rsidR="0054249B" w:rsidRDefault="0054249B">
          <w:pPr>
            <w:pStyle w:val="TOC2"/>
            <w:tabs>
              <w:tab w:val="right" w:leader="dot" w:pos="9016"/>
            </w:tabs>
            <w:rPr>
              <w:noProof/>
            </w:rPr>
          </w:pPr>
          <w:hyperlink w:anchor="_Toc227097415" w:history="1">
            <w:r w:rsidRPr="00CF1F3C">
              <w:rPr>
                <w:rStyle w:val="Hyperlink"/>
                <w:noProof/>
              </w:rPr>
              <w:t>2.3 Diversity, Equity and Inclusion (DEI)</w:t>
            </w:r>
            <w:r>
              <w:rPr>
                <w:noProof/>
                <w:webHidden/>
              </w:rPr>
              <w:tab/>
            </w:r>
            <w:r>
              <w:rPr>
                <w:noProof/>
                <w:webHidden/>
              </w:rPr>
              <w:fldChar w:fldCharType="begin"/>
            </w:r>
            <w:r>
              <w:rPr>
                <w:noProof/>
                <w:webHidden/>
              </w:rPr>
              <w:instrText xml:space="preserve"> PAGEREF _Toc227097415 \h </w:instrText>
            </w:r>
            <w:r>
              <w:rPr>
                <w:noProof/>
                <w:webHidden/>
              </w:rPr>
            </w:r>
            <w:r>
              <w:rPr>
                <w:noProof/>
                <w:webHidden/>
              </w:rPr>
              <w:fldChar w:fldCharType="separate"/>
            </w:r>
            <w:r>
              <w:rPr>
                <w:noProof/>
                <w:webHidden/>
              </w:rPr>
              <w:t>4</w:t>
            </w:r>
            <w:r>
              <w:rPr>
                <w:noProof/>
                <w:webHidden/>
              </w:rPr>
              <w:fldChar w:fldCharType="end"/>
            </w:r>
          </w:hyperlink>
        </w:p>
        <w:p w14:paraId="6313FADC" w14:textId="650DB25C" w:rsidR="0054249B" w:rsidRDefault="0054249B">
          <w:pPr>
            <w:pStyle w:val="TOC1"/>
            <w:tabs>
              <w:tab w:val="right" w:leader="dot" w:pos="9016"/>
            </w:tabs>
            <w:rPr>
              <w:noProof/>
            </w:rPr>
          </w:pPr>
          <w:hyperlink w:anchor="_Toc227097416" w:history="1">
            <w:r w:rsidRPr="00CF1F3C">
              <w:rPr>
                <w:rStyle w:val="Hyperlink"/>
                <w:noProof/>
              </w:rPr>
              <w:t>3. Contemporary HR Practices to Address Each Factor</w:t>
            </w:r>
            <w:r>
              <w:rPr>
                <w:noProof/>
                <w:webHidden/>
              </w:rPr>
              <w:tab/>
            </w:r>
            <w:r>
              <w:rPr>
                <w:noProof/>
                <w:webHidden/>
              </w:rPr>
              <w:fldChar w:fldCharType="begin"/>
            </w:r>
            <w:r>
              <w:rPr>
                <w:noProof/>
                <w:webHidden/>
              </w:rPr>
              <w:instrText xml:space="preserve"> PAGEREF _Toc227097416 \h </w:instrText>
            </w:r>
            <w:r>
              <w:rPr>
                <w:noProof/>
                <w:webHidden/>
              </w:rPr>
            </w:r>
            <w:r>
              <w:rPr>
                <w:noProof/>
                <w:webHidden/>
              </w:rPr>
              <w:fldChar w:fldCharType="separate"/>
            </w:r>
            <w:r>
              <w:rPr>
                <w:noProof/>
                <w:webHidden/>
              </w:rPr>
              <w:t>4</w:t>
            </w:r>
            <w:r>
              <w:rPr>
                <w:noProof/>
                <w:webHidden/>
              </w:rPr>
              <w:fldChar w:fldCharType="end"/>
            </w:r>
          </w:hyperlink>
        </w:p>
        <w:p w14:paraId="108BC422" w14:textId="2C1D9E1F" w:rsidR="0054249B" w:rsidRDefault="0054249B">
          <w:pPr>
            <w:pStyle w:val="TOC2"/>
            <w:tabs>
              <w:tab w:val="right" w:leader="dot" w:pos="9016"/>
            </w:tabs>
            <w:rPr>
              <w:noProof/>
            </w:rPr>
          </w:pPr>
          <w:hyperlink w:anchor="_Toc227097417" w:history="1">
            <w:r w:rsidRPr="00CF1F3C">
              <w:rPr>
                <w:rStyle w:val="Hyperlink"/>
                <w:noProof/>
              </w:rPr>
              <w:t>3.1 Technology: Digital Learning and Upskilling Programmes</w:t>
            </w:r>
            <w:r>
              <w:rPr>
                <w:noProof/>
                <w:webHidden/>
              </w:rPr>
              <w:tab/>
            </w:r>
            <w:r>
              <w:rPr>
                <w:noProof/>
                <w:webHidden/>
              </w:rPr>
              <w:fldChar w:fldCharType="begin"/>
            </w:r>
            <w:r>
              <w:rPr>
                <w:noProof/>
                <w:webHidden/>
              </w:rPr>
              <w:instrText xml:space="preserve"> PAGEREF _Toc227097417 \h </w:instrText>
            </w:r>
            <w:r>
              <w:rPr>
                <w:noProof/>
                <w:webHidden/>
              </w:rPr>
            </w:r>
            <w:r>
              <w:rPr>
                <w:noProof/>
                <w:webHidden/>
              </w:rPr>
              <w:fldChar w:fldCharType="separate"/>
            </w:r>
            <w:r>
              <w:rPr>
                <w:noProof/>
                <w:webHidden/>
              </w:rPr>
              <w:t>4</w:t>
            </w:r>
            <w:r>
              <w:rPr>
                <w:noProof/>
                <w:webHidden/>
              </w:rPr>
              <w:fldChar w:fldCharType="end"/>
            </w:r>
          </w:hyperlink>
        </w:p>
        <w:p w14:paraId="5CF009A4" w14:textId="6C0789CC" w:rsidR="0054249B" w:rsidRDefault="0054249B">
          <w:pPr>
            <w:pStyle w:val="TOC2"/>
            <w:tabs>
              <w:tab w:val="right" w:leader="dot" w:pos="9016"/>
            </w:tabs>
            <w:rPr>
              <w:noProof/>
            </w:rPr>
          </w:pPr>
          <w:hyperlink w:anchor="_Toc227097418" w:history="1">
            <w:r w:rsidRPr="00CF1F3C">
              <w:rPr>
                <w:rStyle w:val="Hyperlink"/>
                <w:noProof/>
              </w:rPr>
              <w:t>3.2 Talent: Strategic Employer Branding and Structured Career Pathways</w:t>
            </w:r>
            <w:r>
              <w:rPr>
                <w:noProof/>
                <w:webHidden/>
              </w:rPr>
              <w:tab/>
            </w:r>
            <w:r>
              <w:rPr>
                <w:noProof/>
                <w:webHidden/>
              </w:rPr>
              <w:fldChar w:fldCharType="begin"/>
            </w:r>
            <w:r>
              <w:rPr>
                <w:noProof/>
                <w:webHidden/>
              </w:rPr>
              <w:instrText xml:space="preserve"> PAGEREF _Toc227097418 \h </w:instrText>
            </w:r>
            <w:r>
              <w:rPr>
                <w:noProof/>
                <w:webHidden/>
              </w:rPr>
            </w:r>
            <w:r>
              <w:rPr>
                <w:noProof/>
                <w:webHidden/>
              </w:rPr>
              <w:fldChar w:fldCharType="separate"/>
            </w:r>
            <w:r>
              <w:rPr>
                <w:noProof/>
                <w:webHidden/>
              </w:rPr>
              <w:t>5</w:t>
            </w:r>
            <w:r>
              <w:rPr>
                <w:noProof/>
                <w:webHidden/>
              </w:rPr>
              <w:fldChar w:fldCharType="end"/>
            </w:r>
          </w:hyperlink>
        </w:p>
        <w:p w14:paraId="7FAEC8BE" w14:textId="071EF27A" w:rsidR="0054249B" w:rsidRDefault="0054249B">
          <w:pPr>
            <w:pStyle w:val="TOC2"/>
            <w:tabs>
              <w:tab w:val="right" w:leader="dot" w:pos="9016"/>
            </w:tabs>
            <w:rPr>
              <w:noProof/>
            </w:rPr>
          </w:pPr>
          <w:hyperlink w:anchor="_Toc227097419" w:history="1">
            <w:r w:rsidRPr="00CF1F3C">
              <w:rPr>
                <w:rStyle w:val="Hyperlink"/>
                <w:noProof/>
              </w:rPr>
              <w:t>3.3 DEI: Inclusive Recruitment and Cultural Competence Training</w:t>
            </w:r>
            <w:r>
              <w:rPr>
                <w:noProof/>
                <w:webHidden/>
              </w:rPr>
              <w:tab/>
            </w:r>
            <w:r>
              <w:rPr>
                <w:noProof/>
                <w:webHidden/>
              </w:rPr>
              <w:fldChar w:fldCharType="begin"/>
            </w:r>
            <w:r>
              <w:rPr>
                <w:noProof/>
                <w:webHidden/>
              </w:rPr>
              <w:instrText xml:space="preserve"> PAGEREF _Toc227097419 \h </w:instrText>
            </w:r>
            <w:r>
              <w:rPr>
                <w:noProof/>
                <w:webHidden/>
              </w:rPr>
            </w:r>
            <w:r>
              <w:rPr>
                <w:noProof/>
                <w:webHidden/>
              </w:rPr>
              <w:fldChar w:fldCharType="separate"/>
            </w:r>
            <w:r>
              <w:rPr>
                <w:noProof/>
                <w:webHidden/>
              </w:rPr>
              <w:t>5</w:t>
            </w:r>
            <w:r>
              <w:rPr>
                <w:noProof/>
                <w:webHidden/>
              </w:rPr>
              <w:fldChar w:fldCharType="end"/>
            </w:r>
          </w:hyperlink>
        </w:p>
        <w:p w14:paraId="6F581E00" w14:textId="0BA7A02A" w:rsidR="0054249B" w:rsidRDefault="0054249B">
          <w:pPr>
            <w:pStyle w:val="TOC1"/>
            <w:tabs>
              <w:tab w:val="right" w:leader="dot" w:pos="9016"/>
            </w:tabs>
            <w:rPr>
              <w:noProof/>
            </w:rPr>
          </w:pPr>
          <w:hyperlink w:anchor="_Toc227097420" w:history="1">
            <w:r w:rsidRPr="00CF1F3C">
              <w:rPr>
                <w:rStyle w:val="Hyperlink"/>
                <w:noProof/>
              </w:rPr>
              <w:t>4. The Role of Departmental Managers in Implementing Contemporary Practices</w:t>
            </w:r>
            <w:r>
              <w:rPr>
                <w:noProof/>
                <w:webHidden/>
              </w:rPr>
              <w:tab/>
            </w:r>
            <w:r>
              <w:rPr>
                <w:noProof/>
                <w:webHidden/>
              </w:rPr>
              <w:fldChar w:fldCharType="begin"/>
            </w:r>
            <w:r>
              <w:rPr>
                <w:noProof/>
                <w:webHidden/>
              </w:rPr>
              <w:instrText xml:space="preserve"> PAGEREF _Toc227097420 \h </w:instrText>
            </w:r>
            <w:r>
              <w:rPr>
                <w:noProof/>
                <w:webHidden/>
              </w:rPr>
            </w:r>
            <w:r>
              <w:rPr>
                <w:noProof/>
                <w:webHidden/>
              </w:rPr>
              <w:fldChar w:fldCharType="separate"/>
            </w:r>
            <w:r>
              <w:rPr>
                <w:noProof/>
                <w:webHidden/>
              </w:rPr>
              <w:t>5</w:t>
            </w:r>
            <w:r>
              <w:rPr>
                <w:noProof/>
                <w:webHidden/>
              </w:rPr>
              <w:fldChar w:fldCharType="end"/>
            </w:r>
          </w:hyperlink>
        </w:p>
        <w:p w14:paraId="2283E54E" w14:textId="0D0986BF" w:rsidR="0054249B" w:rsidRDefault="0054249B">
          <w:pPr>
            <w:pStyle w:val="TOC1"/>
            <w:tabs>
              <w:tab w:val="right" w:leader="dot" w:pos="9016"/>
            </w:tabs>
            <w:rPr>
              <w:noProof/>
            </w:rPr>
          </w:pPr>
          <w:hyperlink w:anchor="_Toc227097421" w:history="1">
            <w:r w:rsidRPr="00CF1F3C">
              <w:rPr>
                <w:rStyle w:val="Hyperlink"/>
                <w:noProof/>
              </w:rPr>
              <w:t>5. Conclusion and Recommendations</w:t>
            </w:r>
            <w:r>
              <w:rPr>
                <w:noProof/>
                <w:webHidden/>
              </w:rPr>
              <w:tab/>
            </w:r>
            <w:r>
              <w:rPr>
                <w:noProof/>
                <w:webHidden/>
              </w:rPr>
              <w:fldChar w:fldCharType="begin"/>
            </w:r>
            <w:r>
              <w:rPr>
                <w:noProof/>
                <w:webHidden/>
              </w:rPr>
              <w:instrText xml:space="preserve"> PAGEREF _Toc227097421 \h </w:instrText>
            </w:r>
            <w:r>
              <w:rPr>
                <w:noProof/>
                <w:webHidden/>
              </w:rPr>
            </w:r>
            <w:r>
              <w:rPr>
                <w:noProof/>
                <w:webHidden/>
              </w:rPr>
              <w:fldChar w:fldCharType="separate"/>
            </w:r>
            <w:r>
              <w:rPr>
                <w:noProof/>
                <w:webHidden/>
              </w:rPr>
              <w:t>6</w:t>
            </w:r>
            <w:r>
              <w:rPr>
                <w:noProof/>
                <w:webHidden/>
              </w:rPr>
              <w:fldChar w:fldCharType="end"/>
            </w:r>
          </w:hyperlink>
        </w:p>
        <w:p w14:paraId="3900AC31" w14:textId="581B8319" w:rsidR="0054249B" w:rsidRDefault="0054249B">
          <w:pPr>
            <w:pStyle w:val="TOC1"/>
            <w:tabs>
              <w:tab w:val="right" w:leader="dot" w:pos="9016"/>
            </w:tabs>
            <w:rPr>
              <w:noProof/>
            </w:rPr>
          </w:pPr>
          <w:hyperlink w:anchor="_Toc227097422" w:history="1">
            <w:r w:rsidRPr="00CF1F3C">
              <w:rPr>
                <w:rStyle w:val="Hyperlink"/>
                <w:noProof/>
              </w:rPr>
              <w:t>References</w:t>
            </w:r>
            <w:r>
              <w:rPr>
                <w:noProof/>
                <w:webHidden/>
              </w:rPr>
              <w:tab/>
            </w:r>
            <w:r>
              <w:rPr>
                <w:noProof/>
                <w:webHidden/>
              </w:rPr>
              <w:fldChar w:fldCharType="begin"/>
            </w:r>
            <w:r>
              <w:rPr>
                <w:noProof/>
                <w:webHidden/>
              </w:rPr>
              <w:instrText xml:space="preserve"> PAGEREF _Toc227097422 \h </w:instrText>
            </w:r>
            <w:r>
              <w:rPr>
                <w:noProof/>
                <w:webHidden/>
              </w:rPr>
            </w:r>
            <w:r>
              <w:rPr>
                <w:noProof/>
                <w:webHidden/>
              </w:rPr>
              <w:fldChar w:fldCharType="separate"/>
            </w:r>
            <w:r>
              <w:rPr>
                <w:noProof/>
                <w:webHidden/>
              </w:rPr>
              <w:t>8</w:t>
            </w:r>
            <w:r>
              <w:rPr>
                <w:noProof/>
                <w:webHidden/>
              </w:rPr>
              <w:fldChar w:fldCharType="end"/>
            </w:r>
          </w:hyperlink>
        </w:p>
        <w:p w14:paraId="1DC6F065" w14:textId="32812B94" w:rsidR="0054249B" w:rsidRDefault="0054249B">
          <w:r>
            <w:rPr>
              <w:b/>
              <w:bCs/>
            </w:rPr>
            <w:fldChar w:fldCharType="end"/>
          </w:r>
        </w:p>
      </w:sdtContent>
    </w:sdt>
    <w:p w14:paraId="2E94BF09" w14:textId="77777777" w:rsidR="0054249B" w:rsidRDefault="0054249B" w:rsidP="00287F9A">
      <w:pPr>
        <w:jc w:val="both"/>
      </w:pPr>
    </w:p>
    <w:p w14:paraId="3A88B29B" w14:textId="28C527CD" w:rsidR="006B56CC" w:rsidRPr="00215355" w:rsidRDefault="00000000" w:rsidP="00287F9A">
      <w:pPr>
        <w:jc w:val="both"/>
      </w:pPr>
      <w:r w:rsidRPr="00215355">
        <w:br w:type="page"/>
      </w:r>
    </w:p>
    <w:p w14:paraId="2938C1F8" w14:textId="77777777" w:rsidR="006B56CC" w:rsidRPr="00215355" w:rsidRDefault="006B56CC" w:rsidP="00287F9A">
      <w:pPr>
        <w:jc w:val="both"/>
        <w:sectPr w:rsidR="006B56CC" w:rsidRPr="00215355">
          <w:pgSz w:w="11906" w:h="16838"/>
          <w:pgMar w:top="1440" w:right="1440" w:bottom="1440" w:left="1440" w:header="708" w:footer="708" w:gutter="0"/>
          <w:cols w:space="720"/>
          <w:docGrid w:linePitch="360"/>
        </w:sectPr>
      </w:pPr>
    </w:p>
    <w:p w14:paraId="017622E3" w14:textId="77777777" w:rsidR="006B56CC" w:rsidRPr="00215355" w:rsidRDefault="00000000" w:rsidP="00287F9A">
      <w:pPr>
        <w:pStyle w:val="Heading1"/>
        <w:jc w:val="both"/>
        <w:rPr>
          <w:color w:val="auto"/>
        </w:rPr>
      </w:pPr>
      <w:bookmarkStart w:id="0" w:name="_Toc227097411"/>
      <w:r w:rsidRPr="00215355">
        <w:rPr>
          <w:color w:val="auto"/>
        </w:rPr>
        <w:lastRenderedPageBreak/>
        <w:t>1. Introduction</w:t>
      </w:r>
      <w:bookmarkEnd w:id="0"/>
    </w:p>
    <w:p w14:paraId="2C24FF23" w14:textId="77777777" w:rsidR="006B56CC" w:rsidRPr="00215355" w:rsidRDefault="00000000" w:rsidP="00287F9A">
      <w:pPr>
        <w:spacing w:after="160" w:line="276" w:lineRule="auto"/>
        <w:jc w:val="both"/>
      </w:pPr>
      <w:r w:rsidRPr="00215355">
        <w:t>This report examines contemporary Human Resource (HR) challenges and practices within FGH Security Ltd, a UK-based private security organisation founded in 2003 and headquartered in Lancaster. Having grown from a single Door Supervisor operation to a multi-site provider across Lancaster, Manchester, Liverpool, London and Dublin, FGH Security employs a broad and diverse workforce operating across events, festivals, retail, and corporate sectors. As an SIA Approved Contractor consistently ranked in the top 5% nationally, the organisation is committed to professional excellence, continuous development, and its founding mission of 'Keeping People Safe' (FGH Security, 2026).</w:t>
      </w:r>
    </w:p>
    <w:p w14:paraId="225C9CB0" w14:textId="77777777" w:rsidR="006B56CC" w:rsidRPr="00215355" w:rsidRDefault="00000000" w:rsidP="00287F9A">
      <w:pPr>
        <w:spacing w:after="160" w:line="276" w:lineRule="auto"/>
        <w:jc w:val="both"/>
      </w:pPr>
      <w:r w:rsidRPr="00215355">
        <w:t>Despite this strong operational foundation, the organisation — like many within the UK private security sector — faces a range of contemporary HR pressures. The rapid pace of technological advancement, intensifying competition for skilled talent, and an increasing societal and regulatory emphasis on Diversity, Equity and Inclusion (DEI) present significant strategic challenges for the HR function. This report identifies and analyses three specific HR factors facing FGH Security, evaluates contemporary HR practices to address them, and critically assesses the responsibilities of departmental managers in ensuring effective implementation. The report draws upon current academic literature and professional frameworks to underpin its analysis and recommendations.</w:t>
      </w:r>
    </w:p>
    <w:p w14:paraId="55F3C90A" w14:textId="77777777" w:rsidR="006B56CC" w:rsidRPr="00215355" w:rsidRDefault="006B56CC" w:rsidP="00287F9A">
      <w:pPr>
        <w:jc w:val="both"/>
      </w:pPr>
    </w:p>
    <w:p w14:paraId="04747691" w14:textId="77777777" w:rsidR="006B56CC" w:rsidRPr="00215355" w:rsidRDefault="00000000" w:rsidP="00287F9A">
      <w:pPr>
        <w:pStyle w:val="Heading1"/>
        <w:jc w:val="both"/>
        <w:rPr>
          <w:color w:val="auto"/>
        </w:rPr>
      </w:pPr>
      <w:bookmarkStart w:id="1" w:name="_Toc227097412"/>
      <w:r w:rsidRPr="00215355">
        <w:rPr>
          <w:color w:val="auto"/>
        </w:rPr>
        <w:t>2. Key HR Factors Facing FGH Security Ltd</w:t>
      </w:r>
      <w:bookmarkEnd w:id="1"/>
    </w:p>
    <w:p w14:paraId="02F54018" w14:textId="77777777" w:rsidR="006B56CC" w:rsidRPr="00215355" w:rsidRDefault="00000000" w:rsidP="00287F9A">
      <w:pPr>
        <w:spacing w:after="160" w:line="276" w:lineRule="auto"/>
        <w:jc w:val="both"/>
      </w:pPr>
      <w:r w:rsidRPr="00215355">
        <w:t xml:space="preserve">The following section identifies and explains three principal HR challenges relevant to FGH Security </w:t>
      </w:r>
      <w:proofErr w:type="spellStart"/>
      <w:r w:rsidRPr="00215355">
        <w:t>Ltd's</w:t>
      </w:r>
      <w:proofErr w:type="spellEnd"/>
      <w:r w:rsidRPr="00215355">
        <w:t xml:space="preserve"> current operating context.</w:t>
      </w:r>
    </w:p>
    <w:p w14:paraId="15A87AAA" w14:textId="77777777" w:rsidR="006B56CC" w:rsidRPr="00215355" w:rsidRDefault="00000000" w:rsidP="00287F9A">
      <w:pPr>
        <w:pStyle w:val="Heading2"/>
        <w:jc w:val="both"/>
        <w:rPr>
          <w:color w:val="auto"/>
        </w:rPr>
      </w:pPr>
      <w:bookmarkStart w:id="2" w:name="_Toc227097413"/>
      <w:r w:rsidRPr="00215355">
        <w:rPr>
          <w:color w:val="auto"/>
        </w:rPr>
        <w:t>2.1 Meeting Technological Advancement</w:t>
      </w:r>
      <w:bookmarkEnd w:id="2"/>
    </w:p>
    <w:p w14:paraId="7B768A19" w14:textId="77777777" w:rsidR="006B56CC" w:rsidRPr="00215355" w:rsidRDefault="00000000" w:rsidP="00287F9A">
      <w:pPr>
        <w:spacing w:after="160" w:line="276" w:lineRule="auto"/>
        <w:jc w:val="both"/>
      </w:pPr>
      <w:r w:rsidRPr="00215355">
        <w:t>Technological change is one of the most significant disruptive forces reshaping modern HR practice. Within the private security sector, digital transformation encompasses workforce scheduling platforms, body-worn camera systems, access control technologies, and AI-assisted CCTV analytics (Chartered Institute of Personnel and Development [CIPD], 2023a). For FGH Security, the adoption of workforce management software such as Fortress — as evidenced in the Training Needs Analysis (TNA) for the Security Operations Coordinator role — reflects the organisation's need to digitise its operational functions.</w:t>
      </w:r>
    </w:p>
    <w:p w14:paraId="0D9CD6B9" w14:textId="77777777" w:rsidR="006B56CC" w:rsidRPr="00215355" w:rsidRDefault="00000000" w:rsidP="00287F9A">
      <w:pPr>
        <w:spacing w:after="160" w:line="276" w:lineRule="auto"/>
        <w:jc w:val="both"/>
      </w:pPr>
      <w:r w:rsidRPr="00215355">
        <w:t xml:space="preserve">Ulrich and Dulebohn (2015) argue that HR must move beyond transactional administration to become a strategic enabler of digital capability within organisations. For FGH Security, this means ensuring that not only operational </w:t>
      </w:r>
      <w:proofErr w:type="gramStart"/>
      <w:r w:rsidRPr="00215355">
        <w:t>leaders</w:t>
      </w:r>
      <w:proofErr w:type="gramEnd"/>
      <w:r w:rsidRPr="00215355">
        <w:t xml:space="preserve"> but also front-line security officers develop digital literacy. The failure to address this gap risks operational inefficiency, compliance failure, and a widening competency deficit. Technological fluency has become a core employment competency, and organisations that do not systematically invest in digital upskilling risk both performance shortfalls and talent attrition among tech-savvy younger workers (Sparrow, Brewster and Chung, 2016).</w:t>
      </w:r>
    </w:p>
    <w:p w14:paraId="54E63193" w14:textId="77777777" w:rsidR="006B56CC" w:rsidRPr="00215355" w:rsidRDefault="00000000" w:rsidP="00287F9A">
      <w:pPr>
        <w:pStyle w:val="Heading2"/>
        <w:jc w:val="both"/>
        <w:rPr>
          <w:color w:val="auto"/>
        </w:rPr>
      </w:pPr>
      <w:bookmarkStart w:id="3" w:name="_Toc227097414"/>
      <w:r w:rsidRPr="00215355">
        <w:rPr>
          <w:color w:val="auto"/>
        </w:rPr>
        <w:t>2.2 Talent Acquisition and Retention</w:t>
      </w:r>
      <w:bookmarkEnd w:id="3"/>
    </w:p>
    <w:p w14:paraId="1E08C15A" w14:textId="77777777" w:rsidR="006B56CC" w:rsidRPr="00215355" w:rsidRDefault="00000000" w:rsidP="00287F9A">
      <w:pPr>
        <w:spacing w:after="160" w:line="276" w:lineRule="auto"/>
        <w:jc w:val="both"/>
      </w:pPr>
      <w:r w:rsidRPr="00215355">
        <w:t xml:space="preserve">The UK security industry is characterised by high turnover rates, irregular shift patterns, and a persistent struggle to attract qualified candidates holding SIA licences and sector-specific </w:t>
      </w:r>
      <w:r w:rsidRPr="00215355">
        <w:lastRenderedPageBreak/>
        <w:t>qualifications (Security Industry Authority [SIA], 2023). For FGH Security, the current recruitment of two Security Operations Coordinators — requiring a minimum of three years' event security experience alongside an SIA Door Supervisor licence — typifies the difficulty in sourcing candidates with both operational credentials and managerial capability.</w:t>
      </w:r>
    </w:p>
    <w:p w14:paraId="50EE5137" w14:textId="5E956D31" w:rsidR="006B56CC" w:rsidRPr="00215355" w:rsidRDefault="00000000" w:rsidP="00287F9A">
      <w:pPr>
        <w:spacing w:after="160" w:line="276" w:lineRule="auto"/>
        <w:jc w:val="both"/>
      </w:pPr>
      <w:r w:rsidRPr="00215355">
        <w:t>Armstrong and Taylor (2020) define talent management as a systematic process for attracting, developing, and retaining individuals who add value to the organisation. In a candidate-short market, HR professionals must develop compelling employee value propositions (EVPs) that differentiate employers beyond salary (Bratton and Gold, 2017). FGH Security's recognition as a three-time Sunday Times Best Employer, its commitment to the Real Living Wage, and its structured career progression pathways — from Coordinator to Operations Manager — represent meaningful retention levers. However, systemic challenges such as unsociable hours, physical risk, and sector perception continue to limit the talent pipeline (CIPD, 2023b).</w:t>
      </w:r>
      <w:r w:rsidR="00804FD0">
        <w:t xml:space="preserve">   </w:t>
      </w:r>
    </w:p>
    <w:p w14:paraId="61AE9BAC" w14:textId="77777777" w:rsidR="006B56CC" w:rsidRPr="00215355" w:rsidRDefault="00000000" w:rsidP="00287F9A">
      <w:pPr>
        <w:pStyle w:val="Heading2"/>
        <w:jc w:val="both"/>
        <w:rPr>
          <w:color w:val="auto"/>
        </w:rPr>
      </w:pPr>
      <w:bookmarkStart w:id="4" w:name="_Toc227097415"/>
      <w:r w:rsidRPr="00215355">
        <w:rPr>
          <w:color w:val="auto"/>
        </w:rPr>
        <w:t>2.3 Diversity, Equity and Inclusion (DEI)</w:t>
      </w:r>
      <w:bookmarkEnd w:id="4"/>
    </w:p>
    <w:p w14:paraId="0296F685" w14:textId="77777777" w:rsidR="006B56CC" w:rsidRPr="00215355" w:rsidRDefault="00000000" w:rsidP="00287F9A">
      <w:pPr>
        <w:spacing w:after="160" w:line="276" w:lineRule="auto"/>
        <w:jc w:val="both"/>
      </w:pPr>
      <w:r w:rsidRPr="00215355">
        <w:t>Diversity, Equity and Inclusion (DEI) has emerged as a central strategic priority for UK employers, driven by both legislative requirements under the Equality Act 2010 and a growing evidence base demonstrating that diverse teams deliver superior organisational performance (McKinsey and Company, 2023). Historically, the private security sector has been characterised by a predominantly male, white workforce, and a relatively narrow socioeconomic recruitment pool (Rowe, 2020).</w:t>
      </w:r>
    </w:p>
    <w:p w14:paraId="747C0868" w14:textId="77777777" w:rsidR="006B56CC" w:rsidRPr="00215355" w:rsidRDefault="00000000" w:rsidP="00287F9A">
      <w:pPr>
        <w:spacing w:after="160" w:line="276" w:lineRule="auto"/>
        <w:jc w:val="both"/>
      </w:pPr>
      <w:r w:rsidRPr="00215355">
        <w:t>FGH Security's current accreditations — Disability Confident Employer and MIND Employer — signal a public commitment to inclusive practices. Nevertheless, translating accreditation into lived workplace culture requires deliberate HR intervention. Shore et al. (2018) distinguish between diversity (representation), equity (fairness of process), and inclusion (sense of belonging), arguing that organisations that address only the first risk tokenism without genuine organisational change. For FGH Security, DEI considerations are particularly relevant in events and festivals contexts, where security teams must engage empathetically with diverse audiences, including vulnerable individuals.</w:t>
      </w:r>
    </w:p>
    <w:p w14:paraId="555B718C" w14:textId="77777777" w:rsidR="006B56CC" w:rsidRPr="00215355" w:rsidRDefault="006B56CC" w:rsidP="00287F9A">
      <w:pPr>
        <w:jc w:val="both"/>
      </w:pPr>
    </w:p>
    <w:p w14:paraId="301FEAB1" w14:textId="77777777" w:rsidR="006B56CC" w:rsidRPr="00215355" w:rsidRDefault="00000000" w:rsidP="00287F9A">
      <w:pPr>
        <w:pStyle w:val="Heading1"/>
        <w:jc w:val="both"/>
        <w:rPr>
          <w:color w:val="auto"/>
        </w:rPr>
      </w:pPr>
      <w:bookmarkStart w:id="5" w:name="_Toc227097416"/>
      <w:r w:rsidRPr="00215355">
        <w:rPr>
          <w:color w:val="auto"/>
        </w:rPr>
        <w:t>3. Contemporary HR Practices to Address Each Factor</w:t>
      </w:r>
      <w:bookmarkEnd w:id="5"/>
    </w:p>
    <w:p w14:paraId="537B522E" w14:textId="77777777" w:rsidR="006B56CC" w:rsidRPr="00215355" w:rsidRDefault="00000000" w:rsidP="00287F9A">
      <w:pPr>
        <w:pStyle w:val="Heading2"/>
        <w:jc w:val="both"/>
        <w:rPr>
          <w:color w:val="auto"/>
        </w:rPr>
      </w:pPr>
      <w:bookmarkStart w:id="6" w:name="_Toc227097417"/>
      <w:r w:rsidRPr="00215355">
        <w:rPr>
          <w:color w:val="auto"/>
        </w:rPr>
        <w:t>3.1 Technology: Digital Learning and Upskilling Programmes</w:t>
      </w:r>
      <w:bookmarkEnd w:id="6"/>
    </w:p>
    <w:p w14:paraId="3D0C8C4C" w14:textId="77777777" w:rsidR="006B56CC" w:rsidRPr="00215355" w:rsidRDefault="00000000" w:rsidP="00287F9A">
      <w:pPr>
        <w:spacing w:after="160" w:line="276" w:lineRule="auto"/>
        <w:jc w:val="both"/>
      </w:pPr>
      <w:r w:rsidRPr="00215355">
        <w:t>To address the technological competency gap, FGH Security should adopt a blended learning strategy, combining e-learning platforms with on-the-job application. Specifically, the rollout of the Fortress workforce management system should be accompanied by a structured, self-paced e-learning module grounded in Bloom's (1956) Taxonomy — progressing learners from basic system navigation (knowledge and comprehension) through to advanced scheduling analysis (application and evaluation). This cognitivist approach enables employees to build mental models of the system at their own pace, improving retention and independent application (Piaget, 1970).</w:t>
      </w:r>
    </w:p>
    <w:p w14:paraId="256F146E" w14:textId="77777777" w:rsidR="006B56CC" w:rsidRPr="00215355" w:rsidRDefault="00000000" w:rsidP="00287F9A">
      <w:pPr>
        <w:spacing w:after="160" w:line="276" w:lineRule="auto"/>
        <w:jc w:val="both"/>
      </w:pPr>
      <w:r w:rsidRPr="00215355">
        <w:t xml:space="preserve">Additionally, FGH Security should consider the adoption of a digital skills framework aligned with the European e-Competence Framework (e-CF), providing a transparent benchmarking tool for identifying and addressing individual competency gaps across the workforce. The CIPD (2023a) recommends that HR professionals embed technology learning into wider </w:t>
      </w:r>
      <w:r w:rsidRPr="00215355">
        <w:lastRenderedPageBreak/>
        <w:t>performance management cycles rather than treating it as a one-off training event, thereby normalising continuous digital development as part of the organisational culture.</w:t>
      </w:r>
    </w:p>
    <w:p w14:paraId="316F8B1D" w14:textId="77777777" w:rsidR="006B56CC" w:rsidRPr="00215355" w:rsidRDefault="00000000" w:rsidP="00287F9A">
      <w:pPr>
        <w:pStyle w:val="Heading2"/>
        <w:jc w:val="both"/>
        <w:rPr>
          <w:color w:val="auto"/>
        </w:rPr>
      </w:pPr>
      <w:bookmarkStart w:id="7" w:name="_Toc227097418"/>
      <w:r w:rsidRPr="00215355">
        <w:rPr>
          <w:color w:val="auto"/>
        </w:rPr>
        <w:t>3.2 Talent: Strategic Employer Branding and Structured Career Pathways</w:t>
      </w:r>
      <w:bookmarkEnd w:id="7"/>
    </w:p>
    <w:p w14:paraId="1F38B87F" w14:textId="77777777" w:rsidR="006B56CC" w:rsidRPr="00215355" w:rsidRDefault="00000000" w:rsidP="00287F9A">
      <w:pPr>
        <w:spacing w:after="160" w:line="276" w:lineRule="auto"/>
        <w:jc w:val="both"/>
      </w:pPr>
      <w:r w:rsidRPr="00215355">
        <w:t>Contemporary talent acquisition practice increasingly recognises the importance of employer branding as a recruitment tool (Backhaus and Tikoo, 2004). FGH Security should leverage its existing Sunday Times Best Employer status, Real Living Wage commitment, and SIA top 5% ACS score across its digital recruitment channels — particularly LinkedIn and sector-specific platforms — to differentiate its employer proposition. Bratton and Gold (2017) note that candidates increasingly evaluate prospective employers on culture, values, and development opportunity, not merely compensation.</w:t>
      </w:r>
    </w:p>
    <w:p w14:paraId="5E0A9542" w14:textId="77777777" w:rsidR="006B56CC" w:rsidRPr="00215355" w:rsidRDefault="00000000" w:rsidP="00287F9A">
      <w:pPr>
        <w:spacing w:after="160" w:line="276" w:lineRule="auto"/>
        <w:jc w:val="both"/>
      </w:pPr>
      <w:r w:rsidRPr="00215355">
        <w:t>For retention, FGH Security should formalise its career progression framework, creating visible pathways from Security Officer through to Operations Manager, supported by competency-based appraisals and Individual Development Plans (IDPs). The CIPD (2023b) identifies structured internal mobility as one of the strongest predictors of employee retention, particularly among high-performing staff. Paired with coaching and mentoring provision — as recommended in the TNA for the Coordinator role — this approach aligns with Maslow's (1954) esteem and self-actualisation needs, addressing intrinsic motivational drivers that transactional HR approaches fail to capture.</w:t>
      </w:r>
    </w:p>
    <w:p w14:paraId="570CFCDC" w14:textId="77777777" w:rsidR="006B56CC" w:rsidRPr="00215355" w:rsidRDefault="00000000" w:rsidP="00287F9A">
      <w:pPr>
        <w:pStyle w:val="Heading2"/>
        <w:jc w:val="both"/>
        <w:rPr>
          <w:color w:val="auto"/>
        </w:rPr>
      </w:pPr>
      <w:bookmarkStart w:id="8" w:name="_Toc227097419"/>
      <w:r w:rsidRPr="00215355">
        <w:rPr>
          <w:color w:val="auto"/>
        </w:rPr>
        <w:t>3.3 DEI: Inclusive Recruitment and Cultural Competence Training</w:t>
      </w:r>
      <w:bookmarkEnd w:id="8"/>
    </w:p>
    <w:p w14:paraId="284D75BD" w14:textId="77777777" w:rsidR="006B56CC" w:rsidRPr="00215355" w:rsidRDefault="00000000" w:rsidP="00287F9A">
      <w:pPr>
        <w:spacing w:after="160" w:line="276" w:lineRule="auto"/>
        <w:jc w:val="both"/>
      </w:pPr>
      <w:r w:rsidRPr="00215355">
        <w:t>To address DEI challenges, FGH Security should implement a structured inclusive recruitment framework. This should include the use of anonymised application processes to reduce unconscious bias at the shortlisting stage, diverse interview panel composition, and structured competency-based interview questions that reduce reliance on subjective assessor judgement (CIPD, 2023c). McKinsey and Company (2023) demonstrate that organisations applying structured interview processes improve the diversity of hires without compromising quality standards.</w:t>
      </w:r>
    </w:p>
    <w:p w14:paraId="3EAAAA21" w14:textId="77777777" w:rsidR="006B56CC" w:rsidRPr="00215355" w:rsidRDefault="00000000" w:rsidP="00287F9A">
      <w:pPr>
        <w:spacing w:after="160" w:line="276" w:lineRule="auto"/>
        <w:jc w:val="both"/>
      </w:pPr>
      <w:r w:rsidRPr="00215355">
        <w:t>Beyond recruitment, FGH Security should invest in mandatory DEI awareness training for all managers and supervisors, specifically incorporating cultural competence, bystander intervention, and allyship frameworks. For a workforce deployed at public-facing events and festivals, cultural competence is not merely an ethical imperative but an operational necessity — officers who understand and respect audience diversity are better placed to de-escalate conflict and engage constructively with vulnerable individuals. Shore et al. (2018) argue that sustained inclusion requires structural change, including inclusive leadership behaviours modelled from the top of the organisation.</w:t>
      </w:r>
    </w:p>
    <w:p w14:paraId="344D7EFE" w14:textId="77777777" w:rsidR="006B56CC" w:rsidRPr="00215355" w:rsidRDefault="006B56CC" w:rsidP="00287F9A">
      <w:pPr>
        <w:jc w:val="both"/>
      </w:pPr>
    </w:p>
    <w:p w14:paraId="1C0DA94C" w14:textId="77777777" w:rsidR="006B56CC" w:rsidRPr="00215355" w:rsidRDefault="00000000" w:rsidP="00287F9A">
      <w:pPr>
        <w:pStyle w:val="Heading1"/>
        <w:jc w:val="both"/>
        <w:rPr>
          <w:color w:val="auto"/>
        </w:rPr>
      </w:pPr>
      <w:bookmarkStart w:id="9" w:name="_Toc227097420"/>
      <w:r w:rsidRPr="00215355">
        <w:rPr>
          <w:color w:val="auto"/>
        </w:rPr>
        <w:t>4. The Role of Departmental Managers in Implementing Contemporary Practices</w:t>
      </w:r>
      <w:bookmarkEnd w:id="9"/>
    </w:p>
    <w:p w14:paraId="532485FA" w14:textId="77777777" w:rsidR="006B56CC" w:rsidRPr="00215355" w:rsidRDefault="00000000" w:rsidP="00287F9A">
      <w:pPr>
        <w:spacing w:after="160" w:line="276" w:lineRule="auto"/>
        <w:jc w:val="both"/>
      </w:pPr>
      <w:r w:rsidRPr="00215355">
        <w:t xml:space="preserve">While HR professionals design and champion contemporary practices, the critical locus of implementation lies with departmental and frontline managers. As Ulrich (1997) argues, managers are the primary mediators between HR policy and employee experience — their behaviours, priorities, and capability determine whether strategic HR intentions translate into </w:t>
      </w:r>
      <w:r w:rsidRPr="00215355">
        <w:lastRenderedPageBreak/>
        <w:t>tangible outcomes. This section critically evaluates how FGH Security's departmental managers can ensure the practices outlined above are implemented effectively and urgently.</w:t>
      </w:r>
    </w:p>
    <w:p w14:paraId="3B349898" w14:textId="77777777" w:rsidR="006B56CC" w:rsidRPr="00215355" w:rsidRDefault="00000000" w:rsidP="00287F9A">
      <w:pPr>
        <w:spacing w:after="160" w:line="276" w:lineRule="auto"/>
        <w:jc w:val="both"/>
      </w:pPr>
      <w:r w:rsidRPr="00215355">
        <w:t>Firstly, in relation to technological adoption, managers must act as active enablers rather than passive bystanders to digital change. Research by Sparrow et al. (2016) identifies managerial resistance and indifference as the primary barriers to successful technology implementation in service organisations. At FGH Security, Operations Coordinators and their line managers must champion the use of Fortress scheduling software in daily workflow, model digital fluency, and create psychologically safe environments where staff feel comfortable disclosing skill gaps without fear of professional embarrassment. Managers who themselves bypass digital tools undermine the credibility of HR's upskilling agenda.</w:t>
      </w:r>
    </w:p>
    <w:p w14:paraId="6BCED1B6" w14:textId="77777777" w:rsidR="006B56CC" w:rsidRPr="00215355" w:rsidRDefault="00000000" w:rsidP="00287F9A">
      <w:pPr>
        <w:spacing w:after="160" w:line="276" w:lineRule="auto"/>
        <w:jc w:val="both"/>
      </w:pPr>
      <w:r w:rsidRPr="00215355">
        <w:t>Secondly, in the context of talent management, departmental managers at FGH Security bear direct responsibility for the quality of employee experience. Armstrong and Taylor (2020) demonstrate that line manager behaviour is the single strongest predictor of employee engagement and intent to stay. Managers who conduct meaningful one-to-one coaching sessions, facilitate access to qualification pathways such as the L3 Certificate in Spectator Safety, and provide honest, developmental appraisal feedback directly strengthen retention. The CIPD (2023b) warns that in organisations where managers lack coaching capability or time, even well-designed HR frameworks fail to achieve intended retention outcomes. Therefore, FGH Security's HR function must invest in management development — specifically in coaching, feedback, and motivational leadership skills — to ensure talent practices are activated at team level.</w:t>
      </w:r>
    </w:p>
    <w:p w14:paraId="785032CB" w14:textId="77777777" w:rsidR="006B56CC" w:rsidRPr="00215355" w:rsidRDefault="00000000" w:rsidP="00287F9A">
      <w:pPr>
        <w:spacing w:after="160" w:line="276" w:lineRule="auto"/>
        <w:jc w:val="both"/>
      </w:pPr>
      <w:r w:rsidRPr="00215355">
        <w:t xml:space="preserve">Thirdly, on DEI, the evidence is particularly stark. Shore et al. (2018) demonstrate that inclusion is experienced at the team level, not the organisational level — meaning that an inclusive culture cannot be declared from </w:t>
      </w:r>
      <w:proofErr w:type="gramStart"/>
      <w:r w:rsidRPr="00215355">
        <w:t>above, but</w:t>
      </w:r>
      <w:proofErr w:type="gramEnd"/>
      <w:r w:rsidRPr="00215355">
        <w:t xml:space="preserve"> must be lived through daily manager-employee interactions. If a departmental manager at FGH Security tolerates exclusionary language, fails to act on discriminatory behaviours, or makes resourcing decisions based on implicit bias, no amount of policy documentation or accreditation will counteract the damage to organisational culture and legal compliance.</w:t>
      </w:r>
    </w:p>
    <w:p w14:paraId="37B9835E" w14:textId="77777777" w:rsidR="006B56CC" w:rsidRPr="00215355" w:rsidRDefault="00000000" w:rsidP="00287F9A">
      <w:pPr>
        <w:spacing w:after="160" w:line="276" w:lineRule="auto"/>
        <w:jc w:val="both"/>
      </w:pPr>
      <w:r w:rsidRPr="00215355">
        <w:t>Critically, the urgency of implementation cannot be understated. The convergence of post-pandemic labour market pressures, legislative scrutiny of DEI under the Equality Act 2010, and the accelerating pace of digital transformation means that delay carries significant strategic and reputational risk. Managers must therefore be empowered through targeted management development programmes, supported by HR business partners, and held accountable through performance metrics that include DEI objectives, technology adoption rates, and team engagement scores (CIPD, 2023a). Without managerial accountability embedded in formal performance management, contemporary HR practices risk remaining aspirational rather than operational.</w:t>
      </w:r>
    </w:p>
    <w:p w14:paraId="62F17D18" w14:textId="77777777" w:rsidR="006B56CC" w:rsidRPr="00215355" w:rsidRDefault="006B56CC" w:rsidP="00287F9A">
      <w:pPr>
        <w:jc w:val="both"/>
      </w:pPr>
    </w:p>
    <w:p w14:paraId="6558FAA7" w14:textId="77777777" w:rsidR="006B56CC" w:rsidRPr="00215355" w:rsidRDefault="00000000" w:rsidP="00287F9A">
      <w:pPr>
        <w:pStyle w:val="Heading1"/>
        <w:jc w:val="both"/>
        <w:rPr>
          <w:color w:val="auto"/>
        </w:rPr>
      </w:pPr>
      <w:bookmarkStart w:id="10" w:name="_Toc227097421"/>
      <w:r w:rsidRPr="00215355">
        <w:rPr>
          <w:color w:val="auto"/>
        </w:rPr>
        <w:t>5. Conclusion and Recommendations</w:t>
      </w:r>
      <w:bookmarkEnd w:id="10"/>
    </w:p>
    <w:p w14:paraId="2194B8F4" w14:textId="77777777" w:rsidR="006B56CC" w:rsidRPr="00215355" w:rsidRDefault="00000000" w:rsidP="00287F9A">
      <w:pPr>
        <w:spacing w:after="160" w:line="276" w:lineRule="auto"/>
        <w:jc w:val="both"/>
      </w:pPr>
      <w:r w:rsidRPr="00215355">
        <w:t xml:space="preserve">This report has identified and analysed three key contemporary HR challenges facing FGH Security Ltd: technological advancement, talent acquisition and retention, and Diversity, Equity and Inclusion. In each case, both the challenge and its organisational context have </w:t>
      </w:r>
      <w:r w:rsidRPr="00215355">
        <w:lastRenderedPageBreak/>
        <w:t>been examined through reference to current academic literature and professional HR frameworks.</w:t>
      </w:r>
    </w:p>
    <w:p w14:paraId="61882BC6" w14:textId="77777777" w:rsidR="006B56CC" w:rsidRPr="00215355" w:rsidRDefault="00000000" w:rsidP="00287F9A">
      <w:pPr>
        <w:spacing w:after="160" w:line="276" w:lineRule="auto"/>
        <w:jc w:val="both"/>
      </w:pPr>
      <w:r w:rsidRPr="00215355">
        <w:t>Contemporary HR practices — including blended digital learning, strategic employer branding, structured career pathways, inclusive recruitment, and cultural competence training — offer FGH Security viable mechanisms for addressing these challenges. However, the critical finding of this report is that the effectiveness of each practice is contingent upon the capability and commitment of departmental managers as the primary implementers of HR strategy.</w:t>
      </w:r>
    </w:p>
    <w:p w14:paraId="4004418B" w14:textId="77777777" w:rsidR="006B56CC" w:rsidRPr="00215355" w:rsidRDefault="00000000" w:rsidP="00287F9A">
      <w:pPr>
        <w:spacing w:after="160" w:line="276" w:lineRule="auto"/>
        <w:jc w:val="both"/>
      </w:pPr>
      <w:r w:rsidRPr="00215355">
        <w:t>The following recommendations are made to FGH Security's HR function:</w:t>
      </w:r>
    </w:p>
    <w:p w14:paraId="7E533993" w14:textId="77777777" w:rsidR="006B56CC" w:rsidRPr="00215355" w:rsidRDefault="00000000" w:rsidP="00287F9A">
      <w:pPr>
        <w:pStyle w:val="ListParagraph"/>
        <w:numPr>
          <w:ilvl w:val="0"/>
          <w:numId w:val="2"/>
        </w:numPr>
        <w:spacing w:after="100"/>
        <w:jc w:val="both"/>
      </w:pPr>
      <w:r w:rsidRPr="00215355">
        <w:t>Invest in a structured management development programme focused on coaching, digital fluency, and inclusive leadership to build frontline implementation capability.</w:t>
      </w:r>
    </w:p>
    <w:p w14:paraId="59D4B290" w14:textId="77777777" w:rsidR="006B56CC" w:rsidRPr="00215355" w:rsidRDefault="00000000" w:rsidP="00287F9A">
      <w:pPr>
        <w:pStyle w:val="ListParagraph"/>
        <w:numPr>
          <w:ilvl w:val="0"/>
          <w:numId w:val="2"/>
        </w:numPr>
        <w:spacing w:after="100"/>
        <w:jc w:val="both"/>
      </w:pPr>
      <w:r w:rsidRPr="00215355">
        <w:t>Formalise the career progression framework with competency-based IDPs and transparent promotion criteria to strengthen retention among high-performing staff.</w:t>
      </w:r>
    </w:p>
    <w:p w14:paraId="4FD32962" w14:textId="77777777" w:rsidR="006B56CC" w:rsidRPr="00215355" w:rsidRDefault="00000000" w:rsidP="00287F9A">
      <w:pPr>
        <w:pStyle w:val="ListParagraph"/>
        <w:numPr>
          <w:ilvl w:val="0"/>
          <w:numId w:val="2"/>
        </w:numPr>
        <w:spacing w:after="100"/>
        <w:jc w:val="both"/>
      </w:pPr>
      <w:r w:rsidRPr="00215355">
        <w:t>Implement anonymised shortlisting and diverse interview panels as standard practice to improve DEI outcomes in recruitment without compromising quality.</w:t>
      </w:r>
    </w:p>
    <w:p w14:paraId="72E78418" w14:textId="77777777" w:rsidR="006B56CC" w:rsidRPr="00215355" w:rsidRDefault="00000000" w:rsidP="00287F9A">
      <w:pPr>
        <w:pStyle w:val="ListParagraph"/>
        <w:numPr>
          <w:ilvl w:val="0"/>
          <w:numId w:val="2"/>
        </w:numPr>
        <w:spacing w:after="100"/>
        <w:jc w:val="both"/>
      </w:pPr>
      <w:r w:rsidRPr="00215355">
        <w:t>Embed technology adoption and DEI objectives within manager performance appraisals to ensure strategic HR priorities are systematically activated at team level.</w:t>
      </w:r>
    </w:p>
    <w:p w14:paraId="36C37159" w14:textId="77777777" w:rsidR="006B56CC" w:rsidRPr="00215355" w:rsidRDefault="00000000" w:rsidP="00287F9A">
      <w:pPr>
        <w:pStyle w:val="ListParagraph"/>
        <w:numPr>
          <w:ilvl w:val="0"/>
          <w:numId w:val="2"/>
        </w:numPr>
        <w:spacing w:after="100"/>
        <w:jc w:val="both"/>
      </w:pPr>
      <w:r w:rsidRPr="00215355">
        <w:t>Conduct an annual Training Needs Analysis (TNA) across all operational roles to maintain alignment between workforce capability and evolving technological and operational requirements.</w:t>
      </w:r>
    </w:p>
    <w:p w14:paraId="02E03B14" w14:textId="77777777" w:rsidR="006B56CC" w:rsidRPr="00215355" w:rsidRDefault="00000000" w:rsidP="00287F9A">
      <w:pPr>
        <w:spacing w:after="160" w:line="276" w:lineRule="auto"/>
        <w:jc w:val="both"/>
      </w:pPr>
      <w:r w:rsidRPr="00215355">
        <w:t>In conclusion, FGH Security Ltd is well-positioned — through its accreditations, values, and employer reputation — to lead the private security sector in people management excellence. Realising this potential, however, requires deliberate, evidence-based HR investment and consistent managerial accountability at every level of the organisation.</w:t>
      </w:r>
    </w:p>
    <w:p w14:paraId="6F471646" w14:textId="77777777" w:rsidR="006B56CC" w:rsidRDefault="006B56CC" w:rsidP="00287F9A">
      <w:pPr>
        <w:jc w:val="both"/>
      </w:pPr>
    </w:p>
    <w:p w14:paraId="0B2C3AE7" w14:textId="77777777" w:rsidR="00465024" w:rsidRDefault="00465024" w:rsidP="00287F9A">
      <w:pPr>
        <w:jc w:val="both"/>
      </w:pPr>
    </w:p>
    <w:p w14:paraId="33794FE4" w14:textId="77777777" w:rsidR="00465024" w:rsidRDefault="00465024" w:rsidP="00287F9A">
      <w:pPr>
        <w:jc w:val="both"/>
      </w:pPr>
    </w:p>
    <w:p w14:paraId="5EF21D79" w14:textId="77777777" w:rsidR="00465024" w:rsidRDefault="00465024" w:rsidP="00287F9A">
      <w:pPr>
        <w:jc w:val="both"/>
      </w:pPr>
    </w:p>
    <w:p w14:paraId="020CFFCA" w14:textId="77777777" w:rsidR="00465024" w:rsidRDefault="00465024" w:rsidP="00287F9A">
      <w:pPr>
        <w:jc w:val="both"/>
      </w:pPr>
    </w:p>
    <w:p w14:paraId="4D0BDB62" w14:textId="77777777" w:rsidR="00465024" w:rsidRDefault="00465024" w:rsidP="00287F9A">
      <w:pPr>
        <w:jc w:val="both"/>
      </w:pPr>
    </w:p>
    <w:p w14:paraId="313B58A7" w14:textId="77777777" w:rsidR="00465024" w:rsidRDefault="00465024" w:rsidP="00287F9A">
      <w:pPr>
        <w:jc w:val="both"/>
      </w:pPr>
    </w:p>
    <w:p w14:paraId="32F2B018" w14:textId="77777777" w:rsidR="00465024" w:rsidRDefault="00465024" w:rsidP="00287F9A">
      <w:pPr>
        <w:jc w:val="both"/>
      </w:pPr>
    </w:p>
    <w:p w14:paraId="5CC0626A" w14:textId="77777777" w:rsidR="00465024" w:rsidRDefault="00465024" w:rsidP="00287F9A">
      <w:pPr>
        <w:jc w:val="both"/>
      </w:pPr>
    </w:p>
    <w:p w14:paraId="3388929B" w14:textId="77777777" w:rsidR="00465024" w:rsidRDefault="00465024" w:rsidP="00287F9A">
      <w:pPr>
        <w:jc w:val="both"/>
      </w:pPr>
    </w:p>
    <w:p w14:paraId="097271C2" w14:textId="77777777" w:rsidR="00465024" w:rsidRDefault="00465024" w:rsidP="00287F9A">
      <w:pPr>
        <w:jc w:val="both"/>
      </w:pPr>
    </w:p>
    <w:p w14:paraId="631A755D" w14:textId="77777777" w:rsidR="00465024" w:rsidRDefault="00465024" w:rsidP="00287F9A">
      <w:pPr>
        <w:jc w:val="both"/>
      </w:pPr>
    </w:p>
    <w:p w14:paraId="13C80C2D" w14:textId="77777777" w:rsidR="00465024" w:rsidRDefault="00465024" w:rsidP="00287F9A">
      <w:pPr>
        <w:jc w:val="both"/>
      </w:pPr>
    </w:p>
    <w:p w14:paraId="01462573" w14:textId="77777777" w:rsidR="00465024" w:rsidRDefault="00465024" w:rsidP="00287F9A">
      <w:pPr>
        <w:jc w:val="both"/>
      </w:pPr>
    </w:p>
    <w:p w14:paraId="497B7ECE" w14:textId="77777777" w:rsidR="00465024" w:rsidRDefault="00465024" w:rsidP="00287F9A">
      <w:pPr>
        <w:jc w:val="both"/>
      </w:pPr>
    </w:p>
    <w:p w14:paraId="585CF89F" w14:textId="77777777" w:rsidR="00465024" w:rsidRDefault="00465024" w:rsidP="00287F9A">
      <w:pPr>
        <w:jc w:val="both"/>
      </w:pPr>
    </w:p>
    <w:p w14:paraId="75D6AFA1" w14:textId="77777777" w:rsidR="00465024" w:rsidRDefault="00465024" w:rsidP="00287F9A">
      <w:pPr>
        <w:jc w:val="both"/>
      </w:pPr>
    </w:p>
    <w:p w14:paraId="113A6990" w14:textId="77777777" w:rsidR="00465024" w:rsidRDefault="00465024" w:rsidP="00287F9A">
      <w:pPr>
        <w:jc w:val="both"/>
      </w:pPr>
    </w:p>
    <w:p w14:paraId="0D1115F6" w14:textId="77777777" w:rsidR="00465024" w:rsidRDefault="00465024" w:rsidP="00287F9A">
      <w:pPr>
        <w:jc w:val="both"/>
      </w:pPr>
    </w:p>
    <w:p w14:paraId="606DA92B" w14:textId="77777777" w:rsidR="00465024" w:rsidRDefault="00465024" w:rsidP="00287F9A">
      <w:pPr>
        <w:jc w:val="both"/>
      </w:pPr>
    </w:p>
    <w:p w14:paraId="1101D1F7" w14:textId="77777777" w:rsidR="00465024" w:rsidRDefault="00465024" w:rsidP="00287F9A">
      <w:pPr>
        <w:jc w:val="both"/>
      </w:pPr>
    </w:p>
    <w:p w14:paraId="7F026BAC" w14:textId="77777777" w:rsidR="00465024" w:rsidRDefault="00465024" w:rsidP="00287F9A">
      <w:pPr>
        <w:jc w:val="both"/>
      </w:pPr>
    </w:p>
    <w:p w14:paraId="0E781A48" w14:textId="77777777" w:rsidR="00465024" w:rsidRDefault="00465024" w:rsidP="00287F9A">
      <w:pPr>
        <w:jc w:val="both"/>
      </w:pPr>
    </w:p>
    <w:p w14:paraId="43FD73AD" w14:textId="77777777" w:rsidR="00465024" w:rsidRPr="00215355" w:rsidRDefault="00465024" w:rsidP="00287F9A">
      <w:pPr>
        <w:jc w:val="both"/>
      </w:pPr>
    </w:p>
    <w:p w14:paraId="152E7B7D" w14:textId="77777777" w:rsidR="006B56CC" w:rsidRPr="00215355" w:rsidRDefault="00000000" w:rsidP="00287F9A">
      <w:pPr>
        <w:pStyle w:val="Heading1"/>
        <w:jc w:val="both"/>
        <w:rPr>
          <w:color w:val="auto"/>
        </w:rPr>
      </w:pPr>
      <w:bookmarkStart w:id="11" w:name="_Toc227097422"/>
      <w:r w:rsidRPr="00215355">
        <w:rPr>
          <w:color w:val="auto"/>
        </w:rPr>
        <w:lastRenderedPageBreak/>
        <w:t>References</w:t>
      </w:r>
      <w:bookmarkEnd w:id="11"/>
    </w:p>
    <w:p w14:paraId="33441EC9" w14:textId="77777777" w:rsidR="006B56CC" w:rsidRPr="00215355" w:rsidRDefault="00000000" w:rsidP="00287F9A">
      <w:pPr>
        <w:spacing w:after="120" w:line="276" w:lineRule="auto"/>
        <w:ind w:left="720" w:hanging="720"/>
        <w:jc w:val="both"/>
      </w:pPr>
      <w:r w:rsidRPr="00215355">
        <w:t xml:space="preserve">Armstrong, M. and Taylor, S. (2020) Armstrong's Handbook of Human Resource Management Practice. 15th </w:t>
      </w:r>
      <w:proofErr w:type="spellStart"/>
      <w:r w:rsidRPr="00215355">
        <w:t>edn</w:t>
      </w:r>
      <w:proofErr w:type="spellEnd"/>
      <w:r w:rsidRPr="00215355">
        <w:t>. London: Kogan Page.</w:t>
      </w:r>
    </w:p>
    <w:p w14:paraId="575DDD95" w14:textId="77777777" w:rsidR="006B56CC" w:rsidRPr="00215355" w:rsidRDefault="00000000" w:rsidP="00287F9A">
      <w:pPr>
        <w:spacing w:after="120" w:line="276" w:lineRule="auto"/>
        <w:ind w:left="720" w:hanging="720"/>
        <w:jc w:val="both"/>
      </w:pPr>
      <w:r w:rsidRPr="00215355">
        <w:t>Backhaus, K. and Tikoo, S. (2004) 'Conceptualizing and researching employer branding', Career Development International, 9(5), pp. 501–517.</w:t>
      </w:r>
    </w:p>
    <w:p w14:paraId="470A91CB" w14:textId="77777777" w:rsidR="006B56CC" w:rsidRPr="00215355" w:rsidRDefault="00000000" w:rsidP="00287F9A">
      <w:pPr>
        <w:spacing w:after="120" w:line="276" w:lineRule="auto"/>
        <w:ind w:left="720" w:hanging="720"/>
        <w:jc w:val="both"/>
      </w:pPr>
      <w:r w:rsidRPr="00215355">
        <w:t>Bloom, B.S. (ed.) (1956) Taxonomy of Educational Objectives: The Classification of Educational Goals. New York: David McKay.</w:t>
      </w:r>
    </w:p>
    <w:p w14:paraId="7B87EB77" w14:textId="77777777" w:rsidR="006B56CC" w:rsidRPr="00215355" w:rsidRDefault="00000000" w:rsidP="00287F9A">
      <w:pPr>
        <w:spacing w:after="120" w:line="276" w:lineRule="auto"/>
        <w:ind w:left="720" w:hanging="720"/>
        <w:jc w:val="both"/>
      </w:pPr>
      <w:r w:rsidRPr="00215355">
        <w:t xml:space="preserve">Bratton, J. and Gold, J. (2017) Human Resource Management: Theory and Practice. 6th </w:t>
      </w:r>
      <w:proofErr w:type="spellStart"/>
      <w:r w:rsidRPr="00215355">
        <w:t>edn</w:t>
      </w:r>
      <w:proofErr w:type="spellEnd"/>
      <w:r w:rsidRPr="00215355">
        <w:t>. London: Palgrave Macmillan.</w:t>
      </w:r>
    </w:p>
    <w:p w14:paraId="28612274" w14:textId="77777777" w:rsidR="006B56CC" w:rsidRPr="00215355" w:rsidRDefault="00000000" w:rsidP="00287F9A">
      <w:pPr>
        <w:spacing w:after="120" w:line="276" w:lineRule="auto"/>
        <w:ind w:left="720" w:hanging="720"/>
        <w:jc w:val="both"/>
      </w:pPr>
      <w:r w:rsidRPr="00215355">
        <w:t>Chartered Institute of Personnel and Development (CIPD) (2023a) Digital Learning and Development. Available at: https://www.cipd.co.uk [Accessed: April 2026].</w:t>
      </w:r>
    </w:p>
    <w:p w14:paraId="3173771C" w14:textId="77777777" w:rsidR="006B56CC" w:rsidRPr="00215355" w:rsidRDefault="00000000" w:rsidP="00287F9A">
      <w:pPr>
        <w:spacing w:after="120" w:line="276" w:lineRule="auto"/>
        <w:ind w:left="720" w:hanging="720"/>
        <w:jc w:val="both"/>
      </w:pPr>
      <w:r w:rsidRPr="00215355">
        <w:t>Chartered Institute of Personnel and Development (CIPD) (2023b) Talent Management and Workforce Planning. Available at: https://www.cipd.co.uk [Accessed: April 2026].</w:t>
      </w:r>
    </w:p>
    <w:p w14:paraId="35AD4523" w14:textId="77777777" w:rsidR="006B56CC" w:rsidRPr="00215355" w:rsidRDefault="00000000" w:rsidP="00287F9A">
      <w:pPr>
        <w:spacing w:after="120" w:line="276" w:lineRule="auto"/>
        <w:ind w:left="720" w:hanging="720"/>
        <w:jc w:val="both"/>
      </w:pPr>
      <w:r w:rsidRPr="00215355">
        <w:t>Chartered Institute of Personnel and Development (CIPD) (2023c) Diversity and Inclusion in the Workplace. Available at: https://www.cipd.co.uk [Accessed: April 2026].</w:t>
      </w:r>
    </w:p>
    <w:p w14:paraId="534232FE" w14:textId="77777777" w:rsidR="006B56CC" w:rsidRPr="00215355" w:rsidRDefault="00000000" w:rsidP="00287F9A">
      <w:pPr>
        <w:spacing w:after="120" w:line="276" w:lineRule="auto"/>
        <w:ind w:left="720" w:hanging="720"/>
        <w:jc w:val="both"/>
      </w:pPr>
      <w:r w:rsidRPr="00215355">
        <w:t>FGH Security Ltd (2026) About Us. Available at: https://www.fghsecurity.co.uk [Accessed: April 2026].</w:t>
      </w:r>
    </w:p>
    <w:p w14:paraId="2DAB2DF7" w14:textId="77777777" w:rsidR="006B56CC" w:rsidRPr="00215355" w:rsidRDefault="00000000" w:rsidP="00287F9A">
      <w:pPr>
        <w:spacing w:after="120" w:line="276" w:lineRule="auto"/>
        <w:ind w:left="720" w:hanging="720"/>
        <w:jc w:val="both"/>
      </w:pPr>
      <w:r w:rsidRPr="00215355">
        <w:t>Maslow, A.H. (1954) Motivation and Personality. New York: Harper and Row.</w:t>
      </w:r>
    </w:p>
    <w:p w14:paraId="1B0F2198" w14:textId="77777777" w:rsidR="006B56CC" w:rsidRPr="00215355" w:rsidRDefault="00000000" w:rsidP="00287F9A">
      <w:pPr>
        <w:spacing w:after="120" w:line="276" w:lineRule="auto"/>
        <w:ind w:left="720" w:hanging="720"/>
        <w:jc w:val="both"/>
      </w:pPr>
      <w:r w:rsidRPr="00215355">
        <w:t>McKinsey and Company (2023) Diversity Wins: How Inclusion Matters. Available at: https://www.mckinsey.com [Accessed: April 2026].</w:t>
      </w:r>
    </w:p>
    <w:p w14:paraId="2E8874EC" w14:textId="77777777" w:rsidR="006B56CC" w:rsidRPr="00215355" w:rsidRDefault="00000000" w:rsidP="00287F9A">
      <w:pPr>
        <w:spacing w:after="120" w:line="276" w:lineRule="auto"/>
        <w:ind w:left="720" w:hanging="720"/>
        <w:jc w:val="both"/>
      </w:pPr>
      <w:r w:rsidRPr="00215355">
        <w:t>Piaget, J. (1970) Science of Education and the Psychology of the Child. New York: Orion Press.</w:t>
      </w:r>
    </w:p>
    <w:p w14:paraId="43FA5E1F" w14:textId="77777777" w:rsidR="006B56CC" w:rsidRPr="00215355" w:rsidRDefault="00000000" w:rsidP="00287F9A">
      <w:pPr>
        <w:spacing w:after="120" w:line="276" w:lineRule="auto"/>
        <w:ind w:left="720" w:hanging="720"/>
        <w:jc w:val="both"/>
      </w:pPr>
      <w:r w:rsidRPr="00215355">
        <w:t>Rowe, M. (2020) 'Diversity and the private security industry', Security Journal, 33(2), pp. 298–315.</w:t>
      </w:r>
    </w:p>
    <w:p w14:paraId="76F9A3AD" w14:textId="77777777" w:rsidR="006B56CC" w:rsidRPr="00215355" w:rsidRDefault="00000000" w:rsidP="00287F9A">
      <w:pPr>
        <w:spacing w:after="120" w:line="276" w:lineRule="auto"/>
        <w:ind w:left="720" w:hanging="720"/>
        <w:jc w:val="both"/>
      </w:pPr>
      <w:r w:rsidRPr="00215355">
        <w:t>Security Industry Authority (SIA) (2023) Annual Report and Accounts 2022–23. Available at: https://www.sia.homeoffice.gov.uk [Accessed: April 2026].</w:t>
      </w:r>
    </w:p>
    <w:p w14:paraId="62090A93" w14:textId="77777777" w:rsidR="006B56CC" w:rsidRPr="00215355" w:rsidRDefault="00000000" w:rsidP="00287F9A">
      <w:pPr>
        <w:spacing w:after="120" w:line="276" w:lineRule="auto"/>
        <w:ind w:left="720" w:hanging="720"/>
        <w:jc w:val="both"/>
      </w:pPr>
      <w:r w:rsidRPr="00215355">
        <w:t>Shore, L.M. et al. (2018) 'Inclusive workplaces: A review and model', Human Resource Management Review, 28(2), pp. 176–189.</w:t>
      </w:r>
    </w:p>
    <w:p w14:paraId="0FE78472" w14:textId="77777777" w:rsidR="006B56CC" w:rsidRPr="00215355" w:rsidRDefault="00000000" w:rsidP="00287F9A">
      <w:pPr>
        <w:spacing w:after="120" w:line="276" w:lineRule="auto"/>
        <w:ind w:left="720" w:hanging="720"/>
        <w:jc w:val="both"/>
      </w:pPr>
      <w:r w:rsidRPr="00215355">
        <w:t xml:space="preserve">Sparrow, P., Brewster, C. and Chung, C. (2016) Globalizing Human Resource Management. 2nd </w:t>
      </w:r>
      <w:proofErr w:type="spellStart"/>
      <w:r w:rsidRPr="00215355">
        <w:t>edn</w:t>
      </w:r>
      <w:proofErr w:type="spellEnd"/>
      <w:r w:rsidRPr="00215355">
        <w:t>. London: Routledge.</w:t>
      </w:r>
    </w:p>
    <w:p w14:paraId="3FD0B120" w14:textId="77777777" w:rsidR="006B56CC" w:rsidRPr="00215355" w:rsidRDefault="00000000" w:rsidP="00287F9A">
      <w:pPr>
        <w:spacing w:after="120" w:line="276" w:lineRule="auto"/>
        <w:ind w:left="720" w:hanging="720"/>
        <w:jc w:val="both"/>
      </w:pPr>
      <w:r w:rsidRPr="00215355">
        <w:t>Ulrich, D. (1997) Human Resource Champions: The Next Agenda for Adding Value and Delivering Results. Boston: Harvard Business School Press.</w:t>
      </w:r>
    </w:p>
    <w:p w14:paraId="4427FCCE" w14:textId="77777777" w:rsidR="006B56CC" w:rsidRPr="00215355" w:rsidRDefault="00000000" w:rsidP="00287F9A">
      <w:pPr>
        <w:spacing w:after="120" w:line="276" w:lineRule="auto"/>
        <w:ind w:left="720" w:hanging="720"/>
        <w:jc w:val="both"/>
      </w:pPr>
      <w:r w:rsidRPr="00215355">
        <w:t>Ulrich, D. and Dulebohn, J.H. (2015) 'Are we there yet? What's next for HR?', Human Resource Management Review, 25(2), pp. 188–204.</w:t>
      </w:r>
    </w:p>
    <w:sectPr w:rsidR="006B56CC" w:rsidRPr="00215355">
      <w:headerReference w:type="default" r:id="rId10"/>
      <w:footerReference w:type="default" r:id="rId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B9A91" w14:textId="77777777" w:rsidR="000210D7" w:rsidRDefault="000210D7">
      <w:r>
        <w:separator/>
      </w:r>
    </w:p>
  </w:endnote>
  <w:endnote w:type="continuationSeparator" w:id="0">
    <w:p w14:paraId="70CB762E" w14:textId="77777777" w:rsidR="000210D7" w:rsidRDefault="00021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31C0" w14:textId="77777777" w:rsidR="006B56CC" w:rsidRDefault="00000000">
    <w:pPr>
      <w:pBdr>
        <w:top w:val="single" w:sz="4" w:space="1" w:color="2E74B5"/>
      </w:pBdr>
      <w:jc w:val="center"/>
    </w:pPr>
    <w:r>
      <w:rPr>
        <w:color w:val="666666"/>
        <w:sz w:val="18"/>
        <w:szCs w:val="18"/>
      </w:rPr>
      <w:t xml:space="preserve">Page </w:t>
    </w:r>
    <w:r>
      <w:rPr>
        <w:color w:val="666666"/>
        <w:sz w:val="18"/>
        <w:szCs w:val="18"/>
      </w:rPr>
      <w:fldChar w:fldCharType="begin"/>
    </w:r>
    <w:r>
      <w:rPr>
        <w:color w:val="666666"/>
        <w:sz w:val="18"/>
        <w:szCs w:val="18"/>
      </w:rPr>
      <w:instrText>PAGE</w:instrText>
    </w:r>
    <w:r>
      <w:rPr>
        <w:color w:val="666666"/>
        <w:sz w:val="18"/>
        <w:szCs w:val="18"/>
      </w:rPr>
      <w:fldChar w:fldCharType="separate"/>
    </w:r>
    <w:r w:rsidR="00287F9A">
      <w:rPr>
        <w:noProof/>
        <w:color w:val="666666"/>
        <w:sz w:val="18"/>
        <w:szCs w:val="18"/>
      </w:rPr>
      <w:t>2</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NUMPAGES</w:instrText>
    </w:r>
    <w:r>
      <w:rPr>
        <w:color w:val="666666"/>
        <w:sz w:val="18"/>
        <w:szCs w:val="18"/>
      </w:rPr>
      <w:fldChar w:fldCharType="separate"/>
    </w:r>
    <w:r w:rsidR="00287F9A">
      <w:rPr>
        <w:noProof/>
        <w:color w:val="666666"/>
        <w:sz w:val="18"/>
        <w:szCs w:val="18"/>
      </w:rPr>
      <w:t>3</w:t>
    </w:r>
    <w:r>
      <w:rPr>
        <w:color w:val="66666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00300" w14:textId="77777777" w:rsidR="000210D7" w:rsidRDefault="000210D7">
      <w:r>
        <w:separator/>
      </w:r>
    </w:p>
  </w:footnote>
  <w:footnote w:type="continuationSeparator" w:id="0">
    <w:p w14:paraId="057F420F" w14:textId="77777777" w:rsidR="000210D7" w:rsidRDefault="000210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55D7F" w14:textId="77777777" w:rsidR="006B56CC" w:rsidRDefault="00000000">
    <w:pPr>
      <w:pBdr>
        <w:bottom w:val="single" w:sz="4" w:space="1" w:color="2E74B5"/>
      </w:pBdr>
      <w:jc w:val="right"/>
    </w:pPr>
    <w:r>
      <w:rPr>
        <w:color w:val="666666"/>
        <w:sz w:val="18"/>
        <w:szCs w:val="18"/>
      </w:rPr>
      <w:t xml:space="preserve">LCLM5002 | FGH Security Ltd | </w:t>
    </w:r>
    <w:proofErr w:type="spellStart"/>
    <w:r>
      <w:rPr>
        <w:color w:val="666666"/>
        <w:sz w:val="18"/>
        <w:szCs w:val="18"/>
      </w:rPr>
      <w:t>Alhajji</w:t>
    </w:r>
    <w:proofErr w:type="spellEnd"/>
    <w:r>
      <w:rPr>
        <w:color w:val="666666"/>
        <w:sz w:val="18"/>
        <w:szCs w:val="18"/>
      </w:rPr>
      <w:t xml:space="preserve"> Abu Bakr Bangura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9C4495"/>
    <w:multiLevelType w:val="hybridMultilevel"/>
    <w:tmpl w:val="37947BA4"/>
    <w:lvl w:ilvl="0" w:tplc="B07E42AE">
      <w:start w:val="1"/>
      <w:numFmt w:val="bullet"/>
      <w:lvlText w:val="●"/>
      <w:lvlJc w:val="left"/>
      <w:pPr>
        <w:ind w:left="720" w:hanging="360"/>
      </w:pPr>
    </w:lvl>
    <w:lvl w:ilvl="1" w:tplc="7584C560">
      <w:start w:val="1"/>
      <w:numFmt w:val="bullet"/>
      <w:lvlText w:val="○"/>
      <w:lvlJc w:val="left"/>
      <w:pPr>
        <w:ind w:left="1440" w:hanging="360"/>
      </w:pPr>
    </w:lvl>
    <w:lvl w:ilvl="2" w:tplc="962478BE">
      <w:start w:val="1"/>
      <w:numFmt w:val="bullet"/>
      <w:lvlText w:val="■"/>
      <w:lvlJc w:val="left"/>
      <w:pPr>
        <w:ind w:left="2160" w:hanging="360"/>
      </w:pPr>
    </w:lvl>
    <w:lvl w:ilvl="3" w:tplc="B50C2488">
      <w:start w:val="1"/>
      <w:numFmt w:val="bullet"/>
      <w:lvlText w:val="●"/>
      <w:lvlJc w:val="left"/>
      <w:pPr>
        <w:ind w:left="2880" w:hanging="360"/>
      </w:pPr>
    </w:lvl>
    <w:lvl w:ilvl="4" w:tplc="E8E2A82C">
      <w:start w:val="1"/>
      <w:numFmt w:val="bullet"/>
      <w:lvlText w:val="○"/>
      <w:lvlJc w:val="left"/>
      <w:pPr>
        <w:ind w:left="3600" w:hanging="360"/>
      </w:pPr>
    </w:lvl>
    <w:lvl w:ilvl="5" w:tplc="3E64ED3A">
      <w:start w:val="1"/>
      <w:numFmt w:val="bullet"/>
      <w:lvlText w:val="■"/>
      <w:lvlJc w:val="left"/>
      <w:pPr>
        <w:ind w:left="4320" w:hanging="360"/>
      </w:pPr>
    </w:lvl>
    <w:lvl w:ilvl="6" w:tplc="594AC504">
      <w:start w:val="1"/>
      <w:numFmt w:val="bullet"/>
      <w:lvlText w:val="●"/>
      <w:lvlJc w:val="left"/>
      <w:pPr>
        <w:ind w:left="5040" w:hanging="360"/>
      </w:pPr>
    </w:lvl>
    <w:lvl w:ilvl="7" w:tplc="DEDC2CE6">
      <w:start w:val="1"/>
      <w:numFmt w:val="bullet"/>
      <w:lvlText w:val="●"/>
      <w:lvlJc w:val="left"/>
      <w:pPr>
        <w:ind w:left="5760" w:hanging="360"/>
      </w:pPr>
    </w:lvl>
    <w:lvl w:ilvl="8" w:tplc="E8BAE592">
      <w:start w:val="1"/>
      <w:numFmt w:val="bullet"/>
      <w:lvlText w:val="●"/>
      <w:lvlJc w:val="left"/>
      <w:pPr>
        <w:ind w:left="6480" w:hanging="360"/>
      </w:pPr>
    </w:lvl>
  </w:abstractNum>
  <w:abstractNum w:abstractNumId="1" w15:restartNumberingAfterBreak="0">
    <w:nsid w:val="4A096E17"/>
    <w:multiLevelType w:val="hybridMultilevel"/>
    <w:tmpl w:val="8ECC8DF2"/>
    <w:lvl w:ilvl="0" w:tplc="121CFD2E">
      <w:start w:val="1"/>
      <w:numFmt w:val="bullet"/>
      <w:lvlText w:val="•"/>
      <w:lvlJc w:val="left"/>
      <w:pPr>
        <w:ind w:left="720" w:hanging="360"/>
      </w:pPr>
    </w:lvl>
    <w:lvl w:ilvl="1" w:tplc="847E7D4E">
      <w:numFmt w:val="decimal"/>
      <w:lvlText w:val=""/>
      <w:lvlJc w:val="left"/>
    </w:lvl>
    <w:lvl w:ilvl="2" w:tplc="A1500056">
      <w:numFmt w:val="decimal"/>
      <w:lvlText w:val=""/>
      <w:lvlJc w:val="left"/>
    </w:lvl>
    <w:lvl w:ilvl="3" w:tplc="199CBA92">
      <w:numFmt w:val="decimal"/>
      <w:lvlText w:val=""/>
      <w:lvlJc w:val="left"/>
    </w:lvl>
    <w:lvl w:ilvl="4" w:tplc="F3A233D0">
      <w:numFmt w:val="decimal"/>
      <w:lvlText w:val=""/>
      <w:lvlJc w:val="left"/>
    </w:lvl>
    <w:lvl w:ilvl="5" w:tplc="0EC4E164">
      <w:numFmt w:val="decimal"/>
      <w:lvlText w:val=""/>
      <w:lvlJc w:val="left"/>
    </w:lvl>
    <w:lvl w:ilvl="6" w:tplc="399C8594">
      <w:numFmt w:val="decimal"/>
      <w:lvlText w:val=""/>
      <w:lvlJc w:val="left"/>
    </w:lvl>
    <w:lvl w:ilvl="7" w:tplc="009A851A">
      <w:numFmt w:val="decimal"/>
      <w:lvlText w:val=""/>
      <w:lvlJc w:val="left"/>
    </w:lvl>
    <w:lvl w:ilvl="8" w:tplc="9B661BA8">
      <w:numFmt w:val="decimal"/>
      <w:lvlText w:val=""/>
      <w:lvlJc w:val="left"/>
    </w:lvl>
  </w:abstractNum>
  <w:num w:numId="1" w16cid:durableId="1791705604">
    <w:abstractNumId w:val="0"/>
    <w:lvlOverride w:ilvl="0">
      <w:startOverride w:val="1"/>
    </w:lvlOverride>
  </w:num>
  <w:num w:numId="2" w16cid:durableId="203695333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6CC"/>
    <w:rsid w:val="000026F7"/>
    <w:rsid w:val="000210D7"/>
    <w:rsid w:val="001D024E"/>
    <w:rsid w:val="001E0614"/>
    <w:rsid w:val="00215355"/>
    <w:rsid w:val="00255EDE"/>
    <w:rsid w:val="00287F9A"/>
    <w:rsid w:val="00465024"/>
    <w:rsid w:val="0054249B"/>
    <w:rsid w:val="006B56CC"/>
    <w:rsid w:val="00745B3F"/>
    <w:rsid w:val="00804FD0"/>
    <w:rsid w:val="00825057"/>
    <w:rsid w:val="00B9419B"/>
    <w:rsid w:val="00C8282E"/>
    <w:rsid w:val="00D10FF8"/>
    <w:rsid w:val="00F80827"/>
    <w:rsid w:val="00F86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BD500"/>
  <w15:docId w15:val="{3C0E12C1-EFA5-46A0-9B82-3C39FAA8D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20"/>
      <w:outlineLvl w:val="0"/>
    </w:pPr>
    <w:rPr>
      <w:b/>
      <w:bCs/>
      <w:color w:val="1F3864"/>
      <w:sz w:val="28"/>
      <w:szCs w:val="28"/>
    </w:rPr>
  </w:style>
  <w:style w:type="paragraph" w:styleId="Heading2">
    <w:name w:val="heading 2"/>
    <w:uiPriority w:val="9"/>
    <w:unhideWhenUsed/>
    <w:qFormat/>
    <w:pPr>
      <w:spacing w:before="200" w:after="100"/>
      <w:outlineLvl w:val="1"/>
    </w:pPr>
    <w:rPr>
      <w:b/>
      <w:bCs/>
      <w:color w:val="2E74B5"/>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0026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4249B"/>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54249B"/>
    <w:pPr>
      <w:spacing w:after="100"/>
    </w:pPr>
  </w:style>
  <w:style w:type="paragraph" w:styleId="TOC2">
    <w:name w:val="toc 2"/>
    <w:basedOn w:val="Normal"/>
    <w:next w:val="Normal"/>
    <w:autoRedefine/>
    <w:uiPriority w:val="39"/>
    <w:unhideWhenUsed/>
    <w:rsid w:val="0054249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44FBE-D09E-4EA4-9C15-376F44081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2846</Words>
  <Characters>16224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Alhaji Abubakar Bangura</cp:lastModifiedBy>
  <cp:revision>18</cp:revision>
  <dcterms:created xsi:type="dcterms:W3CDTF">2026-04-14T19:19:00Z</dcterms:created>
  <dcterms:modified xsi:type="dcterms:W3CDTF">2026-04-18T15:25:00Z</dcterms:modified>
</cp:coreProperties>
</file>