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C7EDEC" w14:textId="77777777" w:rsidR="5A453747" w:rsidRDefault="00012B16">
      <w:r>
        <w:rPr>
          <w:noProof/>
        </w:rPr>
        <w:drawing>
          <wp:inline distT="0" distB="0" distL="0" distR="0" wp14:anchorId="1AA13656" wp14:editId="35AE485A">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4FF6AF3" w14:textId="77777777" w:rsidR="00563B58" w:rsidRPr="00A47621" w:rsidRDefault="00563B58" w:rsidP="0040668F">
      <w:pPr>
        <w:rPr>
          <w:rFonts w:ascii="Times New Roman" w:hAnsi="Times New Roman" w:cs="Times New Roman"/>
          <w:sz w:val="24"/>
          <w:szCs w:val="24"/>
        </w:rPr>
      </w:pPr>
    </w:p>
    <w:p w14:paraId="25B6BB8E"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E45F0CD"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0C33EDD9"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F385D99"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706B802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67208CF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66CCEB78"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5E725194"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62B085B0"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0AA839" w14:textId="77777777" w:rsidTr="005D3F07">
        <w:tc>
          <w:tcPr>
            <w:tcW w:w="10368" w:type="dxa"/>
            <w:shd w:val="clear" w:color="auto" w:fill="auto"/>
          </w:tcPr>
          <w:p w14:paraId="2905927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A7C77">
              <w:rPr>
                <w:rFonts w:ascii="Times New Roman" w:hAnsi="Times New Roman" w:cs="Times New Roman"/>
                <w:b/>
                <w:color w:val="auto"/>
                <w:sz w:val="48"/>
              </w:rPr>
              <w:t>Louisa Lloyd</w:t>
            </w:r>
          </w:p>
          <w:p w14:paraId="55D1D8A5"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E7108DB"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A7C77">
              <w:rPr>
                <w:rFonts w:ascii="Times New Roman" w:hAnsi="Times New Roman" w:cs="Times New Roman"/>
                <w:b/>
                <w:color w:val="auto"/>
                <w:sz w:val="48"/>
              </w:rPr>
              <w:t xml:space="preserve"> </w:t>
            </w:r>
            <w:hyperlink r:id="rId11" w:history="1">
              <w:r w:rsidR="00BA7C77">
                <w:rPr>
                  <w:rStyle w:val="Hyperlink"/>
                </w:rPr>
                <w:t>2420680@student.uwtsd.ac.uk</w:t>
              </w:r>
            </w:hyperlink>
          </w:p>
          <w:p w14:paraId="016DAE60"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DF38F96" w14:textId="77777777" w:rsidR="00585BD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A7C77">
              <w:rPr>
                <w:rFonts w:ascii="Times New Roman" w:hAnsi="Times New Roman" w:cs="Times New Roman"/>
                <w:b/>
                <w:color w:val="auto"/>
                <w:sz w:val="48"/>
              </w:rPr>
              <w:t xml:space="preserve"> </w:t>
            </w:r>
          </w:p>
          <w:p w14:paraId="67C7533E" w14:textId="53A32026" w:rsidR="00F927A1" w:rsidRPr="005D3F07" w:rsidRDefault="00BA7C7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24206</w:t>
            </w:r>
            <w:r w:rsidR="00585BDE">
              <w:rPr>
                <w:rFonts w:ascii="Times New Roman" w:hAnsi="Times New Roman" w:cs="Times New Roman"/>
                <w:b/>
                <w:sz w:val="48"/>
              </w:rPr>
              <w:t>80</w:t>
            </w:r>
          </w:p>
          <w:p w14:paraId="64D15E78"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4F220AF1" w14:textId="41673E3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r w:rsidR="00585BDE">
              <w:rPr>
                <w:rFonts w:ascii="Times New Roman" w:hAnsi="Times New Roman" w:cs="Times New Roman"/>
                <w:b/>
                <w:color w:val="auto"/>
                <w:sz w:val="48"/>
              </w:rPr>
              <w:t xml:space="preserve"> (24)</w:t>
            </w:r>
          </w:p>
        </w:tc>
      </w:tr>
    </w:tbl>
    <w:p w14:paraId="7BE48964"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977B6BF"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50AA62C6"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39C3845" w14:textId="77777777" w:rsidR="00E559CE" w:rsidRDefault="00E83F91" w:rsidP="005B3A2D">
      <w:pPr>
        <w:jc w:val="center"/>
        <w:rPr>
          <w:b/>
          <w:sz w:val="24"/>
          <w:szCs w:val="24"/>
        </w:rPr>
      </w:pPr>
      <w:r>
        <w:rPr>
          <w:b/>
          <w:sz w:val="24"/>
          <w:szCs w:val="24"/>
        </w:rPr>
        <w:br w:type="page"/>
      </w:r>
    </w:p>
    <w:p w14:paraId="0B278FF4" w14:textId="77777777" w:rsidR="007F312E" w:rsidRDefault="007F312E" w:rsidP="005F64AA">
      <w:pPr>
        <w:jc w:val="center"/>
        <w:rPr>
          <w:b/>
          <w:sz w:val="28"/>
          <w:szCs w:val="28"/>
        </w:rPr>
      </w:pPr>
    </w:p>
    <w:p w14:paraId="07CA31CD" w14:textId="77777777" w:rsidR="00D3203C" w:rsidRDefault="00D3203C" w:rsidP="00EE5BC3">
      <w:pPr>
        <w:jc w:val="center"/>
        <w:rPr>
          <w:b/>
          <w:sz w:val="24"/>
          <w:szCs w:val="24"/>
        </w:rPr>
      </w:pPr>
    </w:p>
    <w:p w14:paraId="72E534C0" w14:textId="77777777" w:rsidR="00F546D1" w:rsidRPr="00EE5BC3" w:rsidRDefault="007374EF" w:rsidP="00EE5BC3">
      <w:pPr>
        <w:jc w:val="center"/>
        <w:rPr>
          <w:sz w:val="28"/>
          <w:szCs w:val="28"/>
        </w:rPr>
      </w:pPr>
      <w:r w:rsidRPr="00EE5BC3">
        <w:rPr>
          <w:b/>
          <w:sz w:val="28"/>
          <w:szCs w:val="28"/>
        </w:rPr>
        <w:t>Task 3</w:t>
      </w:r>
    </w:p>
    <w:p w14:paraId="5E259B31" w14:textId="77777777" w:rsidR="00F546D1" w:rsidRPr="00EE5BC3" w:rsidRDefault="00F546D1" w:rsidP="00EE5BC3">
      <w:pPr>
        <w:jc w:val="center"/>
        <w:rPr>
          <w:b/>
          <w:sz w:val="28"/>
          <w:szCs w:val="28"/>
        </w:rPr>
      </w:pPr>
    </w:p>
    <w:p w14:paraId="63BF80F0"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44C264BC" w14:textId="77777777" w:rsidR="007C5ABE" w:rsidRDefault="007C5ABE" w:rsidP="0093018C">
      <w:pPr>
        <w:rPr>
          <w:b/>
          <w:color w:val="auto"/>
          <w:sz w:val="24"/>
          <w:szCs w:val="24"/>
        </w:rPr>
      </w:pPr>
    </w:p>
    <w:p w14:paraId="709F4933"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29C81F9E"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7D71AE10"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4F28D2BE" w14:textId="77777777" w:rsidTr="7B2CF1A9">
        <w:tc>
          <w:tcPr>
            <w:tcW w:w="10031" w:type="dxa"/>
            <w:shd w:val="clear" w:color="auto" w:fill="auto"/>
          </w:tcPr>
          <w:p w14:paraId="0D2F8876"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7392D907" w14:textId="77777777"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639CCA4A" w14:textId="77777777" w:rsidR="008D5999" w:rsidRDefault="008D5999" w:rsidP="00064063">
            <w:pPr>
              <w:jc w:val="both"/>
              <w:rPr>
                <w:sz w:val="24"/>
                <w:szCs w:val="24"/>
              </w:rPr>
            </w:pPr>
          </w:p>
          <w:p w14:paraId="110976B1" w14:textId="77777777" w:rsidR="008D5999" w:rsidRDefault="008D5999" w:rsidP="00064063">
            <w:pPr>
              <w:jc w:val="both"/>
              <w:rPr>
                <w:sz w:val="24"/>
                <w:szCs w:val="24"/>
              </w:rPr>
            </w:pPr>
          </w:p>
          <w:p w14:paraId="331B16CE" w14:textId="77777777"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146A0A6" w14:textId="77777777" w:rsidR="00D3203C" w:rsidRDefault="00D3203C" w:rsidP="00FF7EBB">
            <w:pPr>
              <w:jc w:val="both"/>
              <w:rPr>
                <w:i/>
                <w:sz w:val="24"/>
                <w:szCs w:val="24"/>
              </w:rPr>
            </w:pPr>
          </w:p>
          <w:p w14:paraId="7D8DC28A" w14:textId="4C5595AB" w:rsidR="00D3203C" w:rsidRPr="005C4FEE" w:rsidRDefault="00BA7C77" w:rsidP="00FF7EBB">
            <w:pPr>
              <w:jc w:val="both"/>
              <w:rPr>
                <w:sz w:val="24"/>
                <w:szCs w:val="24"/>
              </w:rPr>
            </w:pPr>
            <w:r w:rsidRPr="005C4FEE">
              <w:rPr>
                <w:sz w:val="24"/>
                <w:szCs w:val="24"/>
              </w:rPr>
              <w:t>This assignment will aim to demonstrate my understanding of safeguarding in practice, including legislation, policies, strategies and procedures</w:t>
            </w:r>
            <w:r w:rsidR="006916A1">
              <w:rPr>
                <w:sz w:val="24"/>
                <w:szCs w:val="24"/>
              </w:rPr>
              <w:t xml:space="preserve"> and</w:t>
            </w:r>
            <w:r w:rsidRPr="005C4FEE">
              <w:rPr>
                <w:sz w:val="24"/>
                <w:szCs w:val="24"/>
              </w:rPr>
              <w:t xml:space="preserve"> the difference between the devolved Nations within the United Kingdom. To achieve this, I will be critically reflecting on a case that I have been involved with where safeguarding concerns have been raised. For confidentiality, and in keeping with the General Data Protection Regulation (2018)</w:t>
            </w:r>
            <w:r w:rsidR="00B3788F" w:rsidRPr="005C4FEE">
              <w:rPr>
                <w:sz w:val="24"/>
                <w:szCs w:val="24"/>
              </w:rPr>
              <w:t>, The citizen will be known as Mrs 2.</w:t>
            </w:r>
          </w:p>
          <w:p w14:paraId="426D17DA" w14:textId="77777777" w:rsidR="00B3788F" w:rsidRPr="005C4FEE" w:rsidRDefault="00B3788F" w:rsidP="00FF7EBB">
            <w:pPr>
              <w:jc w:val="both"/>
              <w:rPr>
                <w:sz w:val="24"/>
                <w:szCs w:val="24"/>
              </w:rPr>
            </w:pPr>
          </w:p>
          <w:p w14:paraId="6E38D970" w14:textId="536FABB4" w:rsidR="00B3788F" w:rsidRPr="005C4FEE" w:rsidRDefault="00B3788F" w:rsidP="00FF7EBB">
            <w:pPr>
              <w:jc w:val="both"/>
              <w:rPr>
                <w:sz w:val="24"/>
                <w:szCs w:val="24"/>
              </w:rPr>
            </w:pPr>
            <w:r w:rsidRPr="005C4FEE">
              <w:rPr>
                <w:sz w:val="24"/>
                <w:szCs w:val="24"/>
              </w:rPr>
              <w:t xml:space="preserve">Mrs 2 was referred for support from a family member due to difficulties managing activities of daily living following </w:t>
            </w:r>
            <w:r w:rsidR="006916A1">
              <w:rPr>
                <w:sz w:val="24"/>
                <w:szCs w:val="24"/>
              </w:rPr>
              <w:t xml:space="preserve">a </w:t>
            </w:r>
            <w:r w:rsidRPr="005C4FEE">
              <w:rPr>
                <w:sz w:val="24"/>
                <w:szCs w:val="24"/>
              </w:rPr>
              <w:t>decline in mobility and increasing falls.</w:t>
            </w:r>
            <w:r w:rsidR="00B519C5" w:rsidRPr="005C4FEE">
              <w:rPr>
                <w:sz w:val="24"/>
                <w:szCs w:val="24"/>
              </w:rPr>
              <w:t xml:space="preserve"> She has a diagnosis of Parkinson’s disease which is a progressive, neurological disease. </w:t>
            </w:r>
            <w:r w:rsidRPr="005C4FEE">
              <w:rPr>
                <w:sz w:val="24"/>
                <w:szCs w:val="24"/>
              </w:rPr>
              <w:t xml:space="preserve"> As the original referral was not from the citizen herself, consent had to be gained from Mrs 2 as stipulated in the Social Services Wellbeing (Wales) Act (</w:t>
            </w:r>
            <w:proofErr w:type="gramStart"/>
            <w:r w:rsidRPr="005C4FEE">
              <w:rPr>
                <w:sz w:val="24"/>
                <w:szCs w:val="24"/>
              </w:rPr>
              <w:t>2014)</w:t>
            </w:r>
            <w:r w:rsidR="003D7F89" w:rsidRPr="005C4FEE">
              <w:rPr>
                <w:sz w:val="24"/>
                <w:szCs w:val="24"/>
              </w:rPr>
              <w:t>(</w:t>
            </w:r>
            <w:proofErr w:type="gramEnd"/>
            <w:r w:rsidR="003D7F89" w:rsidRPr="005C4FEE">
              <w:rPr>
                <w:sz w:val="24"/>
                <w:szCs w:val="24"/>
              </w:rPr>
              <w:t>SSWBA)</w:t>
            </w:r>
            <w:r w:rsidR="00F63CB7" w:rsidRPr="005C4FEE">
              <w:rPr>
                <w:sz w:val="24"/>
                <w:szCs w:val="24"/>
              </w:rPr>
              <w:t>. An adult is able to refuse a needs assessment under section 19 of the Act providing the local authority is satisfied the individual has capacity regarding this decision.</w:t>
            </w:r>
            <w:r w:rsidR="00321499" w:rsidRPr="005C4FEE">
              <w:rPr>
                <w:sz w:val="24"/>
                <w:szCs w:val="24"/>
              </w:rPr>
              <w:t xml:space="preserve"> This is to uphold an individual’s right to make their own decisions about their life, promoting voice, choice and control which is at the heart of the S</w:t>
            </w:r>
            <w:r w:rsidR="00133B5B">
              <w:rPr>
                <w:sz w:val="24"/>
                <w:szCs w:val="24"/>
              </w:rPr>
              <w:t>SWBA</w:t>
            </w:r>
            <w:r w:rsidR="00494610">
              <w:rPr>
                <w:sz w:val="24"/>
                <w:szCs w:val="24"/>
              </w:rPr>
              <w:t xml:space="preserve"> (2014)</w:t>
            </w:r>
            <w:r w:rsidR="00321499" w:rsidRPr="005C4FEE">
              <w:rPr>
                <w:sz w:val="24"/>
                <w:szCs w:val="24"/>
              </w:rPr>
              <w:t>.</w:t>
            </w:r>
            <w:r w:rsidR="00F63CB7" w:rsidRPr="005C4FEE">
              <w:rPr>
                <w:sz w:val="24"/>
                <w:szCs w:val="24"/>
              </w:rPr>
              <w:t xml:space="preserve"> The Mental Capacity Act (2005) provides a legal fram</w:t>
            </w:r>
            <w:r w:rsidR="00EB396F" w:rsidRPr="005C4FEE">
              <w:rPr>
                <w:sz w:val="24"/>
                <w:szCs w:val="24"/>
              </w:rPr>
              <w:t xml:space="preserve">ework </w:t>
            </w:r>
            <w:r w:rsidR="00321499" w:rsidRPr="005C4FEE">
              <w:rPr>
                <w:sz w:val="24"/>
                <w:szCs w:val="24"/>
              </w:rPr>
              <w:t>for assessing capacity. This legal framework provides</w:t>
            </w:r>
            <w:r w:rsidR="00EB396F" w:rsidRPr="005C4FEE">
              <w:rPr>
                <w:sz w:val="24"/>
                <w:szCs w:val="24"/>
              </w:rPr>
              <w:t xml:space="preserve"> </w:t>
            </w:r>
            <w:r w:rsidR="00F63CB7" w:rsidRPr="005C4FEE">
              <w:rPr>
                <w:sz w:val="24"/>
                <w:szCs w:val="24"/>
              </w:rPr>
              <w:t>five principles</w:t>
            </w:r>
            <w:r w:rsidR="00321499" w:rsidRPr="005C4FEE">
              <w:rPr>
                <w:sz w:val="24"/>
                <w:szCs w:val="24"/>
              </w:rPr>
              <w:t xml:space="preserve"> that</w:t>
            </w:r>
            <w:r w:rsidR="00F63CB7" w:rsidRPr="005C4FEE">
              <w:rPr>
                <w:sz w:val="24"/>
                <w:szCs w:val="24"/>
              </w:rPr>
              <w:t xml:space="preserve"> need to be adhered to</w:t>
            </w:r>
            <w:r w:rsidR="00EB396F" w:rsidRPr="005C4FEE">
              <w:rPr>
                <w:sz w:val="24"/>
                <w:szCs w:val="24"/>
              </w:rPr>
              <w:t xml:space="preserve"> in order for someone to be deemed as lacking capacity. The first principle of the Mental Capacity Act is that capacity must be presumed</w:t>
            </w:r>
            <w:r w:rsidR="00F63CB7" w:rsidRPr="005C4FEE">
              <w:rPr>
                <w:sz w:val="24"/>
                <w:szCs w:val="24"/>
              </w:rPr>
              <w:t xml:space="preserve"> unless it is established that they lack capacity.</w:t>
            </w:r>
            <w:r w:rsidR="00EB396F" w:rsidRPr="005C4FEE">
              <w:rPr>
                <w:sz w:val="24"/>
                <w:szCs w:val="24"/>
              </w:rPr>
              <w:t xml:space="preserve"> There can be no assumption that someone lacks capacity due to a disability, a diagnosis of dementia, mental illness or their right to make an unwise decision.  There has to be clear evidence that an individual cannot decide for themselves in order for someone to be deemed to lack capacity </w:t>
            </w:r>
            <w:r w:rsidR="00EB396F" w:rsidRPr="005C4FEE">
              <w:rPr>
                <w:sz w:val="24"/>
                <w:szCs w:val="24"/>
              </w:rPr>
              <w:lastRenderedPageBreak/>
              <w:t>with a specific decision.</w:t>
            </w:r>
            <w:r w:rsidR="00321499" w:rsidRPr="005C4FEE">
              <w:rPr>
                <w:sz w:val="24"/>
                <w:szCs w:val="24"/>
              </w:rPr>
              <w:t xml:space="preserve"> The MCA upholds rights and autonomy whilst preventing discrimination and paternalism.</w:t>
            </w:r>
            <w:r w:rsidR="00EB396F" w:rsidRPr="005C4FEE">
              <w:rPr>
                <w:sz w:val="24"/>
                <w:szCs w:val="24"/>
              </w:rPr>
              <w:t xml:space="preserve"> </w:t>
            </w:r>
            <w:r w:rsidR="00F63CB7" w:rsidRPr="005C4FEE">
              <w:rPr>
                <w:sz w:val="24"/>
                <w:szCs w:val="24"/>
              </w:rPr>
              <w:t xml:space="preserve"> In this instance,</w:t>
            </w:r>
            <w:r w:rsidR="00321499" w:rsidRPr="005C4FEE">
              <w:rPr>
                <w:sz w:val="24"/>
                <w:szCs w:val="24"/>
              </w:rPr>
              <w:t xml:space="preserve"> there was no identified reason not to assume capacity and</w:t>
            </w:r>
            <w:r w:rsidR="00F63CB7" w:rsidRPr="005C4FEE">
              <w:rPr>
                <w:sz w:val="24"/>
                <w:szCs w:val="24"/>
              </w:rPr>
              <w:t xml:space="preserve"> consent was gained by Mrs 2 for the referral along with gaining further information such as language preference using the “</w:t>
            </w:r>
            <w:r w:rsidR="00133B5B">
              <w:rPr>
                <w:sz w:val="24"/>
                <w:szCs w:val="24"/>
              </w:rPr>
              <w:t>A</w:t>
            </w:r>
            <w:r w:rsidR="00F63CB7" w:rsidRPr="005C4FEE">
              <w:rPr>
                <w:sz w:val="24"/>
                <w:szCs w:val="24"/>
              </w:rPr>
              <w:t xml:space="preserve">ctive </w:t>
            </w:r>
            <w:r w:rsidR="00133B5B">
              <w:rPr>
                <w:sz w:val="24"/>
                <w:szCs w:val="24"/>
              </w:rPr>
              <w:t>O</w:t>
            </w:r>
            <w:r w:rsidR="00F63CB7" w:rsidRPr="005C4FEE">
              <w:rPr>
                <w:sz w:val="24"/>
                <w:szCs w:val="24"/>
              </w:rPr>
              <w:t xml:space="preserve">ffer” being made under the More than </w:t>
            </w:r>
            <w:r w:rsidR="00133B5B">
              <w:rPr>
                <w:sz w:val="24"/>
                <w:szCs w:val="24"/>
              </w:rPr>
              <w:t>J</w:t>
            </w:r>
            <w:r w:rsidR="00F63CB7" w:rsidRPr="005C4FEE">
              <w:rPr>
                <w:sz w:val="24"/>
                <w:szCs w:val="24"/>
              </w:rPr>
              <w:t>ust Words framework (2016).</w:t>
            </w:r>
            <w:r w:rsidR="00321499" w:rsidRPr="005C4FEE">
              <w:rPr>
                <w:sz w:val="24"/>
                <w:szCs w:val="24"/>
              </w:rPr>
              <w:t xml:space="preserve"> Mrs 2 confirmed she was an English speaker and did not require any services through the medium of Welsh. The More than </w:t>
            </w:r>
            <w:r w:rsidR="00133B5B">
              <w:rPr>
                <w:sz w:val="24"/>
                <w:szCs w:val="24"/>
              </w:rPr>
              <w:t>J</w:t>
            </w:r>
            <w:r w:rsidR="00321499" w:rsidRPr="005C4FEE">
              <w:rPr>
                <w:sz w:val="24"/>
                <w:szCs w:val="24"/>
              </w:rPr>
              <w:t xml:space="preserve">ust Words </w:t>
            </w:r>
            <w:r w:rsidR="00133B5B">
              <w:rPr>
                <w:sz w:val="24"/>
                <w:szCs w:val="24"/>
              </w:rPr>
              <w:t>F</w:t>
            </w:r>
            <w:r w:rsidR="00321499" w:rsidRPr="005C4FEE">
              <w:rPr>
                <w:sz w:val="24"/>
                <w:szCs w:val="24"/>
              </w:rPr>
              <w:t xml:space="preserve">ramework aims to ensure local authorities put an equal emphasis on the </w:t>
            </w:r>
            <w:r w:rsidR="00ED1520" w:rsidRPr="005C4FEE">
              <w:rPr>
                <w:sz w:val="24"/>
                <w:szCs w:val="24"/>
              </w:rPr>
              <w:t>Welsh</w:t>
            </w:r>
            <w:r w:rsidR="00321499" w:rsidRPr="005C4FEE">
              <w:rPr>
                <w:sz w:val="24"/>
                <w:szCs w:val="24"/>
              </w:rPr>
              <w:t xml:space="preserve"> language </w:t>
            </w:r>
            <w:r w:rsidR="00356277" w:rsidRPr="005C4FEE">
              <w:rPr>
                <w:sz w:val="24"/>
                <w:szCs w:val="24"/>
              </w:rPr>
              <w:t>as</w:t>
            </w:r>
            <w:r w:rsidR="00133B5B">
              <w:rPr>
                <w:sz w:val="24"/>
                <w:szCs w:val="24"/>
              </w:rPr>
              <w:t xml:space="preserve"> it does the</w:t>
            </w:r>
            <w:r w:rsidR="00356277" w:rsidRPr="005C4FEE">
              <w:rPr>
                <w:sz w:val="24"/>
                <w:szCs w:val="24"/>
              </w:rPr>
              <w:t xml:space="preserve"> English. Undertaking assessments in a person’s preferred language is a legal right which is further strengthened under Equality and Human </w:t>
            </w:r>
            <w:r w:rsidR="00133B5B">
              <w:rPr>
                <w:sz w:val="24"/>
                <w:szCs w:val="24"/>
              </w:rPr>
              <w:t>R</w:t>
            </w:r>
            <w:r w:rsidR="00356277" w:rsidRPr="005C4FEE">
              <w:rPr>
                <w:sz w:val="24"/>
                <w:szCs w:val="24"/>
              </w:rPr>
              <w:t>ight</w:t>
            </w:r>
            <w:r w:rsidR="00133B5B">
              <w:rPr>
                <w:sz w:val="24"/>
                <w:szCs w:val="24"/>
              </w:rPr>
              <w:t>s</w:t>
            </w:r>
            <w:r w:rsidR="00356277" w:rsidRPr="005C4FEE">
              <w:rPr>
                <w:sz w:val="24"/>
                <w:szCs w:val="24"/>
              </w:rPr>
              <w:t xml:space="preserve"> legislation by protecting people from discrimination based on language. Obtaining information on language at the start of the referral process enables the case to be allocated to the most appropriate practitioner.</w:t>
            </w:r>
          </w:p>
          <w:p w14:paraId="15FA9653" w14:textId="2F8321FD" w:rsidR="00FD780E" w:rsidRPr="005C4FEE" w:rsidRDefault="00356277" w:rsidP="00FF7EBB">
            <w:pPr>
              <w:jc w:val="both"/>
              <w:rPr>
                <w:sz w:val="24"/>
                <w:szCs w:val="24"/>
              </w:rPr>
            </w:pPr>
            <w:r w:rsidRPr="005C4FEE">
              <w:rPr>
                <w:sz w:val="24"/>
                <w:szCs w:val="24"/>
              </w:rPr>
              <w:t>Once this information was obtained, t</w:t>
            </w:r>
            <w:r w:rsidR="00F63CB7" w:rsidRPr="005C4FEE">
              <w:rPr>
                <w:sz w:val="24"/>
                <w:szCs w:val="24"/>
              </w:rPr>
              <w:t>he case was allocated to a practitioner to undertake a “what matters” conversation.</w:t>
            </w:r>
            <w:r w:rsidR="00A04C0C" w:rsidRPr="005C4FEE">
              <w:rPr>
                <w:sz w:val="24"/>
                <w:szCs w:val="24"/>
              </w:rPr>
              <w:t xml:space="preserve"> A what matters conversation </w:t>
            </w:r>
            <w:r w:rsidR="00886643" w:rsidRPr="005C4FEE">
              <w:rPr>
                <w:sz w:val="24"/>
                <w:szCs w:val="24"/>
              </w:rPr>
              <w:t xml:space="preserve">has a defined role in </w:t>
            </w:r>
            <w:r w:rsidR="00A04C0C" w:rsidRPr="005C4FEE">
              <w:rPr>
                <w:sz w:val="24"/>
                <w:szCs w:val="24"/>
              </w:rPr>
              <w:t>the S</w:t>
            </w:r>
            <w:r w:rsidR="00133B5B">
              <w:rPr>
                <w:sz w:val="24"/>
                <w:szCs w:val="24"/>
              </w:rPr>
              <w:t>SWBA</w:t>
            </w:r>
            <w:r w:rsidR="00F53C86">
              <w:rPr>
                <w:sz w:val="24"/>
                <w:szCs w:val="24"/>
              </w:rPr>
              <w:t xml:space="preserve"> (2014)</w:t>
            </w:r>
            <w:r w:rsidR="00A04C0C" w:rsidRPr="005C4FEE">
              <w:rPr>
                <w:sz w:val="24"/>
                <w:szCs w:val="24"/>
              </w:rPr>
              <w:t>.</w:t>
            </w:r>
            <w:r w:rsidR="00886643" w:rsidRPr="005C4FEE">
              <w:rPr>
                <w:sz w:val="24"/>
                <w:szCs w:val="24"/>
              </w:rPr>
              <w:t xml:space="preserve"> The S</w:t>
            </w:r>
            <w:r w:rsidR="00133B5B">
              <w:rPr>
                <w:sz w:val="24"/>
                <w:szCs w:val="24"/>
              </w:rPr>
              <w:t>SWBA</w:t>
            </w:r>
            <w:r w:rsidR="00F53C86">
              <w:rPr>
                <w:sz w:val="24"/>
                <w:szCs w:val="24"/>
              </w:rPr>
              <w:t xml:space="preserve"> (2014)</w:t>
            </w:r>
            <w:r w:rsidR="00886643" w:rsidRPr="005C4FEE">
              <w:rPr>
                <w:sz w:val="24"/>
                <w:szCs w:val="24"/>
              </w:rPr>
              <w:t xml:space="preserve"> sets out duties for public bodies in Wales for improving wellbeing for people in need of care and support and their </w:t>
            </w:r>
            <w:proofErr w:type="spellStart"/>
            <w:r w:rsidR="00886643" w:rsidRPr="005C4FEE">
              <w:rPr>
                <w:sz w:val="24"/>
                <w:szCs w:val="24"/>
              </w:rPr>
              <w:t>carers</w:t>
            </w:r>
            <w:proofErr w:type="spellEnd"/>
            <w:r w:rsidR="00886643" w:rsidRPr="005C4FEE">
              <w:rPr>
                <w:sz w:val="24"/>
                <w:szCs w:val="24"/>
              </w:rPr>
              <w:t>. This is achieved by following the key principles of</w:t>
            </w:r>
            <w:r w:rsidR="003C5D6A" w:rsidRPr="005C4FEE">
              <w:rPr>
                <w:sz w:val="24"/>
                <w:szCs w:val="24"/>
              </w:rPr>
              <w:t xml:space="preserve"> the Act which are</w:t>
            </w:r>
            <w:r w:rsidR="00886643" w:rsidRPr="005C4FEE">
              <w:rPr>
                <w:sz w:val="24"/>
                <w:szCs w:val="24"/>
              </w:rPr>
              <w:t xml:space="preserve"> voice and control; prevention and early intervention. A what matters conversation allows </w:t>
            </w:r>
            <w:r w:rsidR="003C5D6A" w:rsidRPr="005C4FEE">
              <w:rPr>
                <w:sz w:val="24"/>
                <w:szCs w:val="24"/>
              </w:rPr>
              <w:t>a</w:t>
            </w:r>
            <w:r w:rsidR="00886643" w:rsidRPr="005C4FEE">
              <w:rPr>
                <w:sz w:val="24"/>
                <w:szCs w:val="24"/>
              </w:rPr>
              <w:t xml:space="preserve"> practitioner to uncover what is important to the individual by exploring how they wish to live, what they want to achieve and what potential barriers there may be along with their own strengths and resources to help them achieve their identified outcomes. </w:t>
            </w:r>
            <w:r w:rsidR="00A7249B" w:rsidRPr="005C4FEE">
              <w:rPr>
                <w:sz w:val="24"/>
                <w:szCs w:val="24"/>
              </w:rPr>
              <w:t>By usin</w:t>
            </w:r>
            <w:r w:rsidR="004E3D03" w:rsidRPr="005C4FEE">
              <w:rPr>
                <w:sz w:val="24"/>
                <w:szCs w:val="24"/>
              </w:rPr>
              <w:t>g a strengths based, person centred approach, the practitioner was able to build a relationship with Mrs 2 over a number of visits</w:t>
            </w:r>
            <w:r w:rsidR="00886643" w:rsidRPr="005C4FEE">
              <w:rPr>
                <w:sz w:val="24"/>
                <w:szCs w:val="24"/>
              </w:rPr>
              <w:t xml:space="preserve"> in order to gain their views, wishes and feelings</w:t>
            </w:r>
            <w:r w:rsidR="004E3D03" w:rsidRPr="005C4FEE">
              <w:rPr>
                <w:sz w:val="24"/>
                <w:szCs w:val="24"/>
              </w:rPr>
              <w:t>.</w:t>
            </w:r>
            <w:r w:rsidR="00886643" w:rsidRPr="005C4FEE">
              <w:rPr>
                <w:sz w:val="24"/>
                <w:szCs w:val="24"/>
              </w:rPr>
              <w:t xml:space="preserve"> Whilst the “what matters” conversation is specifically anchored in the S</w:t>
            </w:r>
            <w:r w:rsidR="00133B5B">
              <w:rPr>
                <w:sz w:val="24"/>
                <w:szCs w:val="24"/>
              </w:rPr>
              <w:t>SWBA</w:t>
            </w:r>
            <w:r w:rsidR="00F53C86">
              <w:rPr>
                <w:sz w:val="24"/>
                <w:szCs w:val="24"/>
              </w:rPr>
              <w:t xml:space="preserve"> (2014)</w:t>
            </w:r>
            <w:r w:rsidR="00886643" w:rsidRPr="005C4FEE">
              <w:rPr>
                <w:sz w:val="24"/>
                <w:szCs w:val="24"/>
              </w:rPr>
              <w:t xml:space="preserve">, it aligns with broader legal frameworks including the Well-being of Future Generations Act as it </w:t>
            </w:r>
            <w:r w:rsidR="003C5D6A" w:rsidRPr="005C4FEE">
              <w:rPr>
                <w:sz w:val="24"/>
                <w:szCs w:val="24"/>
              </w:rPr>
              <w:t xml:space="preserve">ensures local authorities are working in an outcome focused, person centred way following the WFG Act’s “Ways of Working” which include involvement, long-term integration and prevention, focusing on improving wellbeing. To achieve a good “what </w:t>
            </w:r>
            <w:r w:rsidR="00ED1520">
              <w:rPr>
                <w:sz w:val="24"/>
                <w:szCs w:val="24"/>
              </w:rPr>
              <w:t>m</w:t>
            </w:r>
            <w:r w:rsidR="003C5D6A" w:rsidRPr="005C4FEE">
              <w:rPr>
                <w:sz w:val="24"/>
                <w:szCs w:val="24"/>
              </w:rPr>
              <w:t>atters conversation</w:t>
            </w:r>
            <w:r w:rsidR="00ED1520">
              <w:rPr>
                <w:sz w:val="24"/>
                <w:szCs w:val="24"/>
              </w:rPr>
              <w:t>”</w:t>
            </w:r>
            <w:r w:rsidR="003C5D6A" w:rsidRPr="005C4FEE">
              <w:rPr>
                <w:sz w:val="24"/>
                <w:szCs w:val="24"/>
              </w:rPr>
              <w:t>, it can be argued that professional curiosity is needed to ensure the conversation focuses on the indivi</w:t>
            </w:r>
            <w:r w:rsidR="004D5ECE" w:rsidRPr="005C4FEE">
              <w:rPr>
                <w:sz w:val="24"/>
                <w:szCs w:val="24"/>
              </w:rPr>
              <w:t>dual’s views, wish</w:t>
            </w:r>
            <w:r w:rsidR="00ED1520">
              <w:rPr>
                <w:sz w:val="24"/>
                <w:szCs w:val="24"/>
              </w:rPr>
              <w:t>es</w:t>
            </w:r>
            <w:r w:rsidR="004D5ECE" w:rsidRPr="005C4FEE">
              <w:rPr>
                <w:sz w:val="24"/>
                <w:szCs w:val="24"/>
              </w:rPr>
              <w:t xml:space="preserve"> and feelings but is balanced, safe and thorough</w:t>
            </w:r>
            <w:r w:rsidR="00ED1520">
              <w:rPr>
                <w:sz w:val="24"/>
                <w:szCs w:val="24"/>
              </w:rPr>
              <w:t>,</w:t>
            </w:r>
            <w:r w:rsidR="004D5ECE" w:rsidRPr="005C4FEE">
              <w:rPr>
                <w:sz w:val="24"/>
                <w:szCs w:val="24"/>
              </w:rPr>
              <w:t xml:space="preserve"> meaning the assessment is both person centred and professionally responsible by meeting SSWBA’s requirements of respecting the person’s voice, choice and control and protecting the well-being and ensuring safeguarding where risks are present. </w:t>
            </w:r>
            <w:r w:rsidR="003C5D6A" w:rsidRPr="005C4FEE">
              <w:rPr>
                <w:sz w:val="24"/>
                <w:szCs w:val="24"/>
              </w:rPr>
              <w:t xml:space="preserve"> </w:t>
            </w:r>
            <w:r w:rsidR="004E3D03" w:rsidRPr="005C4FEE">
              <w:rPr>
                <w:sz w:val="24"/>
                <w:szCs w:val="24"/>
              </w:rPr>
              <w:t xml:space="preserve"> The practitioner used professional curiosity to look beyond </w:t>
            </w:r>
            <w:r w:rsidR="00AF3544">
              <w:rPr>
                <w:sz w:val="24"/>
                <w:szCs w:val="24"/>
              </w:rPr>
              <w:t>surface responses</w:t>
            </w:r>
            <w:r w:rsidR="004E3D03" w:rsidRPr="005C4FEE">
              <w:rPr>
                <w:sz w:val="24"/>
                <w:szCs w:val="24"/>
              </w:rPr>
              <w:t xml:space="preserve"> as there was a feeling of the situation not being wholly a true reflection.</w:t>
            </w:r>
            <w:r w:rsidR="004D5ECE" w:rsidRPr="005C4FEE">
              <w:rPr>
                <w:sz w:val="24"/>
                <w:szCs w:val="24"/>
              </w:rPr>
              <w:t xml:space="preserve"> Professional curiosity is critical to spotting signs of neglect or abuse that may otherwise be missed in a person-led conversation. It encourages active listening which includes more than hearing the surface answers provided but taking notice of tone, body language and contradictions between what is being said and the environment or circumstances around.</w:t>
            </w:r>
            <w:r w:rsidR="004E3D03" w:rsidRPr="005C4FEE">
              <w:rPr>
                <w:sz w:val="24"/>
                <w:szCs w:val="24"/>
              </w:rPr>
              <w:t xml:space="preserve"> Professional curiosity is</w:t>
            </w:r>
            <w:r w:rsidR="00B63FEA" w:rsidRPr="005C4FEE">
              <w:rPr>
                <w:sz w:val="24"/>
                <w:szCs w:val="24"/>
              </w:rPr>
              <w:t xml:space="preserve"> explained as exploring and understanding an individual’s situation, life and environment without accepting information at face value or making assumptions. Mitchell (2015) argues that ‘deep expertise’ is required in order to use evidence based practice that underpins legislation, rules and guidance that must be followed when there is a “gut feeling” of something more complex happening. In this case, by taking a holistic approach and building a relationship with Mrs 2, the practitioner sense</w:t>
            </w:r>
            <w:r w:rsidR="00133B5B">
              <w:rPr>
                <w:sz w:val="24"/>
                <w:szCs w:val="24"/>
              </w:rPr>
              <w:t>d</w:t>
            </w:r>
            <w:r w:rsidR="00B63FEA" w:rsidRPr="005C4FEE">
              <w:rPr>
                <w:sz w:val="24"/>
                <w:szCs w:val="24"/>
              </w:rPr>
              <w:t xml:space="preserve"> there was more to her story and arranged for Mrs 2 to meet with her in a neutral location, away from the family home. When Mrs 2 met with the practitioner, she felt she was in a safe space to have an open conversation in which she was able to disclose </w:t>
            </w:r>
            <w:r w:rsidR="00FD780E" w:rsidRPr="005C4FEE">
              <w:rPr>
                <w:sz w:val="24"/>
                <w:szCs w:val="24"/>
              </w:rPr>
              <w:t>she was living with domestic violence.</w:t>
            </w:r>
            <w:r w:rsidR="002C31C1" w:rsidRPr="005C4FEE">
              <w:rPr>
                <w:sz w:val="24"/>
                <w:szCs w:val="24"/>
              </w:rPr>
              <w:t xml:space="preserve"> As Mrs 2 disclosed this information, the practitioner had to have an honest and potentially </w:t>
            </w:r>
            <w:r w:rsidR="002C31C1" w:rsidRPr="005C4FEE">
              <w:rPr>
                <w:sz w:val="24"/>
                <w:szCs w:val="24"/>
              </w:rPr>
              <w:lastRenderedPageBreak/>
              <w:t xml:space="preserve">difficult conversation regarding sharing confidential information due to safeguarding concerns. </w:t>
            </w:r>
            <w:r w:rsidR="004D61E2" w:rsidRPr="005C4FEE">
              <w:rPr>
                <w:sz w:val="24"/>
                <w:szCs w:val="24"/>
              </w:rPr>
              <w:t xml:space="preserve">In situations where there are safeguarding concerns, the duty to protect the individual’s safety and well-being overrides other legislation, including GDPR and confidentiality requirements, allowing relevant information to be shared with appropriate professionals. This information needs to be shared with the individual in an appropriate way for age and understanding as </w:t>
            </w:r>
            <w:proofErr w:type="spellStart"/>
            <w:r w:rsidR="004D61E2" w:rsidRPr="005C4FEE">
              <w:rPr>
                <w:sz w:val="24"/>
                <w:szCs w:val="24"/>
              </w:rPr>
              <w:t>Koprowska</w:t>
            </w:r>
            <w:proofErr w:type="spellEnd"/>
            <w:r w:rsidR="004D61E2" w:rsidRPr="005C4FEE">
              <w:rPr>
                <w:sz w:val="24"/>
                <w:szCs w:val="24"/>
              </w:rPr>
              <w:t xml:space="preserve"> (2014) argues one of the key building blocks for good communication and interpersonal skills is honesty.</w:t>
            </w:r>
            <w:r w:rsidR="00C56536" w:rsidRPr="005C4FEE">
              <w:rPr>
                <w:sz w:val="24"/>
                <w:szCs w:val="24"/>
              </w:rPr>
              <w:t xml:space="preserve"> This could have had a detrimental effect on the positive relationship the practitioner and Mrs 2 had built as trust could potentially been</w:t>
            </w:r>
            <w:r w:rsidR="00133B5B">
              <w:rPr>
                <w:sz w:val="24"/>
                <w:szCs w:val="24"/>
              </w:rPr>
              <w:t xml:space="preserve"> perceived to have been</w:t>
            </w:r>
            <w:r w:rsidR="00C56536" w:rsidRPr="005C4FEE">
              <w:rPr>
                <w:sz w:val="24"/>
                <w:szCs w:val="24"/>
              </w:rPr>
              <w:t xml:space="preserve"> broken. There are many studies where service users have felt let down or untrustworthy towards social services, creating a barrier to </w:t>
            </w:r>
            <w:r w:rsidR="00F42C15" w:rsidRPr="005C4FEE">
              <w:rPr>
                <w:sz w:val="24"/>
                <w:szCs w:val="24"/>
              </w:rPr>
              <w:t xml:space="preserve">working relationship. </w:t>
            </w:r>
            <w:proofErr w:type="spellStart"/>
            <w:r w:rsidR="00F42C15" w:rsidRPr="005C4FEE">
              <w:rPr>
                <w:sz w:val="24"/>
                <w:szCs w:val="24"/>
              </w:rPr>
              <w:t>Bahenia</w:t>
            </w:r>
            <w:proofErr w:type="spellEnd"/>
            <w:r w:rsidR="00F42C15" w:rsidRPr="005C4FEE">
              <w:rPr>
                <w:sz w:val="24"/>
                <w:szCs w:val="24"/>
              </w:rPr>
              <w:t xml:space="preserve"> (2008) argues that initial trust is required to build a relationship but a deeper trust needs to develop for an individual to disclose intimate information. </w:t>
            </w:r>
            <w:r w:rsidR="00AC5995" w:rsidRPr="005C4FEE">
              <w:rPr>
                <w:sz w:val="24"/>
                <w:szCs w:val="24"/>
              </w:rPr>
              <w:t xml:space="preserve">Section 2 of the Codes of Professional Practice (2017) states that social workers must strive to establish and maintain trust although section 3 and 4 state this has to be balanced between ensuring the individuals and others safety and that social workers need to recognise and sensitively use the power the profession has in order to work with individuals. The Codes of </w:t>
            </w:r>
            <w:r w:rsidR="00133B5B">
              <w:rPr>
                <w:sz w:val="24"/>
                <w:szCs w:val="24"/>
              </w:rPr>
              <w:t>P</w:t>
            </w:r>
            <w:r w:rsidR="00AC5995" w:rsidRPr="005C4FEE">
              <w:rPr>
                <w:sz w:val="24"/>
                <w:szCs w:val="24"/>
              </w:rPr>
              <w:t xml:space="preserve">rofessional </w:t>
            </w:r>
            <w:r w:rsidR="00601E68">
              <w:rPr>
                <w:sz w:val="24"/>
                <w:szCs w:val="24"/>
              </w:rPr>
              <w:t>P</w:t>
            </w:r>
            <w:r w:rsidR="00AC5995" w:rsidRPr="005C4FEE">
              <w:rPr>
                <w:sz w:val="24"/>
                <w:szCs w:val="24"/>
              </w:rPr>
              <w:t xml:space="preserve">ractice </w:t>
            </w:r>
            <w:r w:rsidR="00494610">
              <w:rPr>
                <w:sz w:val="24"/>
                <w:szCs w:val="24"/>
              </w:rPr>
              <w:t>places</w:t>
            </w:r>
            <w:r w:rsidR="00AC5995" w:rsidRPr="005C4FEE">
              <w:rPr>
                <w:sz w:val="24"/>
                <w:szCs w:val="24"/>
              </w:rPr>
              <w:t xml:space="preserve"> emphasis on </w:t>
            </w:r>
            <w:r w:rsidR="00FD5477" w:rsidRPr="005C4FEE">
              <w:rPr>
                <w:sz w:val="24"/>
                <w:szCs w:val="24"/>
              </w:rPr>
              <w:t>accountability of the quality of work including good record keeping which is imperative when there are safeguarding concerns.</w:t>
            </w:r>
            <w:r w:rsidR="004D61E2" w:rsidRPr="005C4FEE">
              <w:rPr>
                <w:sz w:val="24"/>
                <w:szCs w:val="24"/>
              </w:rPr>
              <w:t xml:space="preserve"> The Wales Safeguarding Procedures state the need of good record keeping. Using the SOAP model provides a framework for capturing relevant information including subjective; what the individual said, in their own words where possible. Objective which is the factual observations including appearance and environment. The assessment being the professional analysis of the situation including identified risks followed by a plan which identif</w:t>
            </w:r>
            <w:r w:rsidR="00601E68">
              <w:rPr>
                <w:sz w:val="24"/>
                <w:szCs w:val="24"/>
              </w:rPr>
              <w:t xml:space="preserve">ies </w:t>
            </w:r>
            <w:r w:rsidR="004D61E2" w:rsidRPr="005C4FEE">
              <w:rPr>
                <w:sz w:val="24"/>
                <w:szCs w:val="24"/>
              </w:rPr>
              <w:t>the actions needed moving forward</w:t>
            </w:r>
            <w:r w:rsidR="00C56536" w:rsidRPr="005C4FEE">
              <w:rPr>
                <w:sz w:val="24"/>
                <w:szCs w:val="24"/>
              </w:rPr>
              <w:t xml:space="preserve"> (Payne, 2021)</w:t>
            </w:r>
            <w:r w:rsidR="004D61E2" w:rsidRPr="005C4FEE">
              <w:rPr>
                <w:sz w:val="24"/>
                <w:szCs w:val="24"/>
              </w:rPr>
              <w:t xml:space="preserve">. </w:t>
            </w:r>
            <w:r w:rsidR="00C56536" w:rsidRPr="005C4FEE">
              <w:rPr>
                <w:sz w:val="24"/>
                <w:szCs w:val="24"/>
              </w:rPr>
              <w:t xml:space="preserve">Once the practitioner had shared her concerns with Mrs 2 and told her she would have to share the information, the practitioner had to identify whether Mrs </w:t>
            </w:r>
            <w:r w:rsidR="00601E68">
              <w:rPr>
                <w:sz w:val="24"/>
                <w:szCs w:val="24"/>
              </w:rPr>
              <w:t>2</w:t>
            </w:r>
            <w:r w:rsidR="00C56536" w:rsidRPr="005C4FEE">
              <w:rPr>
                <w:sz w:val="24"/>
                <w:szCs w:val="24"/>
              </w:rPr>
              <w:t xml:space="preserve"> was an “adult at risk” and therefore met the safeguarding threshold. </w:t>
            </w:r>
          </w:p>
          <w:p w14:paraId="4965B2B6" w14:textId="52A67F28" w:rsidR="00C56536" w:rsidRPr="005C4FEE" w:rsidRDefault="00C56536" w:rsidP="00FF7EBB">
            <w:pPr>
              <w:jc w:val="both"/>
              <w:rPr>
                <w:sz w:val="24"/>
                <w:szCs w:val="24"/>
              </w:rPr>
            </w:pPr>
            <w:r w:rsidRPr="005C4FEE">
              <w:rPr>
                <w:sz w:val="24"/>
                <w:szCs w:val="24"/>
              </w:rPr>
              <w:t>The S</w:t>
            </w:r>
            <w:r w:rsidR="00601E68">
              <w:rPr>
                <w:sz w:val="24"/>
                <w:szCs w:val="24"/>
              </w:rPr>
              <w:t>SWBA</w:t>
            </w:r>
            <w:r w:rsidRPr="005C4FEE">
              <w:rPr>
                <w:sz w:val="24"/>
                <w:szCs w:val="24"/>
              </w:rPr>
              <w:t xml:space="preserve"> (2014) provides a definition of an adult at risk as being someone </w:t>
            </w:r>
            <w:r w:rsidRPr="005C4FEE">
              <w:rPr>
                <w:rStyle w:val="legds"/>
                <w:color w:val="1E1E1E"/>
                <w:sz w:val="24"/>
                <w:szCs w:val="24"/>
              </w:rPr>
              <w:t xml:space="preserve">who </w:t>
            </w:r>
            <w:r w:rsidRPr="005C4FEE">
              <w:rPr>
                <w:rStyle w:val="legds"/>
                <w:i/>
                <w:color w:val="1E1E1E"/>
                <w:sz w:val="24"/>
                <w:szCs w:val="24"/>
              </w:rPr>
              <w:t>“is experiencing or is at risk of abuse or neglect,</w:t>
            </w:r>
            <w:r w:rsidRPr="005C4FEE">
              <w:rPr>
                <w:i/>
                <w:sz w:val="24"/>
                <w:szCs w:val="24"/>
              </w:rPr>
              <w:t xml:space="preserve"> </w:t>
            </w:r>
            <w:r w:rsidRPr="005C4FEE">
              <w:rPr>
                <w:rStyle w:val="legds"/>
                <w:i/>
                <w:color w:val="1E1E1E"/>
                <w:sz w:val="24"/>
                <w:szCs w:val="24"/>
              </w:rPr>
              <w:t>has needs for care and support (whether or not the authority is meeting any of those needs), and</w:t>
            </w:r>
            <w:r w:rsidRPr="005C4FEE">
              <w:rPr>
                <w:i/>
                <w:sz w:val="24"/>
                <w:szCs w:val="24"/>
              </w:rPr>
              <w:t xml:space="preserve"> </w:t>
            </w:r>
            <w:r w:rsidRPr="005C4FEE">
              <w:rPr>
                <w:rStyle w:val="legds"/>
                <w:i/>
                <w:color w:val="1E1E1E"/>
                <w:sz w:val="24"/>
                <w:szCs w:val="24"/>
              </w:rPr>
              <w:t xml:space="preserve">as a result of those needs is unable to protect himself or herself against the abuse or neglect or the risk of it (SSWBA, 2014)”. </w:t>
            </w:r>
            <w:r w:rsidRPr="005C4FEE">
              <w:rPr>
                <w:sz w:val="24"/>
                <w:szCs w:val="24"/>
              </w:rPr>
              <w:t xml:space="preserve">In Welsh legislation, abuse is recognised in several distinct forms, most clearly set out in the </w:t>
            </w:r>
            <w:r w:rsidRPr="005C4FEE">
              <w:rPr>
                <w:rStyle w:val="Strong"/>
                <w:b w:val="0"/>
                <w:sz w:val="24"/>
                <w:szCs w:val="24"/>
              </w:rPr>
              <w:t>S</w:t>
            </w:r>
            <w:r w:rsidR="00601E68">
              <w:rPr>
                <w:rStyle w:val="Strong"/>
                <w:b w:val="0"/>
                <w:sz w:val="24"/>
                <w:szCs w:val="24"/>
              </w:rPr>
              <w:t>SWBA</w:t>
            </w:r>
            <w:r w:rsidRPr="005C4FEE">
              <w:rPr>
                <w:rStyle w:val="Strong"/>
                <w:b w:val="0"/>
                <w:sz w:val="24"/>
                <w:szCs w:val="24"/>
              </w:rPr>
              <w:t xml:space="preserve"> </w:t>
            </w:r>
            <w:r w:rsidR="00F53C86">
              <w:rPr>
                <w:rStyle w:val="Strong"/>
                <w:b w:val="0"/>
                <w:sz w:val="24"/>
                <w:szCs w:val="24"/>
              </w:rPr>
              <w:t>(</w:t>
            </w:r>
            <w:r w:rsidRPr="005C4FEE">
              <w:rPr>
                <w:rStyle w:val="Strong"/>
                <w:b w:val="0"/>
                <w:sz w:val="24"/>
                <w:szCs w:val="24"/>
              </w:rPr>
              <w:t>2014</w:t>
            </w:r>
            <w:r w:rsidR="00F53C86">
              <w:rPr>
                <w:rStyle w:val="Strong"/>
                <w:b w:val="0"/>
                <w:sz w:val="24"/>
                <w:szCs w:val="24"/>
              </w:rPr>
              <w:t>)</w:t>
            </w:r>
            <w:r w:rsidRPr="005C4FEE">
              <w:rPr>
                <w:sz w:val="24"/>
                <w:szCs w:val="24"/>
              </w:rPr>
              <w:t xml:space="preserve"> and the </w:t>
            </w:r>
            <w:r w:rsidRPr="005C4FEE">
              <w:rPr>
                <w:rStyle w:val="Strong"/>
                <w:b w:val="0"/>
                <w:sz w:val="24"/>
                <w:szCs w:val="24"/>
              </w:rPr>
              <w:t>Violence Against Women, Domestic Abuse and Sexual Violence (Wales) Act 2015</w:t>
            </w:r>
            <w:r w:rsidRPr="005C4FEE">
              <w:rPr>
                <w:b/>
                <w:sz w:val="24"/>
                <w:szCs w:val="24"/>
              </w:rPr>
              <w:t>.</w:t>
            </w:r>
            <w:r w:rsidRPr="005C4FEE">
              <w:rPr>
                <w:sz w:val="24"/>
                <w:szCs w:val="24"/>
              </w:rPr>
              <w:t xml:space="preserve"> SSWBA (2014) states the types of abuse as </w:t>
            </w:r>
            <w:r w:rsidRPr="005C4FEE">
              <w:rPr>
                <w:rStyle w:val="Strong"/>
                <w:b w:val="0"/>
                <w:sz w:val="24"/>
                <w:szCs w:val="24"/>
              </w:rPr>
              <w:t>physical, sexual, psychological, emotional and financial</w:t>
            </w:r>
            <w:r w:rsidRPr="005C4FEE">
              <w:rPr>
                <w:b/>
                <w:sz w:val="24"/>
                <w:szCs w:val="24"/>
              </w:rPr>
              <w:t>,</w:t>
            </w:r>
            <w:r w:rsidRPr="005C4FEE">
              <w:rPr>
                <w:sz w:val="24"/>
                <w:szCs w:val="24"/>
              </w:rPr>
              <w:t xml:space="preserve"> as well as neglect, where an individual’s basic needs are met in a way that harms or risks their well-being. Similarly, the </w:t>
            </w:r>
            <w:r w:rsidRPr="005C4FEE">
              <w:rPr>
                <w:rStyle w:val="Strong"/>
                <w:b w:val="0"/>
                <w:sz w:val="24"/>
                <w:szCs w:val="24"/>
              </w:rPr>
              <w:t>Violence Against Women, Domestic Abuse and Sexual Violence (Wales) Act 2015</w:t>
            </w:r>
            <w:r w:rsidRPr="005C4FEE">
              <w:rPr>
                <w:sz w:val="24"/>
                <w:szCs w:val="24"/>
              </w:rPr>
              <w:t xml:space="preserve"> provides definitions of </w:t>
            </w:r>
            <w:r w:rsidRPr="005C4FEE">
              <w:rPr>
                <w:rStyle w:val="Strong"/>
                <w:b w:val="0"/>
                <w:sz w:val="24"/>
                <w:szCs w:val="24"/>
              </w:rPr>
              <w:t>domestic abuse</w:t>
            </w:r>
            <w:r w:rsidRPr="005C4FEE">
              <w:rPr>
                <w:b/>
                <w:sz w:val="24"/>
                <w:szCs w:val="24"/>
              </w:rPr>
              <w:t xml:space="preserve"> </w:t>
            </w:r>
            <w:r w:rsidRPr="005C4FEE">
              <w:rPr>
                <w:sz w:val="24"/>
                <w:szCs w:val="24"/>
              </w:rPr>
              <w:t>and</w:t>
            </w:r>
            <w:r w:rsidRPr="005C4FEE">
              <w:rPr>
                <w:b/>
                <w:sz w:val="24"/>
                <w:szCs w:val="24"/>
              </w:rPr>
              <w:t xml:space="preserve"> </w:t>
            </w:r>
            <w:r w:rsidRPr="005C4FEE">
              <w:rPr>
                <w:rStyle w:val="Strong"/>
                <w:b w:val="0"/>
                <w:sz w:val="24"/>
                <w:szCs w:val="24"/>
              </w:rPr>
              <w:t>gender-based violence</w:t>
            </w:r>
            <w:r w:rsidRPr="005C4FEE">
              <w:rPr>
                <w:sz w:val="24"/>
                <w:szCs w:val="24"/>
              </w:rPr>
              <w:t>, which</w:t>
            </w:r>
            <w:r w:rsidR="00494610">
              <w:rPr>
                <w:sz w:val="24"/>
                <w:szCs w:val="24"/>
              </w:rPr>
              <w:t xml:space="preserve"> </w:t>
            </w:r>
            <w:r w:rsidRPr="005C4FEE">
              <w:rPr>
                <w:sz w:val="24"/>
                <w:szCs w:val="24"/>
              </w:rPr>
              <w:t>encompass the above, while recognising patterns such as coercive control, harassment, and other forms of domestic violence. These statutory definitions create the foundation for safeguarding and support work across Wales. Part 7 SSWBA (2014) sets out duties for safeguarding adults at risk where such abuse or neglect is suspected. In the case of Mrs 2, the practitioner was confident she was an adult at risk due to experiencing abuse and has a need for care and support which she was unable to protect herself due to those needs.</w:t>
            </w:r>
          </w:p>
          <w:p w14:paraId="5D85D1AC" w14:textId="77777777" w:rsidR="00FD780E" w:rsidRPr="005C4FEE" w:rsidRDefault="00FD780E" w:rsidP="00FF7EBB">
            <w:pPr>
              <w:jc w:val="both"/>
              <w:rPr>
                <w:sz w:val="24"/>
                <w:szCs w:val="24"/>
              </w:rPr>
            </w:pPr>
          </w:p>
          <w:p w14:paraId="71C9A05A" w14:textId="238F5BC9" w:rsidR="00C87CDE" w:rsidRPr="005C4FEE" w:rsidRDefault="00BD2D86" w:rsidP="000208DE">
            <w:pPr>
              <w:pStyle w:val="legclearfix"/>
              <w:shd w:val="clear" w:color="auto" w:fill="FFFFFF"/>
              <w:spacing w:before="0" w:beforeAutospacing="0" w:after="120" w:afterAutospacing="0" w:line="360" w:lineRule="atLeast"/>
              <w:rPr>
                <w:rFonts w:ascii="Arial" w:hAnsi="Arial" w:cs="Arial"/>
                <w:b/>
              </w:rPr>
            </w:pPr>
            <w:r w:rsidRPr="005C4FEE">
              <w:rPr>
                <w:rFonts w:ascii="Arial" w:hAnsi="Arial" w:cs="Arial"/>
              </w:rPr>
              <w:t>As Wales is a devolved nation within the United Kingdom, the legislation is specific to Wales safeguarding</w:t>
            </w:r>
            <w:r w:rsidR="00FD780E" w:rsidRPr="005C4FEE">
              <w:rPr>
                <w:rFonts w:ascii="Arial" w:hAnsi="Arial" w:cs="Arial"/>
              </w:rPr>
              <w:t xml:space="preserve"> law is in Part 7 S</w:t>
            </w:r>
            <w:r w:rsidR="00601E68">
              <w:rPr>
                <w:rFonts w:ascii="Arial" w:hAnsi="Arial" w:cs="Arial"/>
              </w:rPr>
              <w:t xml:space="preserve">SWBA </w:t>
            </w:r>
            <w:r w:rsidR="00FD780E" w:rsidRPr="005C4FEE">
              <w:rPr>
                <w:rFonts w:ascii="Arial" w:hAnsi="Arial" w:cs="Arial"/>
              </w:rPr>
              <w:t>(2014).</w:t>
            </w:r>
            <w:r w:rsidRPr="005C4FEE">
              <w:rPr>
                <w:rFonts w:ascii="Arial" w:hAnsi="Arial" w:cs="Arial"/>
              </w:rPr>
              <w:t xml:space="preserve"> I</w:t>
            </w:r>
            <w:r w:rsidR="00601E68">
              <w:rPr>
                <w:rFonts w:ascii="Arial" w:hAnsi="Arial" w:cs="Arial"/>
              </w:rPr>
              <w:t>n</w:t>
            </w:r>
            <w:r w:rsidRPr="005C4FEE">
              <w:rPr>
                <w:rFonts w:ascii="Arial" w:hAnsi="Arial" w:cs="Arial"/>
              </w:rPr>
              <w:t xml:space="preserve"> England, the key piece of legislation is the </w:t>
            </w:r>
            <w:r w:rsidRPr="005C4FEE">
              <w:rPr>
                <w:rFonts w:ascii="Arial" w:hAnsi="Arial" w:cs="Arial"/>
              </w:rPr>
              <w:lastRenderedPageBreak/>
              <w:t xml:space="preserve">Care Act (2014). This differs from Wales by being law for adults whereby SSWBA (2014) incorporates both children and adults. Scotland’s legislation is Adult Support and Protection (Scotland) Act 2007 which </w:t>
            </w:r>
            <w:r w:rsidR="0007735A" w:rsidRPr="005C4FEE">
              <w:rPr>
                <w:rFonts w:ascii="Arial" w:hAnsi="Arial" w:cs="Arial"/>
              </w:rPr>
              <w:t xml:space="preserve">is broader due to including anyone over the age of 16 with vulnerability due to disability, illness or mental disorder. Unlike Wales, Scotland and England, Northern Ireland has no single adult safeguarding statute, instead operating under policy frameworks, primarily </w:t>
            </w:r>
            <w:r w:rsidR="0007735A" w:rsidRPr="005C4FEE">
              <w:rPr>
                <w:rStyle w:val="Emphasis"/>
                <w:rFonts w:ascii="Arial" w:hAnsi="Arial" w:cs="Arial"/>
              </w:rPr>
              <w:t>Adult Safeguarding: Prevention and Protection in Partnership</w:t>
            </w:r>
            <w:r w:rsidR="0007735A" w:rsidRPr="005C4FEE">
              <w:rPr>
                <w:rFonts w:ascii="Arial" w:hAnsi="Arial" w:cs="Arial"/>
              </w:rPr>
              <w:t xml:space="preserve"> (2015) and the </w:t>
            </w:r>
            <w:r w:rsidR="0007735A" w:rsidRPr="005C4FEE">
              <w:rPr>
                <w:rStyle w:val="Emphasis"/>
                <w:rFonts w:ascii="Arial" w:hAnsi="Arial" w:cs="Arial"/>
              </w:rPr>
              <w:t>Adult Safeguarding: Operational Procedures</w:t>
            </w:r>
            <w:r w:rsidR="0007735A" w:rsidRPr="005C4FEE">
              <w:rPr>
                <w:rFonts w:ascii="Arial" w:hAnsi="Arial" w:cs="Arial"/>
              </w:rPr>
              <w:t xml:space="preserve"> (2016). </w:t>
            </w:r>
            <w:r w:rsidR="005F0E44" w:rsidRPr="005C4FEE">
              <w:rPr>
                <w:rFonts w:ascii="Arial" w:hAnsi="Arial" w:cs="Arial"/>
              </w:rPr>
              <w:t>Based on SWWBA (2014), which sets the legal duties for safeguarding, The</w:t>
            </w:r>
            <w:r w:rsidR="005F0E44" w:rsidRPr="005C4FEE">
              <w:rPr>
                <w:rFonts w:ascii="Arial" w:hAnsi="Arial" w:cs="Arial"/>
                <w:b/>
              </w:rPr>
              <w:t xml:space="preserve"> </w:t>
            </w:r>
            <w:r w:rsidR="005F0E44" w:rsidRPr="005C4FEE">
              <w:rPr>
                <w:rStyle w:val="Strong"/>
                <w:rFonts w:ascii="Arial" w:hAnsi="Arial" w:cs="Arial"/>
                <w:b w:val="0"/>
              </w:rPr>
              <w:t>Wales Safeguarding Procedures (2019)</w:t>
            </w:r>
            <w:r w:rsidR="005F0E44" w:rsidRPr="005C4FEE">
              <w:rPr>
                <w:rFonts w:ascii="Arial" w:hAnsi="Arial" w:cs="Arial"/>
              </w:rPr>
              <w:t xml:space="preserve"> were introduced to provide </w:t>
            </w:r>
            <w:r w:rsidR="005F0E44" w:rsidRPr="005C4FEE">
              <w:rPr>
                <w:rStyle w:val="Strong"/>
                <w:rFonts w:ascii="Arial" w:hAnsi="Arial" w:cs="Arial"/>
                <w:b w:val="0"/>
              </w:rPr>
              <w:t>consistency across Wales with recognising</w:t>
            </w:r>
            <w:r w:rsidR="005F0E44" w:rsidRPr="005C4FEE">
              <w:rPr>
                <w:rStyle w:val="Strong"/>
                <w:rFonts w:ascii="Arial" w:hAnsi="Arial" w:cs="Arial"/>
              </w:rPr>
              <w:t xml:space="preserve"> </w:t>
            </w:r>
            <w:r w:rsidR="005F0E44" w:rsidRPr="005C4FEE">
              <w:rPr>
                <w:rFonts w:ascii="Arial" w:hAnsi="Arial" w:cs="Arial"/>
              </w:rPr>
              <w:t xml:space="preserve">abuse and neglect, </w:t>
            </w:r>
            <w:r w:rsidR="00BF4ADB">
              <w:rPr>
                <w:rFonts w:ascii="Arial" w:hAnsi="Arial" w:cs="Arial"/>
              </w:rPr>
              <w:t>ensuring</w:t>
            </w:r>
            <w:r w:rsidR="005F0E44" w:rsidRPr="005C4FEE">
              <w:rPr>
                <w:rFonts w:ascii="Arial" w:hAnsi="Arial" w:cs="Arial"/>
              </w:rPr>
              <w:t xml:space="preserve"> a consistent approach to referring to safeguarding</w:t>
            </w:r>
            <w:r w:rsidR="00BF4ADB">
              <w:rPr>
                <w:rFonts w:ascii="Arial" w:hAnsi="Arial" w:cs="Arial"/>
              </w:rPr>
              <w:t>,</w:t>
            </w:r>
            <w:r w:rsidR="005F0E44" w:rsidRPr="005C4FEE">
              <w:rPr>
                <w:rFonts w:ascii="Arial" w:hAnsi="Arial" w:cs="Arial"/>
              </w:rPr>
              <w:t xml:space="preserve"> undertaking enquiries and assessments. The procedures put an onus on anyone with concerns </w:t>
            </w:r>
            <w:r w:rsidR="007F264C" w:rsidRPr="005C4FEE">
              <w:rPr>
                <w:rFonts w:ascii="Arial" w:hAnsi="Arial" w:cs="Arial"/>
              </w:rPr>
              <w:t xml:space="preserve">that someone is at risk to refer. These procedures are now available on an application which is easily accessible and regularly updated and are supported by </w:t>
            </w:r>
            <w:r w:rsidR="007F264C" w:rsidRPr="005C4FEE">
              <w:rPr>
                <w:rStyle w:val="Strong"/>
                <w:rFonts w:ascii="Arial" w:hAnsi="Arial" w:cs="Arial"/>
                <w:b w:val="0"/>
              </w:rPr>
              <w:t>Regional Safeguarding Boards</w:t>
            </w:r>
            <w:r w:rsidR="007F264C" w:rsidRPr="005C4FEE">
              <w:rPr>
                <w:rFonts w:ascii="Arial" w:hAnsi="Arial" w:cs="Arial"/>
                <w:b/>
              </w:rPr>
              <w:t>,</w:t>
            </w:r>
            <w:r w:rsidR="007F264C" w:rsidRPr="005C4FEE">
              <w:rPr>
                <w:rFonts w:ascii="Arial" w:hAnsi="Arial" w:cs="Arial"/>
              </w:rPr>
              <w:t xml:space="preserve"> who make sure the procedures are applied in practice.</w:t>
            </w:r>
            <w:r w:rsidR="007F264C" w:rsidRPr="005C4FEE">
              <w:rPr>
                <w:rFonts w:ascii="Arial" w:hAnsi="Arial" w:cs="Arial"/>
                <w:b/>
              </w:rPr>
              <w:t xml:space="preserve"> </w:t>
            </w:r>
            <w:r w:rsidR="0007735A" w:rsidRPr="005C4FEE">
              <w:rPr>
                <w:rFonts w:ascii="Arial" w:hAnsi="Arial" w:cs="Arial"/>
              </w:rPr>
              <w:t xml:space="preserve">Established under </w:t>
            </w:r>
            <w:r w:rsidR="00802CEA" w:rsidRPr="005C4FEE">
              <w:rPr>
                <w:rFonts w:ascii="Arial" w:hAnsi="Arial" w:cs="Arial"/>
              </w:rPr>
              <w:t>SSWBA (</w:t>
            </w:r>
            <w:r w:rsidR="0007735A" w:rsidRPr="005C4FEE">
              <w:rPr>
                <w:rStyle w:val="Emphasis"/>
                <w:rFonts w:ascii="Arial" w:hAnsi="Arial" w:cs="Arial"/>
                <w:i w:val="0"/>
              </w:rPr>
              <w:t>2014</w:t>
            </w:r>
            <w:r w:rsidR="00802CEA" w:rsidRPr="005C4FEE">
              <w:rPr>
                <w:rStyle w:val="Emphasis"/>
                <w:rFonts w:ascii="Arial" w:hAnsi="Arial" w:cs="Arial"/>
                <w:i w:val="0"/>
              </w:rPr>
              <w:t>)</w:t>
            </w:r>
            <w:r w:rsidR="007F264C" w:rsidRPr="005C4FEE">
              <w:rPr>
                <w:rFonts w:ascii="Arial" w:hAnsi="Arial" w:cs="Arial"/>
              </w:rPr>
              <w:t>, R</w:t>
            </w:r>
            <w:r w:rsidR="007F264C" w:rsidRPr="005C4FEE">
              <w:rPr>
                <w:rStyle w:val="Strong"/>
                <w:rFonts w:ascii="Arial" w:hAnsi="Arial" w:cs="Arial"/>
                <w:b w:val="0"/>
              </w:rPr>
              <w:t>egional Safeguarding Boards</w:t>
            </w:r>
            <w:r w:rsidR="007F264C" w:rsidRPr="005C4FEE">
              <w:rPr>
                <w:rFonts w:ascii="Arial" w:hAnsi="Arial" w:cs="Arial"/>
              </w:rPr>
              <w:t xml:space="preserve"> </w:t>
            </w:r>
            <w:r w:rsidR="00802CEA" w:rsidRPr="005C4FEE">
              <w:rPr>
                <w:rFonts w:ascii="Arial" w:hAnsi="Arial" w:cs="Arial"/>
              </w:rPr>
              <w:t xml:space="preserve">are multi-agency statutory partnerships that have a legal duty to protect both </w:t>
            </w:r>
            <w:r w:rsidR="00802CEA" w:rsidRPr="005C4FEE">
              <w:rPr>
                <w:rStyle w:val="Strong"/>
                <w:rFonts w:ascii="Arial" w:hAnsi="Arial" w:cs="Arial"/>
                <w:b w:val="0"/>
              </w:rPr>
              <w:t>children and adults at risk by working collaboratively to develop and implement safeguarding policies and procedures, undertaking practice reviews and ensuring agencies are working together to safeguard people. There are currently six Regional Safeguarding Boards</w:t>
            </w:r>
            <w:r w:rsidR="00802CEA" w:rsidRPr="005C4FEE">
              <w:rPr>
                <w:rFonts w:ascii="Arial" w:hAnsi="Arial" w:cs="Arial"/>
              </w:rPr>
              <w:t xml:space="preserve"> covering different geographical areas in Wales.</w:t>
            </w:r>
            <w:r w:rsidR="005F0E44" w:rsidRPr="005C4FEE">
              <w:rPr>
                <w:rFonts w:ascii="Arial" w:hAnsi="Arial" w:cs="Arial"/>
              </w:rPr>
              <w:t xml:space="preserve"> </w:t>
            </w:r>
            <w:r w:rsidR="007F264C" w:rsidRPr="005C4FEE">
              <w:rPr>
                <w:rFonts w:ascii="Arial" w:hAnsi="Arial" w:cs="Arial"/>
              </w:rPr>
              <w:t xml:space="preserve">There are thresholds which must be met with regards to safeguarding. Clear criteria </w:t>
            </w:r>
            <w:r w:rsidR="00BF4ADB">
              <w:rPr>
                <w:rFonts w:ascii="Arial" w:hAnsi="Arial" w:cs="Arial"/>
              </w:rPr>
              <w:t>are</w:t>
            </w:r>
            <w:r w:rsidR="007F264C" w:rsidRPr="005C4FEE">
              <w:rPr>
                <w:rFonts w:ascii="Arial" w:hAnsi="Arial" w:cs="Arial"/>
              </w:rPr>
              <w:t xml:space="preserve"> essential in safeguarding because they provide a consistent basis for identifying when a person is at risk and requires protection. They ensure that professionals across agencies apply the same standards, help to establish the legal threshold for intervention and allow resources to be directed to those most in need. Criteria protect</w:t>
            </w:r>
            <w:r w:rsidR="00494610">
              <w:rPr>
                <w:rFonts w:ascii="Arial" w:hAnsi="Arial" w:cs="Arial"/>
              </w:rPr>
              <w:t>s</w:t>
            </w:r>
            <w:r w:rsidR="007F264C" w:rsidRPr="005C4FEE">
              <w:rPr>
                <w:rFonts w:ascii="Arial" w:hAnsi="Arial" w:cs="Arial"/>
              </w:rPr>
              <w:t xml:space="preserve"> individuals’ rights by making sure that safeguarding actions are justified and proportionate, while reducing the risk that abuse or neglect is overlooked. For example, the </w:t>
            </w:r>
            <w:r w:rsidR="007F264C" w:rsidRPr="005C4FEE">
              <w:rPr>
                <w:rStyle w:val="Emphasis"/>
                <w:rFonts w:ascii="Arial" w:hAnsi="Arial" w:cs="Arial"/>
              </w:rPr>
              <w:t>S</w:t>
            </w:r>
            <w:r w:rsidR="00BF4ADB">
              <w:rPr>
                <w:rStyle w:val="Emphasis"/>
                <w:rFonts w:ascii="Arial" w:hAnsi="Arial" w:cs="Arial"/>
              </w:rPr>
              <w:t>SWBA</w:t>
            </w:r>
            <w:r w:rsidR="007F264C" w:rsidRPr="005C4FEE">
              <w:rPr>
                <w:rStyle w:val="Emphasis"/>
                <w:rFonts w:ascii="Arial" w:hAnsi="Arial" w:cs="Arial"/>
              </w:rPr>
              <w:t xml:space="preserve"> </w:t>
            </w:r>
            <w:r w:rsidR="00F53C86">
              <w:rPr>
                <w:rStyle w:val="Emphasis"/>
                <w:rFonts w:ascii="Arial" w:hAnsi="Arial" w:cs="Arial"/>
              </w:rPr>
              <w:t>(</w:t>
            </w:r>
            <w:r w:rsidR="007F264C" w:rsidRPr="005C4FEE">
              <w:rPr>
                <w:rStyle w:val="Emphasis"/>
                <w:rFonts w:ascii="Arial" w:hAnsi="Arial" w:cs="Arial"/>
              </w:rPr>
              <w:t>2014</w:t>
            </w:r>
            <w:r w:rsidR="00F53C86">
              <w:rPr>
                <w:rStyle w:val="Emphasis"/>
                <w:rFonts w:ascii="Arial" w:hAnsi="Arial" w:cs="Arial"/>
              </w:rPr>
              <w:t>)</w:t>
            </w:r>
            <w:r w:rsidR="007F264C" w:rsidRPr="005C4FEE">
              <w:rPr>
                <w:rFonts w:ascii="Arial" w:hAnsi="Arial" w:cs="Arial"/>
              </w:rPr>
              <w:t xml:space="preserve"> sets out statutory criteria for determining when an adult or child is considered “at risk” and in need of safeguarding intervention (National Assembly for Wales, 2014</w:t>
            </w:r>
            <w:r w:rsidR="00FD5477" w:rsidRPr="005C4FEE">
              <w:rPr>
                <w:rFonts w:ascii="Arial" w:hAnsi="Arial" w:cs="Arial"/>
              </w:rPr>
              <w:t>). The</w:t>
            </w:r>
            <w:r w:rsidR="00C87CDE" w:rsidRPr="005C4FEE">
              <w:rPr>
                <w:rFonts w:ascii="Arial" w:hAnsi="Arial" w:cs="Arial"/>
              </w:rPr>
              <w:t xml:space="preserve"> practitioner involved identified her competence within her role and due to the increasingly complexity of the situation, requested </w:t>
            </w:r>
            <w:r w:rsidR="00BF4ADB">
              <w:rPr>
                <w:rFonts w:ascii="Arial" w:hAnsi="Arial" w:cs="Arial"/>
              </w:rPr>
              <w:t xml:space="preserve">a </w:t>
            </w:r>
            <w:r w:rsidR="00C87CDE" w:rsidRPr="005C4FEE">
              <w:rPr>
                <w:rFonts w:ascii="Arial" w:hAnsi="Arial" w:cs="Arial"/>
              </w:rPr>
              <w:t>Social Work</w:t>
            </w:r>
            <w:r w:rsidR="00BF4ADB">
              <w:rPr>
                <w:rFonts w:ascii="Arial" w:hAnsi="Arial" w:cs="Arial"/>
              </w:rPr>
              <w:t>er to provide</w:t>
            </w:r>
            <w:r w:rsidR="00C87CDE" w:rsidRPr="005C4FEE">
              <w:rPr>
                <w:rFonts w:ascii="Arial" w:hAnsi="Arial" w:cs="Arial"/>
              </w:rPr>
              <w:t xml:space="preserve"> support. I was then allocated</w:t>
            </w:r>
            <w:r w:rsidR="00BF4ADB">
              <w:rPr>
                <w:rFonts w:ascii="Arial" w:hAnsi="Arial" w:cs="Arial"/>
              </w:rPr>
              <w:t xml:space="preserve"> to co-work</w:t>
            </w:r>
            <w:r w:rsidR="00C87CDE" w:rsidRPr="005C4FEE">
              <w:rPr>
                <w:rFonts w:ascii="Arial" w:hAnsi="Arial" w:cs="Arial"/>
              </w:rPr>
              <w:t xml:space="preserve"> the case. </w:t>
            </w:r>
          </w:p>
          <w:p w14:paraId="5F1999F9" w14:textId="64C58306" w:rsidR="00AB4E63" w:rsidRPr="005C4FEE" w:rsidRDefault="00AB4E63" w:rsidP="000208DE">
            <w:pPr>
              <w:pStyle w:val="legclearfix"/>
              <w:shd w:val="clear" w:color="auto" w:fill="FFFFFF"/>
              <w:spacing w:before="0" w:beforeAutospacing="0" w:after="120" w:afterAutospacing="0" w:line="360" w:lineRule="atLeast"/>
              <w:rPr>
                <w:rFonts w:ascii="Arial" w:hAnsi="Arial" w:cs="Arial"/>
              </w:rPr>
            </w:pPr>
            <w:r w:rsidRPr="005C4FEE">
              <w:rPr>
                <w:rFonts w:ascii="Arial" w:hAnsi="Arial" w:cs="Arial"/>
              </w:rPr>
              <w:t xml:space="preserve">Mrs 2 had made the decision to move out of the family home as she did not feel safe. Due to the disclosure of domestic violence, Mrs 2 was offered advocacy </w:t>
            </w:r>
            <w:r w:rsidR="004434E2" w:rsidRPr="005C4FEE">
              <w:rPr>
                <w:rFonts w:ascii="Arial" w:hAnsi="Arial" w:cs="Arial"/>
              </w:rPr>
              <w:t xml:space="preserve">to ensure her voice was heard, empowering her to </w:t>
            </w:r>
            <w:r w:rsidR="003F6ACA" w:rsidRPr="005C4FEE">
              <w:rPr>
                <w:rFonts w:ascii="Arial" w:hAnsi="Arial" w:cs="Arial"/>
              </w:rPr>
              <w:t xml:space="preserve">take control of her own wellbeing outcomes. Initially, Mrs 2 was reluctant to contact the police as she felt overwhelmed with all the changes. Roberts (2005) highlighted a framework to support practitioners when working with people in crisis in order </w:t>
            </w:r>
            <w:r w:rsidR="003F6ACA" w:rsidRPr="005C4FEE">
              <w:rPr>
                <w:rFonts w:ascii="Arial" w:hAnsi="Arial" w:cs="Arial"/>
              </w:rPr>
              <w:lastRenderedPageBreak/>
              <w:t xml:space="preserve">to support individuals to regain control of their lives (Maclean, 2020). Through establishing a rapport and engaging </w:t>
            </w:r>
            <w:r w:rsidR="000C462C" w:rsidRPr="005C4FEE">
              <w:rPr>
                <w:rFonts w:ascii="Arial" w:hAnsi="Arial" w:cs="Arial"/>
              </w:rPr>
              <w:t>her in active dialogue in a safe environment, we were able to explore her anxieties and current situation and consider changes needed to improve her situation. From this we were able to agree an action plan which included being supported to speak with Police and agree</w:t>
            </w:r>
            <w:r w:rsidR="00BF4ADB">
              <w:rPr>
                <w:rFonts w:ascii="Arial" w:hAnsi="Arial" w:cs="Arial"/>
              </w:rPr>
              <w:t>ment</w:t>
            </w:r>
            <w:r w:rsidR="000C462C" w:rsidRPr="005C4FEE">
              <w:rPr>
                <w:rFonts w:ascii="Arial" w:hAnsi="Arial" w:cs="Arial"/>
              </w:rPr>
              <w:t xml:space="preserve"> to a safeguarding referral. </w:t>
            </w:r>
          </w:p>
          <w:p w14:paraId="7434DA44" w14:textId="7D96F858" w:rsidR="006B1396" w:rsidRPr="005C4FEE" w:rsidRDefault="000C462C" w:rsidP="000208DE">
            <w:pPr>
              <w:pStyle w:val="legclearfix"/>
              <w:shd w:val="clear" w:color="auto" w:fill="FFFFFF"/>
              <w:spacing w:before="0" w:beforeAutospacing="0" w:after="120" w:afterAutospacing="0" w:line="360" w:lineRule="atLeast"/>
              <w:rPr>
                <w:rFonts w:ascii="Arial" w:hAnsi="Arial" w:cs="Arial"/>
              </w:rPr>
            </w:pPr>
            <w:r w:rsidRPr="005C4FEE">
              <w:rPr>
                <w:rFonts w:ascii="Arial" w:hAnsi="Arial" w:cs="Arial"/>
              </w:rPr>
              <w:t xml:space="preserve">When working with adults, SSWBA </w:t>
            </w:r>
            <w:r w:rsidR="00F53C86">
              <w:rPr>
                <w:rFonts w:ascii="Arial" w:hAnsi="Arial" w:cs="Arial"/>
              </w:rPr>
              <w:t>(</w:t>
            </w:r>
            <w:r w:rsidR="00AF3544">
              <w:rPr>
                <w:rFonts w:ascii="Arial" w:hAnsi="Arial" w:cs="Arial"/>
              </w:rPr>
              <w:t>2014</w:t>
            </w:r>
            <w:r w:rsidR="00F53C86">
              <w:rPr>
                <w:rFonts w:ascii="Arial" w:hAnsi="Arial" w:cs="Arial"/>
              </w:rPr>
              <w:t>)</w:t>
            </w:r>
            <w:r w:rsidR="00AF3544">
              <w:rPr>
                <w:rFonts w:ascii="Arial" w:hAnsi="Arial" w:cs="Arial"/>
              </w:rPr>
              <w:t xml:space="preserve"> </w:t>
            </w:r>
            <w:r w:rsidRPr="005C4FEE">
              <w:rPr>
                <w:rFonts w:ascii="Arial" w:hAnsi="Arial" w:cs="Arial"/>
              </w:rPr>
              <w:t xml:space="preserve">states that everyone has a duty to report a safeguarding concern but consent is needed to investigate. In the case of Mrs 2, there were no concerns regarding her mental capacity to make the decision with regards to her current situation and therefore consent had to be obtained. If, however, capacity was questioned, an assessment would need to be completed with regards to the specific decision that was needed to be made in relation to safeguarding. The Mental Capacity Act (2005) sets out five core principles that guide when exploring capacity and decision making. These principles are; the presumption of capacity, support to make decisions, the right to make unwise decisions, best interest and least restrictive. These principles have been designed to promote and protect people’s human rights </w:t>
            </w:r>
            <w:r w:rsidR="00771763" w:rsidRPr="005C4FEE">
              <w:rPr>
                <w:rFonts w:ascii="Arial" w:hAnsi="Arial" w:cs="Arial"/>
              </w:rPr>
              <w:t>under the Human Rights Act (1998) for example, Article 8, the right to private and family life is upheld throughout the principles, but most strongly with the presumption of capacity and the right to make unwise decisions. Respecting autonomy and assuming capacity upholds the right to make personal choices without unjust interference. The Articles in the Human Rights Act are not all absolute and some rights can be restricted in order to protect, these rights are limited or qualified. Exploring Article 8, this is a qualified right which means it can be balanced against other rights or public interests</w:t>
            </w:r>
            <w:r w:rsidR="00AC73BA" w:rsidRPr="005C4FEE">
              <w:rPr>
                <w:rFonts w:ascii="Arial" w:hAnsi="Arial" w:cs="Arial"/>
              </w:rPr>
              <w:t xml:space="preserve">, therefore, if someone was deemed to lack capacity and were at risk of abuse, Article 3, prohibition of inhuman or degrading treatment is an absolute right that cannot be limited and must be upheld meaning the state has a duty to protect the individual even if they cannot make that decision themselves. This means Article 8 may be restricted to ensure safety by making a best interest decision. </w:t>
            </w:r>
            <w:r w:rsidR="00745D03" w:rsidRPr="005C4FEE">
              <w:rPr>
                <w:rFonts w:ascii="Arial" w:hAnsi="Arial" w:cs="Arial"/>
              </w:rPr>
              <w:t xml:space="preserve">This is where professional judgement is required along with gathering as much information as possible of the situation and the person’s wishes and feelings in order to make a best interest decision which may restrict or remove someone’s rights and choices. Maclean (2020) argues that Social </w:t>
            </w:r>
            <w:r w:rsidR="00AF3544">
              <w:rPr>
                <w:rFonts w:ascii="Arial" w:hAnsi="Arial" w:cs="Arial"/>
              </w:rPr>
              <w:t>W</w:t>
            </w:r>
            <w:r w:rsidR="00745D03" w:rsidRPr="005C4FEE">
              <w:rPr>
                <w:rFonts w:ascii="Arial" w:hAnsi="Arial" w:cs="Arial"/>
              </w:rPr>
              <w:t>o</w:t>
            </w:r>
            <w:r w:rsidR="006B1396" w:rsidRPr="005C4FEE">
              <w:rPr>
                <w:rFonts w:ascii="Arial" w:hAnsi="Arial" w:cs="Arial"/>
              </w:rPr>
              <w:t>rkers have significant power which can reduce individual’s “power to” due to oppression so even if someone’s ability to make changes or decisions is impaired, social workers should be working collaboratively to share the power balance and ensure the individual’s voice remains at the forefront throughout.</w:t>
            </w:r>
          </w:p>
          <w:p w14:paraId="2AA669BA" w14:textId="6473CF51" w:rsidR="00FD5477" w:rsidRPr="005C4FEE" w:rsidRDefault="006B1396" w:rsidP="00BA71B6">
            <w:pPr>
              <w:overflowPunct/>
              <w:autoSpaceDE/>
              <w:autoSpaceDN/>
              <w:adjustRightInd/>
              <w:spacing w:before="100" w:beforeAutospacing="1" w:after="100" w:afterAutospacing="1"/>
              <w:textAlignment w:val="auto"/>
              <w:rPr>
                <w:sz w:val="24"/>
                <w:szCs w:val="24"/>
              </w:rPr>
            </w:pPr>
            <w:r w:rsidRPr="005C4FEE">
              <w:rPr>
                <w:sz w:val="24"/>
                <w:szCs w:val="24"/>
              </w:rPr>
              <w:t xml:space="preserve">As Mrs 2 consented to police involvement and a safeguarding referral, we were able to move forward with the process. A safeguarding referral was completed and with family </w:t>
            </w:r>
            <w:r w:rsidRPr="005C4FEE">
              <w:rPr>
                <w:sz w:val="24"/>
                <w:szCs w:val="24"/>
              </w:rPr>
              <w:lastRenderedPageBreak/>
              <w:t>support, Mrs 2 contacted the police. To ensure Mrs</w:t>
            </w:r>
            <w:r w:rsidR="00032218" w:rsidRPr="005C4FEE">
              <w:rPr>
                <w:sz w:val="24"/>
                <w:szCs w:val="24"/>
              </w:rPr>
              <w:t xml:space="preserve"> </w:t>
            </w:r>
            <w:r w:rsidRPr="005C4FEE">
              <w:rPr>
                <w:sz w:val="24"/>
                <w:szCs w:val="24"/>
              </w:rPr>
              <w:t>2’s safety, we worked together to identify a respite property and were able to source c</w:t>
            </w:r>
            <w:r w:rsidR="00032218" w:rsidRPr="005C4FEE">
              <w:rPr>
                <w:sz w:val="24"/>
                <w:szCs w:val="24"/>
              </w:rPr>
              <w:t>are</w:t>
            </w:r>
            <w:r w:rsidR="00BA71B6" w:rsidRPr="005C4FEE">
              <w:rPr>
                <w:sz w:val="24"/>
                <w:szCs w:val="24"/>
              </w:rPr>
              <w:t xml:space="preserve"> so Mrs 2 had a safe space with daily input from carers to meet her outcomes</w:t>
            </w:r>
            <w:r w:rsidR="00032218" w:rsidRPr="005C4FEE">
              <w:rPr>
                <w:sz w:val="24"/>
                <w:szCs w:val="24"/>
              </w:rPr>
              <w:t xml:space="preserve">. </w:t>
            </w:r>
            <w:r w:rsidR="00C7759E" w:rsidRPr="005C4FEE">
              <w:rPr>
                <w:sz w:val="24"/>
                <w:szCs w:val="24"/>
              </w:rPr>
              <w:t xml:space="preserve">Following the Wales Safeguarding </w:t>
            </w:r>
            <w:r w:rsidR="00BF4ADB">
              <w:rPr>
                <w:sz w:val="24"/>
                <w:szCs w:val="24"/>
              </w:rPr>
              <w:t>P</w:t>
            </w:r>
            <w:r w:rsidR="00C7759E" w:rsidRPr="005C4FEE">
              <w:rPr>
                <w:sz w:val="24"/>
                <w:szCs w:val="24"/>
              </w:rPr>
              <w:t xml:space="preserve">rocedures, </w:t>
            </w:r>
            <w:r w:rsidR="00BA71B6" w:rsidRPr="005C4FEE">
              <w:rPr>
                <w:sz w:val="24"/>
                <w:szCs w:val="24"/>
              </w:rPr>
              <w:t>we were able to establish that immediate action was necessary to ensure Mrs 2 was safe from harm along with identifying there was a possible criminal offence that required the input of the police.</w:t>
            </w:r>
            <w:r w:rsidR="00FD5477" w:rsidRPr="005C4FEE">
              <w:rPr>
                <w:sz w:val="24"/>
                <w:szCs w:val="24"/>
              </w:rPr>
              <w:t xml:space="preserve"> Due to </w:t>
            </w:r>
            <w:r w:rsidR="00BF4ADB">
              <w:rPr>
                <w:sz w:val="24"/>
                <w:szCs w:val="24"/>
              </w:rPr>
              <w:t>alleged</w:t>
            </w:r>
            <w:r w:rsidR="00FD5477" w:rsidRPr="005C4FEE">
              <w:rPr>
                <w:sz w:val="24"/>
                <w:szCs w:val="24"/>
              </w:rPr>
              <w:t xml:space="preserve"> domestic abuse, there was further legislation which needed to be considered when working with Mrs 2, namely the Violence Against Women, Domestic Abuse and Sexual Violence (Wales) Act (2015).</w:t>
            </w:r>
          </w:p>
          <w:p w14:paraId="4D32C455" w14:textId="4388FEC7" w:rsidR="00FD5477" w:rsidRPr="005C4FEE" w:rsidRDefault="00FD5477" w:rsidP="00FD5477">
            <w:pPr>
              <w:overflowPunct/>
              <w:autoSpaceDE/>
              <w:autoSpaceDN/>
              <w:adjustRightInd/>
              <w:spacing w:before="100" w:beforeAutospacing="1" w:after="100" w:afterAutospacing="1"/>
              <w:textAlignment w:val="auto"/>
              <w:rPr>
                <w:b/>
                <w:color w:val="37394C"/>
                <w:sz w:val="24"/>
                <w:szCs w:val="24"/>
              </w:rPr>
            </w:pPr>
            <w:r w:rsidRPr="005C4FEE">
              <w:rPr>
                <w:sz w:val="24"/>
                <w:szCs w:val="24"/>
              </w:rPr>
              <w:t>The Violence Against Women, Domestic Abuse and Sexual Violence (Wales) Act 2015 is a landmark piece of legislation</w:t>
            </w:r>
            <w:r w:rsidR="00BF4ADB">
              <w:rPr>
                <w:sz w:val="24"/>
                <w:szCs w:val="24"/>
              </w:rPr>
              <w:t xml:space="preserve">, </w:t>
            </w:r>
            <w:r w:rsidRPr="005C4FEE">
              <w:rPr>
                <w:sz w:val="24"/>
                <w:szCs w:val="24"/>
              </w:rPr>
              <w:t>the first of its kind in the United Kingdom that specifically addresses violence against women (</w:t>
            </w:r>
            <w:proofErr w:type="spellStart"/>
            <w:r w:rsidRPr="005C4FEE">
              <w:rPr>
                <w:sz w:val="24"/>
                <w:szCs w:val="24"/>
              </w:rPr>
              <w:t>Jurasz</w:t>
            </w:r>
            <w:proofErr w:type="spellEnd"/>
            <w:r w:rsidRPr="005C4FEE">
              <w:rPr>
                <w:sz w:val="24"/>
                <w:szCs w:val="24"/>
              </w:rPr>
              <w:t>, 2018). This legislation’s purpose is to improve public sector response to the prevention of acts of gender-based and sexual violence, domestic abuse and the protection of victims and support of those affected. The S</w:t>
            </w:r>
            <w:r w:rsidR="00BF4ADB">
              <w:rPr>
                <w:sz w:val="24"/>
                <w:szCs w:val="24"/>
              </w:rPr>
              <w:t>SWBA</w:t>
            </w:r>
            <w:r w:rsidRPr="005C4FEE">
              <w:rPr>
                <w:sz w:val="24"/>
                <w:szCs w:val="24"/>
              </w:rPr>
              <w:t xml:space="preserve"> (2014) sets out a broad legal duty on local authorities to assess care and support needs, promote well-being, and protect adults and children at risk, including from abuse. The VAWDASV Act complements this by setting out specific responsibilities for addressing violence against women, domestic abuse, and sexual violence, including multi-agency collaboration, local strategies, and the provision of specialist services. In practice, this means that when someone is at risk of domestic abuse, social services can assess their care needs, provide advocacy, and plan support under the S</w:t>
            </w:r>
            <w:r w:rsidR="00A01D88">
              <w:rPr>
                <w:sz w:val="24"/>
                <w:szCs w:val="24"/>
              </w:rPr>
              <w:t>SWBA</w:t>
            </w:r>
            <w:r w:rsidR="00AF3544">
              <w:rPr>
                <w:sz w:val="24"/>
                <w:szCs w:val="24"/>
              </w:rPr>
              <w:t xml:space="preserve"> </w:t>
            </w:r>
            <w:r w:rsidR="00F53C86">
              <w:rPr>
                <w:sz w:val="24"/>
                <w:szCs w:val="24"/>
              </w:rPr>
              <w:t>(</w:t>
            </w:r>
            <w:r w:rsidR="00AF3544">
              <w:rPr>
                <w:sz w:val="24"/>
                <w:szCs w:val="24"/>
              </w:rPr>
              <w:t>2014</w:t>
            </w:r>
            <w:r w:rsidR="00F53C86">
              <w:rPr>
                <w:sz w:val="24"/>
                <w:szCs w:val="24"/>
              </w:rPr>
              <w:t>)</w:t>
            </w:r>
            <w:r w:rsidRPr="005C4FEE">
              <w:rPr>
                <w:sz w:val="24"/>
                <w:szCs w:val="24"/>
              </w:rPr>
              <w:t>, while simultaneously engaging specialist domestic abuse services, following a multi-agency approach. This is needed as the Office for National Statistics have identified that in 2024, 4.8% of adults aged 16 or over in Wales experienced domestic abuse (ONS) although it is acknowledged that all forms of domestic abuse, but especially abuse against older women is widely unreported or recorded (</w:t>
            </w:r>
            <w:proofErr w:type="spellStart"/>
            <w:r w:rsidRPr="005C4FEE">
              <w:rPr>
                <w:sz w:val="24"/>
                <w:szCs w:val="24"/>
              </w:rPr>
              <w:t>Allcock</w:t>
            </w:r>
            <w:proofErr w:type="spellEnd"/>
            <w:r w:rsidRPr="005C4FEE">
              <w:rPr>
                <w:sz w:val="24"/>
                <w:szCs w:val="24"/>
              </w:rPr>
              <w:t xml:space="preserve">, 2018). </w:t>
            </w:r>
            <w:proofErr w:type="spellStart"/>
            <w:r w:rsidRPr="005C4FEE">
              <w:rPr>
                <w:sz w:val="24"/>
                <w:szCs w:val="24"/>
              </w:rPr>
              <w:t>Allcock</w:t>
            </w:r>
            <w:proofErr w:type="spellEnd"/>
            <w:r w:rsidRPr="005C4FEE">
              <w:rPr>
                <w:sz w:val="24"/>
                <w:szCs w:val="24"/>
              </w:rPr>
              <w:t xml:space="preserve"> (2018) provides some potential barriers to why older women </w:t>
            </w:r>
            <w:r w:rsidR="00A01D88">
              <w:rPr>
                <w:sz w:val="24"/>
                <w:szCs w:val="24"/>
              </w:rPr>
              <w:t xml:space="preserve">don’t </w:t>
            </w:r>
            <w:r w:rsidRPr="005C4FEE">
              <w:rPr>
                <w:sz w:val="24"/>
                <w:szCs w:val="24"/>
              </w:rPr>
              <w:t xml:space="preserve">seek help including a lack of faith in authorities, expectations around marriage, a degree of acceptance surrounding domestic abuse and it being taboo to discuss private home life. Having knowledge on this allows social workers to use good communication skills to build trust and rapport in a safe environment to allow individuals to talk freely. </w:t>
            </w:r>
            <w:proofErr w:type="spellStart"/>
            <w:r w:rsidRPr="005C4FEE">
              <w:rPr>
                <w:sz w:val="24"/>
                <w:szCs w:val="24"/>
              </w:rPr>
              <w:t>Koprowska</w:t>
            </w:r>
            <w:proofErr w:type="spellEnd"/>
            <w:r w:rsidRPr="005C4FEE">
              <w:rPr>
                <w:sz w:val="24"/>
                <w:szCs w:val="24"/>
              </w:rPr>
              <w:t xml:space="preserve"> (2014) argues that having interpersonal skills such as sharing information, developing a shared understanding, maximising choice and control, demonstrating respect, honesty and reliability will create good working relationships allowing for better conversations and the individual being more engaged in communication. </w:t>
            </w:r>
            <w:r w:rsidR="00835E00" w:rsidRPr="005C4FEE">
              <w:rPr>
                <w:sz w:val="24"/>
                <w:szCs w:val="24"/>
              </w:rPr>
              <w:t xml:space="preserve">Throughout the safeguarding referral process, I ensured Mrs 2 was fully informed of the process and was involved in shaping what she wanted to happen moving forward. </w:t>
            </w:r>
          </w:p>
          <w:p w14:paraId="2FA2E0D3" w14:textId="2C7C3971" w:rsidR="00BA71B6" w:rsidRPr="005C4FEE" w:rsidRDefault="00835E00" w:rsidP="00BA71B6">
            <w:pPr>
              <w:overflowPunct/>
              <w:autoSpaceDE/>
              <w:autoSpaceDN/>
              <w:adjustRightInd/>
              <w:spacing w:before="100" w:beforeAutospacing="1" w:after="100" w:afterAutospacing="1"/>
              <w:textAlignment w:val="auto"/>
              <w:rPr>
                <w:sz w:val="24"/>
                <w:szCs w:val="24"/>
              </w:rPr>
            </w:pPr>
            <w:r w:rsidRPr="005C4FEE">
              <w:rPr>
                <w:sz w:val="24"/>
                <w:szCs w:val="24"/>
              </w:rPr>
              <w:t>W</w:t>
            </w:r>
            <w:r w:rsidR="00BA71B6" w:rsidRPr="005C4FEE">
              <w:rPr>
                <w:sz w:val="24"/>
                <w:szCs w:val="24"/>
              </w:rPr>
              <w:t xml:space="preserve">hilst awaiting enquiries to be made from the </w:t>
            </w:r>
            <w:r w:rsidR="00A01D88">
              <w:rPr>
                <w:sz w:val="24"/>
                <w:szCs w:val="24"/>
              </w:rPr>
              <w:t>S</w:t>
            </w:r>
            <w:r w:rsidR="00BA71B6" w:rsidRPr="005C4FEE">
              <w:rPr>
                <w:sz w:val="24"/>
                <w:szCs w:val="24"/>
              </w:rPr>
              <w:t xml:space="preserve">afeguarding </w:t>
            </w:r>
            <w:r w:rsidR="00A01D88">
              <w:rPr>
                <w:sz w:val="24"/>
                <w:szCs w:val="24"/>
              </w:rPr>
              <w:t>T</w:t>
            </w:r>
            <w:r w:rsidR="00BA71B6" w:rsidRPr="005C4FEE">
              <w:rPr>
                <w:sz w:val="24"/>
                <w:szCs w:val="24"/>
              </w:rPr>
              <w:t>eam</w:t>
            </w:r>
            <w:r w:rsidR="006916A1">
              <w:rPr>
                <w:sz w:val="24"/>
                <w:szCs w:val="24"/>
              </w:rPr>
              <w:t>, w</w:t>
            </w:r>
            <w:r w:rsidRPr="005C4FEE">
              <w:rPr>
                <w:sz w:val="24"/>
                <w:szCs w:val="24"/>
              </w:rPr>
              <w:t>e continued with safeguarding Mrs 2</w:t>
            </w:r>
            <w:r w:rsidR="00BA71B6" w:rsidRPr="005C4FEE">
              <w:rPr>
                <w:sz w:val="24"/>
                <w:szCs w:val="24"/>
              </w:rPr>
              <w:t xml:space="preserve">. As we were undertaking casework and had developed a risk assessment and action plan, along with the police undertaking a criminal </w:t>
            </w:r>
            <w:r w:rsidRPr="005C4FEE">
              <w:rPr>
                <w:sz w:val="24"/>
                <w:szCs w:val="24"/>
              </w:rPr>
              <w:t xml:space="preserve">investigation, with agreement from Mrs 2, the case did not require a strategy meeting. </w:t>
            </w:r>
            <w:r w:rsidR="00960A38" w:rsidRPr="005C4FEE">
              <w:rPr>
                <w:sz w:val="24"/>
                <w:szCs w:val="24"/>
              </w:rPr>
              <w:t>I have collaborated with other</w:t>
            </w:r>
            <w:r w:rsidR="00BA71B6" w:rsidRPr="005C4FEE">
              <w:rPr>
                <w:sz w:val="24"/>
                <w:szCs w:val="24"/>
              </w:rPr>
              <w:t xml:space="preserve"> professionals </w:t>
            </w:r>
            <w:r w:rsidR="00960A38" w:rsidRPr="005C4FEE">
              <w:rPr>
                <w:sz w:val="24"/>
                <w:szCs w:val="24"/>
              </w:rPr>
              <w:t>to complete a multi-agency</w:t>
            </w:r>
            <w:r w:rsidR="00BA71B6" w:rsidRPr="005C4FEE">
              <w:rPr>
                <w:sz w:val="24"/>
                <w:szCs w:val="24"/>
              </w:rPr>
              <w:t xml:space="preserve"> ri</w:t>
            </w:r>
            <w:r w:rsidR="00960A38" w:rsidRPr="005C4FEE">
              <w:rPr>
                <w:sz w:val="24"/>
                <w:szCs w:val="24"/>
              </w:rPr>
              <w:t xml:space="preserve">sk assessment and action plan. This ensures interconnected risks are all considered. Using </w:t>
            </w:r>
            <w:r w:rsidR="00A01D88">
              <w:rPr>
                <w:sz w:val="24"/>
                <w:szCs w:val="24"/>
              </w:rPr>
              <w:t>S</w:t>
            </w:r>
            <w:r w:rsidR="00960A38" w:rsidRPr="005C4FEE">
              <w:rPr>
                <w:sz w:val="24"/>
                <w:szCs w:val="24"/>
              </w:rPr>
              <w:t xml:space="preserve">ystems </w:t>
            </w:r>
            <w:r w:rsidR="00A01D88">
              <w:rPr>
                <w:sz w:val="24"/>
                <w:szCs w:val="24"/>
              </w:rPr>
              <w:t>T</w:t>
            </w:r>
            <w:r w:rsidR="00960A38" w:rsidRPr="005C4FEE">
              <w:rPr>
                <w:sz w:val="24"/>
                <w:szCs w:val="24"/>
              </w:rPr>
              <w:t>heory</w:t>
            </w:r>
            <w:r w:rsidR="00FA0826" w:rsidRPr="005C4FEE">
              <w:rPr>
                <w:sz w:val="24"/>
                <w:szCs w:val="24"/>
              </w:rPr>
              <w:t xml:space="preserve"> (Payne, 2021)</w:t>
            </w:r>
            <w:r w:rsidR="00960A38" w:rsidRPr="005C4FEE">
              <w:rPr>
                <w:sz w:val="24"/>
                <w:szCs w:val="24"/>
              </w:rPr>
              <w:t>, no single professional can see the full picture</w:t>
            </w:r>
            <w:r w:rsidR="00A01D88">
              <w:rPr>
                <w:sz w:val="24"/>
                <w:szCs w:val="24"/>
              </w:rPr>
              <w:t>,</w:t>
            </w:r>
            <w:r w:rsidR="00960A38" w:rsidRPr="005C4FEE">
              <w:rPr>
                <w:sz w:val="24"/>
                <w:szCs w:val="24"/>
              </w:rPr>
              <w:t xml:space="preserve"> therefore</w:t>
            </w:r>
            <w:r w:rsidR="00A01D88">
              <w:rPr>
                <w:sz w:val="24"/>
                <w:szCs w:val="24"/>
              </w:rPr>
              <w:t>,</w:t>
            </w:r>
            <w:r w:rsidR="00960A38" w:rsidRPr="005C4FEE">
              <w:rPr>
                <w:sz w:val="24"/>
                <w:szCs w:val="24"/>
              </w:rPr>
              <w:t xml:space="preserve"> collaboration across an individual’s systems is essential. In this case, Mrs 2 made the decision to apply for Extra </w:t>
            </w:r>
            <w:r w:rsidR="00A01D88">
              <w:rPr>
                <w:sz w:val="24"/>
                <w:szCs w:val="24"/>
              </w:rPr>
              <w:t>C</w:t>
            </w:r>
            <w:r w:rsidR="00960A38" w:rsidRPr="005C4FEE">
              <w:rPr>
                <w:sz w:val="24"/>
                <w:szCs w:val="24"/>
              </w:rPr>
              <w:t xml:space="preserve">are </w:t>
            </w:r>
            <w:r w:rsidR="00A01D88">
              <w:rPr>
                <w:sz w:val="24"/>
                <w:szCs w:val="24"/>
              </w:rPr>
              <w:t>H</w:t>
            </w:r>
            <w:r w:rsidR="00960A38" w:rsidRPr="005C4FEE">
              <w:rPr>
                <w:sz w:val="24"/>
                <w:szCs w:val="24"/>
              </w:rPr>
              <w:t xml:space="preserve">ousing, her systems had changed and she needed to identify new systems including having formal care provided by an agency, setting up and managing a tenancy, police involvement and </w:t>
            </w:r>
            <w:r w:rsidR="00960A38" w:rsidRPr="005C4FEE">
              <w:rPr>
                <w:sz w:val="24"/>
                <w:szCs w:val="24"/>
              </w:rPr>
              <w:lastRenderedPageBreak/>
              <w:t xml:space="preserve">support from </w:t>
            </w:r>
            <w:r w:rsidR="006916A1">
              <w:rPr>
                <w:sz w:val="24"/>
                <w:szCs w:val="24"/>
              </w:rPr>
              <w:t xml:space="preserve">the </w:t>
            </w:r>
            <w:r w:rsidR="00960A38" w:rsidRPr="005C4FEE">
              <w:rPr>
                <w:sz w:val="24"/>
                <w:szCs w:val="24"/>
              </w:rPr>
              <w:t xml:space="preserve">Domestic Abuse </w:t>
            </w:r>
            <w:r w:rsidR="006916A1">
              <w:rPr>
                <w:sz w:val="24"/>
                <w:szCs w:val="24"/>
              </w:rPr>
              <w:t>U</w:t>
            </w:r>
            <w:r w:rsidR="00960A38" w:rsidRPr="005C4FEE">
              <w:rPr>
                <w:sz w:val="24"/>
                <w:szCs w:val="24"/>
              </w:rPr>
              <w:t>nit.</w:t>
            </w:r>
            <w:r w:rsidR="00FA0826" w:rsidRPr="005C4FEE">
              <w:rPr>
                <w:sz w:val="24"/>
                <w:szCs w:val="24"/>
              </w:rPr>
              <w:t xml:space="preserve"> Bronfenbrenner’s ecological model emphasises that human development occurs within multiple interacting environmental systems and all systems need to be working well to achieve outcomes (Maclean, 2020). Payne</w:t>
            </w:r>
            <w:r w:rsidR="00A01D88">
              <w:rPr>
                <w:sz w:val="24"/>
                <w:szCs w:val="24"/>
              </w:rPr>
              <w:t>,</w:t>
            </w:r>
            <w:r w:rsidR="00960A38" w:rsidRPr="005C4FEE">
              <w:rPr>
                <w:sz w:val="24"/>
                <w:szCs w:val="24"/>
              </w:rPr>
              <w:t xml:space="preserve"> further argues that taking an ecological approach to risk </w:t>
            </w:r>
            <w:r w:rsidR="00FA0826" w:rsidRPr="005C4FEE">
              <w:rPr>
                <w:sz w:val="24"/>
                <w:szCs w:val="24"/>
              </w:rPr>
              <w:t>assessments ensures</w:t>
            </w:r>
            <w:r w:rsidR="00960A38" w:rsidRPr="005C4FEE">
              <w:rPr>
                <w:sz w:val="24"/>
                <w:szCs w:val="24"/>
              </w:rPr>
              <w:t xml:space="preserve"> professionals from different backgrounds contribute insights at different levels which is needed when exploring risks and protections due to</w:t>
            </w:r>
            <w:r w:rsidR="00FA0826" w:rsidRPr="005C4FEE">
              <w:rPr>
                <w:sz w:val="24"/>
                <w:szCs w:val="24"/>
              </w:rPr>
              <w:t xml:space="preserve"> multiple levels. </w:t>
            </w:r>
            <w:r w:rsidR="00FD5477" w:rsidRPr="005C4FEE">
              <w:rPr>
                <w:sz w:val="24"/>
                <w:szCs w:val="24"/>
              </w:rPr>
              <w:t xml:space="preserve">By </w:t>
            </w:r>
            <w:r w:rsidR="00DF0380" w:rsidRPr="005C4FEE">
              <w:rPr>
                <w:sz w:val="24"/>
                <w:szCs w:val="24"/>
              </w:rPr>
              <w:t>working collaboratively, we were able to not only share the power but the responsibility to safeguard. The S</w:t>
            </w:r>
            <w:r w:rsidR="00A01D88">
              <w:rPr>
                <w:sz w:val="24"/>
                <w:szCs w:val="24"/>
              </w:rPr>
              <w:t>SWBA</w:t>
            </w:r>
            <w:r w:rsidR="00F53C86">
              <w:rPr>
                <w:sz w:val="24"/>
                <w:szCs w:val="24"/>
              </w:rPr>
              <w:t xml:space="preserve"> (2014</w:t>
            </w:r>
            <w:r w:rsidR="00494610">
              <w:rPr>
                <w:sz w:val="24"/>
                <w:szCs w:val="24"/>
              </w:rPr>
              <w:t>)</w:t>
            </w:r>
            <w:r w:rsidR="00DF0380" w:rsidRPr="005C4FEE">
              <w:rPr>
                <w:sz w:val="24"/>
                <w:szCs w:val="24"/>
              </w:rPr>
              <w:t xml:space="preserve"> identifies the importance for collaboration making it a legal duty when safeguarding individuals. Safeguarding is a shared responsibility that everyone should be aware of</w:t>
            </w:r>
            <w:r w:rsidRPr="005C4FEE">
              <w:rPr>
                <w:sz w:val="24"/>
                <w:szCs w:val="24"/>
              </w:rPr>
              <w:t>, not only when involved in specific cases but with reporting.</w:t>
            </w:r>
          </w:p>
          <w:p w14:paraId="1697C05E" w14:textId="5EBCCCCE" w:rsidR="00A41945" w:rsidRPr="005C4FEE" w:rsidRDefault="00A41945" w:rsidP="000208DE">
            <w:pPr>
              <w:pStyle w:val="legclearfix"/>
              <w:shd w:val="clear" w:color="auto" w:fill="FFFFFF"/>
              <w:spacing w:before="0" w:beforeAutospacing="0" w:after="120" w:afterAutospacing="0" w:line="360" w:lineRule="atLeast"/>
              <w:rPr>
                <w:rFonts w:ascii="Arial" w:hAnsi="Arial" w:cs="Arial"/>
              </w:rPr>
            </w:pPr>
            <w:r w:rsidRPr="005C4FEE">
              <w:rPr>
                <w:rFonts w:ascii="Arial" w:hAnsi="Arial" w:cs="Arial"/>
              </w:rPr>
              <w:t xml:space="preserve">As safeguarding is everyone’s business, anyone is able to raise a </w:t>
            </w:r>
            <w:r w:rsidR="00F53C86">
              <w:rPr>
                <w:rFonts w:ascii="Arial" w:hAnsi="Arial" w:cs="Arial"/>
              </w:rPr>
              <w:t xml:space="preserve">safe guarding </w:t>
            </w:r>
            <w:r w:rsidRPr="005C4FEE">
              <w:rPr>
                <w:rFonts w:ascii="Arial" w:hAnsi="Arial" w:cs="Arial"/>
              </w:rPr>
              <w:t xml:space="preserve">concern to the local authority. When an individual has suspicions or concerns, regardless of whether abuse has been </w:t>
            </w:r>
            <w:r w:rsidR="009A6F16" w:rsidRPr="005C4FEE">
              <w:rPr>
                <w:rFonts w:ascii="Arial" w:hAnsi="Arial" w:cs="Arial"/>
              </w:rPr>
              <w:t>observed, they have an obligation to report. The term “at risk” is in keeping with the S</w:t>
            </w:r>
            <w:r w:rsidR="00A01D88">
              <w:rPr>
                <w:rFonts w:ascii="Arial" w:hAnsi="Arial" w:cs="Arial"/>
              </w:rPr>
              <w:t>SWBA</w:t>
            </w:r>
            <w:r w:rsidR="00F53C86">
              <w:rPr>
                <w:rFonts w:ascii="Arial" w:hAnsi="Arial" w:cs="Arial"/>
              </w:rPr>
              <w:t xml:space="preserve"> (2014)</w:t>
            </w:r>
            <w:r w:rsidR="009A6F16" w:rsidRPr="005C4FEE">
              <w:rPr>
                <w:rFonts w:ascii="Arial" w:hAnsi="Arial" w:cs="Arial"/>
              </w:rPr>
              <w:t xml:space="preserve"> of promoting prevention and early intervention. Once the concern has been reported, the local authority then </w:t>
            </w:r>
            <w:r w:rsidR="002C31C1" w:rsidRPr="005C4FEE">
              <w:rPr>
                <w:rFonts w:ascii="Arial" w:hAnsi="Arial" w:cs="Arial"/>
              </w:rPr>
              <w:t>has</w:t>
            </w:r>
            <w:r w:rsidR="009A6F16" w:rsidRPr="005C4FEE">
              <w:rPr>
                <w:rFonts w:ascii="Arial" w:hAnsi="Arial" w:cs="Arial"/>
              </w:rPr>
              <w:t xml:space="preserve"> statutory powers and duties to make further enquiries and act as necessary. Section 128 of SSWBA</w:t>
            </w:r>
            <w:r w:rsidR="00F53C86">
              <w:rPr>
                <w:rFonts w:ascii="Arial" w:hAnsi="Arial" w:cs="Arial"/>
              </w:rPr>
              <w:t xml:space="preserve"> (2014)</w:t>
            </w:r>
            <w:r w:rsidR="009A6F16" w:rsidRPr="005C4FEE">
              <w:rPr>
                <w:rFonts w:ascii="Arial" w:hAnsi="Arial" w:cs="Arial"/>
              </w:rPr>
              <w:t xml:space="preserve"> provides a duty on identified relevant partners to report should they have reasonable cause to suspect there are adults or children at risk of abuse. The legislation provides guidance on who they have identified as relevant partners although the expectation remains that everyone can and should report. The Wales Safeguarding </w:t>
            </w:r>
            <w:r w:rsidR="006916A1">
              <w:rPr>
                <w:rFonts w:ascii="Arial" w:hAnsi="Arial" w:cs="Arial"/>
              </w:rPr>
              <w:t>P</w:t>
            </w:r>
            <w:r w:rsidR="009A6F16" w:rsidRPr="005C4FEE">
              <w:rPr>
                <w:rFonts w:ascii="Arial" w:hAnsi="Arial" w:cs="Arial"/>
              </w:rPr>
              <w:t xml:space="preserve">rocedures advise of the duty to report concerns of colleagues and other practitioners. In my local authority, there is specific whistleblowing </w:t>
            </w:r>
            <w:r w:rsidR="002C31C1" w:rsidRPr="005C4FEE">
              <w:rPr>
                <w:rFonts w:ascii="Arial" w:hAnsi="Arial" w:cs="Arial"/>
              </w:rPr>
              <w:t xml:space="preserve">procedures to ensure the protection of anyone raising concerns. The procedures ensure contact is available out of office hours with my local authority having an </w:t>
            </w:r>
            <w:r w:rsidR="006916A1">
              <w:rPr>
                <w:rFonts w:ascii="Arial" w:hAnsi="Arial" w:cs="Arial"/>
              </w:rPr>
              <w:t>E</w:t>
            </w:r>
            <w:r w:rsidR="002C31C1" w:rsidRPr="005C4FEE">
              <w:rPr>
                <w:rFonts w:ascii="Arial" w:hAnsi="Arial" w:cs="Arial"/>
              </w:rPr>
              <w:t xml:space="preserve">mergency </w:t>
            </w:r>
            <w:r w:rsidR="006916A1">
              <w:rPr>
                <w:rFonts w:ascii="Arial" w:hAnsi="Arial" w:cs="Arial"/>
              </w:rPr>
              <w:t>D</w:t>
            </w:r>
            <w:r w:rsidR="002C31C1" w:rsidRPr="005C4FEE">
              <w:rPr>
                <w:rFonts w:ascii="Arial" w:hAnsi="Arial" w:cs="Arial"/>
              </w:rPr>
              <w:t xml:space="preserve">uty </w:t>
            </w:r>
            <w:r w:rsidR="006916A1">
              <w:rPr>
                <w:rFonts w:ascii="Arial" w:hAnsi="Arial" w:cs="Arial"/>
              </w:rPr>
              <w:t>T</w:t>
            </w:r>
            <w:r w:rsidR="002C31C1" w:rsidRPr="005C4FEE">
              <w:rPr>
                <w:rFonts w:ascii="Arial" w:hAnsi="Arial" w:cs="Arial"/>
              </w:rPr>
              <w:t xml:space="preserve">eam. </w:t>
            </w:r>
            <w:r w:rsidR="004C74B7" w:rsidRPr="005C4FEE">
              <w:rPr>
                <w:rFonts w:ascii="Arial" w:hAnsi="Arial" w:cs="Arial"/>
              </w:rPr>
              <w:t>Once the referral has been received, under s126 of the S</w:t>
            </w:r>
            <w:r w:rsidR="00A01D88">
              <w:rPr>
                <w:rFonts w:ascii="Arial" w:hAnsi="Arial" w:cs="Arial"/>
              </w:rPr>
              <w:t>SWBA</w:t>
            </w:r>
            <w:r w:rsidR="004C74B7" w:rsidRPr="005C4FEE">
              <w:rPr>
                <w:rFonts w:ascii="Arial" w:hAnsi="Arial" w:cs="Arial"/>
              </w:rPr>
              <w:t xml:space="preserve"> (2014) the local authority has a duty make enquiries which should be completed within 7 days. The enquiry stage gathers information and checks the factual accuracy of the report in order to complete an initial evaluation which will then determine what, if any action need</w:t>
            </w:r>
            <w:r w:rsidR="006916A1">
              <w:rPr>
                <w:rFonts w:ascii="Arial" w:hAnsi="Arial" w:cs="Arial"/>
              </w:rPr>
              <w:t>s</w:t>
            </w:r>
            <w:r w:rsidR="004C74B7" w:rsidRPr="005C4FEE">
              <w:rPr>
                <w:rFonts w:ascii="Arial" w:hAnsi="Arial" w:cs="Arial"/>
              </w:rPr>
              <w:t xml:space="preserve"> to be taken. Throughout the enquiry must remain person centred and outcome focused. Section 126 enquiries do not necessarily need to be undertaken by the local authority and can be delegated to another agency but the outcome of the enquiry remains with the local authority. This section of the Act places duties on other agencies to co-operate and provide information when requested. </w:t>
            </w:r>
            <w:r w:rsidR="008524F6" w:rsidRPr="005C4FEE">
              <w:rPr>
                <w:rFonts w:ascii="Arial" w:hAnsi="Arial" w:cs="Arial"/>
              </w:rPr>
              <w:t xml:space="preserve">All enquiries have to be proportionate and in keeping with the </w:t>
            </w:r>
            <w:r w:rsidR="005E34DF" w:rsidRPr="005C4FEE">
              <w:rPr>
                <w:rFonts w:ascii="Arial" w:hAnsi="Arial" w:cs="Arial"/>
              </w:rPr>
              <w:t>European</w:t>
            </w:r>
            <w:r w:rsidR="008524F6" w:rsidRPr="005C4FEE">
              <w:rPr>
                <w:rFonts w:ascii="Arial" w:hAnsi="Arial" w:cs="Arial"/>
              </w:rPr>
              <w:t xml:space="preserve"> </w:t>
            </w:r>
            <w:r w:rsidR="006916A1">
              <w:rPr>
                <w:rFonts w:ascii="Arial" w:hAnsi="Arial" w:cs="Arial"/>
              </w:rPr>
              <w:t>C</w:t>
            </w:r>
            <w:r w:rsidR="008524F6" w:rsidRPr="005C4FEE">
              <w:rPr>
                <w:rFonts w:ascii="Arial" w:hAnsi="Arial" w:cs="Arial"/>
              </w:rPr>
              <w:t xml:space="preserve">onvention on </w:t>
            </w:r>
            <w:r w:rsidR="006916A1">
              <w:rPr>
                <w:rFonts w:ascii="Arial" w:hAnsi="Arial" w:cs="Arial"/>
              </w:rPr>
              <w:t>H</w:t>
            </w:r>
            <w:r w:rsidR="008524F6" w:rsidRPr="005C4FEE">
              <w:rPr>
                <w:rFonts w:ascii="Arial" w:hAnsi="Arial" w:cs="Arial"/>
              </w:rPr>
              <w:t xml:space="preserve">uman </w:t>
            </w:r>
            <w:r w:rsidR="006916A1">
              <w:rPr>
                <w:rFonts w:ascii="Arial" w:hAnsi="Arial" w:cs="Arial"/>
              </w:rPr>
              <w:t>R</w:t>
            </w:r>
            <w:r w:rsidR="008524F6" w:rsidRPr="005C4FEE">
              <w:rPr>
                <w:rFonts w:ascii="Arial" w:hAnsi="Arial" w:cs="Arial"/>
              </w:rPr>
              <w:t>ights along with sections 5,6 and 7 of the S</w:t>
            </w:r>
            <w:r w:rsidR="00A01D88">
              <w:rPr>
                <w:rFonts w:ascii="Arial" w:hAnsi="Arial" w:cs="Arial"/>
              </w:rPr>
              <w:t>SWBA</w:t>
            </w:r>
            <w:r w:rsidR="00F53C86">
              <w:rPr>
                <w:rFonts w:ascii="Arial" w:hAnsi="Arial" w:cs="Arial"/>
              </w:rPr>
              <w:t xml:space="preserve"> </w:t>
            </w:r>
            <w:r w:rsidR="00494610">
              <w:rPr>
                <w:rFonts w:ascii="Arial" w:hAnsi="Arial" w:cs="Arial"/>
              </w:rPr>
              <w:t>(</w:t>
            </w:r>
            <w:r w:rsidR="00F53C86">
              <w:rPr>
                <w:rFonts w:ascii="Arial" w:hAnsi="Arial" w:cs="Arial"/>
              </w:rPr>
              <w:t>2014</w:t>
            </w:r>
            <w:r w:rsidR="00494610">
              <w:rPr>
                <w:rFonts w:ascii="Arial" w:hAnsi="Arial" w:cs="Arial"/>
              </w:rPr>
              <w:t>)</w:t>
            </w:r>
            <w:r w:rsidR="008524F6" w:rsidRPr="005C4FEE">
              <w:rPr>
                <w:rFonts w:ascii="Arial" w:hAnsi="Arial" w:cs="Arial"/>
              </w:rPr>
              <w:t>. Individuals who have capacity are able to decline any further action and wishes and autonomy of individuals must be respected. There are certain circumstances where the wishes may be overridden including if others are at high risk</w:t>
            </w:r>
            <w:r w:rsidR="00AF5FCE" w:rsidRPr="005C4FEE">
              <w:rPr>
                <w:rFonts w:ascii="Arial" w:hAnsi="Arial" w:cs="Arial"/>
              </w:rPr>
              <w:t xml:space="preserve">, a crime has occurred or there is a breach of regulation or professional code of conduct. The outcome of the s.126 enquiry will then be for the individual to either have immediate protection if deemed necessary or they may be </w:t>
            </w:r>
            <w:r w:rsidR="00AF5FCE" w:rsidRPr="005C4FEE">
              <w:rPr>
                <w:rFonts w:ascii="Arial" w:hAnsi="Arial" w:cs="Arial"/>
              </w:rPr>
              <w:lastRenderedPageBreak/>
              <w:t xml:space="preserve">signposted to other agencies if they have care and support needs but deemed not at risk. There may be the decision that no further action is </w:t>
            </w:r>
            <w:r w:rsidR="00F53C86">
              <w:rPr>
                <w:rFonts w:ascii="Arial" w:hAnsi="Arial" w:cs="Arial"/>
              </w:rPr>
              <w:t xml:space="preserve">required </w:t>
            </w:r>
            <w:r w:rsidR="00AF5FCE" w:rsidRPr="005C4FEE">
              <w:rPr>
                <w:rFonts w:ascii="Arial" w:hAnsi="Arial" w:cs="Arial"/>
              </w:rPr>
              <w:t>or it has been determined that the adult is at risk and action to protect is needed. If further action is required, a strategy meeting will be arranged to determine what will be needed to ensure the safety of the adult at risk and th</w:t>
            </w:r>
            <w:r w:rsidR="00807364" w:rsidRPr="005C4FEE">
              <w:rPr>
                <w:rFonts w:ascii="Arial" w:hAnsi="Arial" w:cs="Arial"/>
              </w:rPr>
              <w:t>eir outcomes are met safely. This multi-agency</w:t>
            </w:r>
            <w:r w:rsidR="00AF5FCE" w:rsidRPr="005C4FEE">
              <w:rPr>
                <w:rFonts w:ascii="Arial" w:hAnsi="Arial" w:cs="Arial"/>
              </w:rPr>
              <w:t xml:space="preserve"> meeting </w:t>
            </w:r>
            <w:r w:rsidR="00807364" w:rsidRPr="005C4FEE">
              <w:rPr>
                <w:rFonts w:ascii="Arial" w:hAnsi="Arial" w:cs="Arial"/>
              </w:rPr>
              <w:t xml:space="preserve">aims to work collaboratively to risk assess, agree roles and responsibilities of everyone involved and examine any results from the enquiry prior to a case conference. </w:t>
            </w:r>
            <w:r w:rsidR="00141B96" w:rsidRPr="005C4FEE">
              <w:rPr>
                <w:rFonts w:ascii="Arial" w:hAnsi="Arial" w:cs="Arial"/>
              </w:rPr>
              <w:t xml:space="preserve">A care and support protection plan should be devised during the meeting which needs to include care and support arrangements, having an emphasis on risk management, that is regularly reviewed to support individuals to achieve their outcomes. </w:t>
            </w:r>
            <w:r w:rsidR="00807364" w:rsidRPr="005C4FEE">
              <w:rPr>
                <w:rFonts w:ascii="Arial" w:hAnsi="Arial" w:cs="Arial"/>
              </w:rPr>
              <w:t xml:space="preserve">It is imperative that a professional is appointed to ensure the individual involved </w:t>
            </w:r>
            <w:r w:rsidR="00141B96" w:rsidRPr="005C4FEE">
              <w:rPr>
                <w:rFonts w:ascii="Arial" w:hAnsi="Arial" w:cs="Arial"/>
              </w:rPr>
              <w:t>is kept informed of the process. Advocacy must continue to be offered and provided throughout the safeguarding process to ensure the individual’s voice is heard</w:t>
            </w:r>
            <w:r w:rsidR="00311707" w:rsidRPr="005C4FEE">
              <w:rPr>
                <w:rFonts w:ascii="Arial" w:hAnsi="Arial" w:cs="Arial"/>
              </w:rPr>
              <w:t xml:space="preserve">. As stated, in the case of Mrs 2, by working collaboratively, we were able to reduce the identified risks and she was safeguarded via case work which </w:t>
            </w:r>
            <w:r w:rsidR="006916A1">
              <w:rPr>
                <w:rFonts w:ascii="Arial" w:hAnsi="Arial" w:cs="Arial"/>
              </w:rPr>
              <w:t>negated the need for</w:t>
            </w:r>
            <w:r w:rsidR="00311707" w:rsidRPr="005C4FEE">
              <w:rPr>
                <w:rFonts w:ascii="Arial" w:hAnsi="Arial" w:cs="Arial"/>
              </w:rPr>
              <w:t xml:space="preserve"> a formal strategy meeting as all professionals involved felt Mrs 2 was satisfactory safeguarded whilst ensuring her personal outcomes were achieved. This was achieved by Mrs 2 being supported to move to a new property with safeguards in place such as </w:t>
            </w:r>
            <w:r w:rsidR="00F53C86">
              <w:rPr>
                <w:rFonts w:ascii="Arial" w:hAnsi="Arial" w:cs="Arial"/>
              </w:rPr>
              <w:t>the alleged perpetrator</w:t>
            </w:r>
            <w:r w:rsidR="00311707" w:rsidRPr="005C4FEE">
              <w:rPr>
                <w:rFonts w:ascii="Arial" w:hAnsi="Arial" w:cs="Arial"/>
              </w:rPr>
              <w:t xml:space="preserve"> not knowing the address, safety features such as locked external doors with door entry systems, formal carers visiting daily to meet her care and support needs and Mrs 2 having access to specialist services including domestic abuse independent advocacy. Mrs 2 advised she felt safe and supported and was keen to explore new ventures and interests that mattered to her to maintain her wellbeing. </w:t>
            </w:r>
          </w:p>
          <w:p w14:paraId="56BB9516" w14:textId="77777777" w:rsidR="00311707" w:rsidRPr="005C4FEE" w:rsidRDefault="00311707" w:rsidP="000208DE">
            <w:pPr>
              <w:pStyle w:val="legclearfix"/>
              <w:shd w:val="clear" w:color="auto" w:fill="FFFFFF"/>
              <w:spacing w:before="0" w:beforeAutospacing="0" w:after="120" w:afterAutospacing="0" w:line="360" w:lineRule="atLeast"/>
              <w:rPr>
                <w:rFonts w:ascii="Arial" w:hAnsi="Arial" w:cs="Arial"/>
              </w:rPr>
            </w:pPr>
            <w:r w:rsidRPr="005C4FEE">
              <w:rPr>
                <w:rFonts w:ascii="Arial" w:hAnsi="Arial" w:cs="Arial"/>
              </w:rPr>
              <w:t xml:space="preserve">In conclusion, </w:t>
            </w:r>
            <w:r w:rsidR="005C4FEE" w:rsidRPr="005C4FEE">
              <w:rPr>
                <w:rFonts w:ascii="Arial" w:hAnsi="Arial" w:cs="Arial"/>
              </w:rPr>
              <w:t xml:space="preserve">this case study enabled me to demonstrate my understanding of safeguarding in practice, including legislation, policies, strategies and procedures and the difference between the devolved Nations within the United Kingdom. I have critically reflected on the integration of analysis in assessment, collaborative working and professional judgements in increasingly complex situations whilst showing an understanding of Welsh context. Safeguarding is one of the biggest elements of social work and although not many cases require formal safeguarding procedures, I feel this is due to social workers identifying safeguarding concerns and case working preventatively in order to reduce risks before formal safeguarding procedures are required. </w:t>
            </w:r>
          </w:p>
          <w:p w14:paraId="75535D02" w14:textId="3E5DCB71" w:rsidR="000C462C" w:rsidRDefault="006B1396" w:rsidP="000208DE">
            <w:pPr>
              <w:pStyle w:val="legclearfix"/>
              <w:shd w:val="clear" w:color="auto" w:fill="FFFFFF"/>
              <w:spacing w:before="0" w:beforeAutospacing="0" w:after="120" w:afterAutospacing="0" w:line="360" w:lineRule="atLeast"/>
              <w:rPr>
                <w:rFonts w:ascii="Arial" w:hAnsi="Arial" w:cs="Arial"/>
              </w:rPr>
            </w:pPr>
            <w:r>
              <w:rPr>
                <w:rFonts w:ascii="Arial" w:hAnsi="Arial" w:cs="Arial"/>
              </w:rPr>
              <w:t xml:space="preserve"> </w:t>
            </w:r>
            <w:r w:rsidR="005C4FEE">
              <w:rPr>
                <w:rFonts w:ascii="Arial" w:hAnsi="Arial" w:cs="Arial"/>
              </w:rPr>
              <w:t>4</w:t>
            </w:r>
            <w:r w:rsidR="00494610">
              <w:rPr>
                <w:rFonts w:ascii="Arial" w:hAnsi="Arial" w:cs="Arial"/>
              </w:rPr>
              <w:t>080</w:t>
            </w:r>
          </w:p>
          <w:p w14:paraId="1A2404C6" w14:textId="77777777" w:rsidR="00F63CB7" w:rsidRPr="00BA7C77" w:rsidRDefault="00F63CB7" w:rsidP="00FF7EBB">
            <w:pPr>
              <w:jc w:val="both"/>
              <w:rPr>
                <w:sz w:val="24"/>
                <w:szCs w:val="24"/>
              </w:rPr>
            </w:pPr>
          </w:p>
          <w:p w14:paraId="4B7E8107" w14:textId="77777777" w:rsidR="007A628F" w:rsidRPr="008B28E7" w:rsidRDefault="007A628F" w:rsidP="00585BDE">
            <w:pPr>
              <w:pStyle w:val="NormalWeb"/>
            </w:pPr>
            <w:bookmarkStart w:id="0" w:name="_GoBack"/>
            <w:bookmarkEnd w:id="0"/>
          </w:p>
        </w:tc>
      </w:tr>
    </w:tbl>
    <w:p w14:paraId="6C299DC2" w14:textId="77777777" w:rsidR="00D3442D" w:rsidRDefault="00D3442D" w:rsidP="00D3442D">
      <w:pPr>
        <w:jc w:val="both"/>
        <w:rPr>
          <w:sz w:val="24"/>
          <w:szCs w:val="24"/>
        </w:rPr>
      </w:pPr>
    </w:p>
    <w:p w14:paraId="13961A68" w14:textId="77777777" w:rsidR="00DD31C5" w:rsidRDefault="00DD31C5" w:rsidP="00064063">
      <w:pPr>
        <w:ind w:firstLine="720"/>
        <w:jc w:val="both"/>
        <w:rPr>
          <w:b/>
          <w:sz w:val="24"/>
          <w:szCs w:val="24"/>
        </w:rPr>
      </w:pPr>
    </w:p>
    <w:p w14:paraId="007FD63C" w14:textId="77777777" w:rsidR="00DD31C5" w:rsidRPr="008B28E7" w:rsidRDefault="00DD31C5" w:rsidP="00064063">
      <w:pPr>
        <w:ind w:firstLine="720"/>
        <w:jc w:val="both"/>
        <w:rPr>
          <w:b/>
          <w:sz w:val="24"/>
          <w:szCs w:val="24"/>
        </w:rPr>
      </w:pPr>
    </w:p>
    <w:p w14:paraId="434A7617" w14:textId="77777777"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36EAD2" w14:textId="77777777" w:rsidR="00CF218B" w:rsidRDefault="00CF218B">
      <w:r>
        <w:separator/>
      </w:r>
    </w:p>
  </w:endnote>
  <w:endnote w:type="continuationSeparator" w:id="0">
    <w:p w14:paraId="035CA5FC" w14:textId="77777777" w:rsidR="00CF218B" w:rsidRDefault="00CF21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90A1C9" w14:textId="666BDEAC" w:rsidR="00311707" w:rsidRDefault="00311707">
    <w:pPr>
      <w:pStyle w:val="Footer"/>
      <w:jc w:val="right"/>
    </w:pPr>
    <w:r>
      <w:fldChar w:fldCharType="begin"/>
    </w:r>
    <w:r>
      <w:instrText xml:space="preserve"> PAGE   \* MERGEFORMAT </w:instrText>
    </w:r>
    <w:r>
      <w:fldChar w:fldCharType="separate"/>
    </w:r>
    <w:r w:rsidR="00585BDE">
      <w:rPr>
        <w:noProof/>
      </w:rPr>
      <w:t>9</w:t>
    </w:r>
    <w:r>
      <w:rPr>
        <w:noProof/>
      </w:rPr>
      <w:fldChar w:fldCharType="end"/>
    </w:r>
  </w:p>
  <w:p w14:paraId="5D9B63CD" w14:textId="77777777" w:rsidR="00311707" w:rsidRPr="00E60F42" w:rsidRDefault="00311707"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86F954" w14:textId="77777777" w:rsidR="00CF218B" w:rsidRDefault="00CF218B">
      <w:r>
        <w:separator/>
      </w:r>
    </w:p>
  </w:footnote>
  <w:footnote w:type="continuationSeparator" w:id="0">
    <w:p w14:paraId="3A0254FA" w14:textId="77777777" w:rsidR="00CF218B" w:rsidRDefault="00CF21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11468A" w14:textId="77777777" w:rsidR="00311707" w:rsidRDefault="00311707">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1136FD"/>
    <w:multiLevelType w:val="multilevel"/>
    <w:tmpl w:val="763C3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5"/>
  </w:num>
  <w:num w:numId="27">
    <w:abstractNumId w:val="40"/>
  </w:num>
  <w:num w:numId="28">
    <w:abstractNumId w:val="20"/>
  </w:num>
  <w:num w:numId="29">
    <w:abstractNumId w:val="44"/>
  </w:num>
  <w:num w:numId="30">
    <w:abstractNumId w:val="31"/>
  </w:num>
  <w:num w:numId="31">
    <w:abstractNumId w:val="12"/>
  </w:num>
  <w:num w:numId="32">
    <w:abstractNumId w:val="45"/>
  </w:num>
  <w:num w:numId="33">
    <w:abstractNumId w:val="39"/>
  </w:num>
  <w:num w:numId="34">
    <w:abstractNumId w:val="5"/>
  </w:num>
  <w:num w:numId="35">
    <w:abstractNumId w:val="47"/>
  </w:num>
  <w:num w:numId="36">
    <w:abstractNumId w:val="43"/>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4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8DE"/>
    <w:rsid w:val="00020EEC"/>
    <w:rsid w:val="0002440E"/>
    <w:rsid w:val="0002759A"/>
    <w:rsid w:val="00027B1F"/>
    <w:rsid w:val="0003088B"/>
    <w:rsid w:val="00032218"/>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35A"/>
    <w:rsid w:val="00080E58"/>
    <w:rsid w:val="00083D99"/>
    <w:rsid w:val="00084DA6"/>
    <w:rsid w:val="00085699"/>
    <w:rsid w:val="00090160"/>
    <w:rsid w:val="00091F52"/>
    <w:rsid w:val="00092970"/>
    <w:rsid w:val="00093720"/>
    <w:rsid w:val="000938E6"/>
    <w:rsid w:val="00093B3C"/>
    <w:rsid w:val="0009488C"/>
    <w:rsid w:val="00095C1B"/>
    <w:rsid w:val="00096DEA"/>
    <w:rsid w:val="000A0433"/>
    <w:rsid w:val="000A4240"/>
    <w:rsid w:val="000A469A"/>
    <w:rsid w:val="000A584A"/>
    <w:rsid w:val="000A6458"/>
    <w:rsid w:val="000C378F"/>
    <w:rsid w:val="000C462C"/>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3B5B"/>
    <w:rsid w:val="001347F8"/>
    <w:rsid w:val="001359EE"/>
    <w:rsid w:val="00137BB5"/>
    <w:rsid w:val="00137E05"/>
    <w:rsid w:val="00141B96"/>
    <w:rsid w:val="001447F6"/>
    <w:rsid w:val="001449E5"/>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0EA7"/>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4DF"/>
    <w:rsid w:val="002B7AEE"/>
    <w:rsid w:val="002C2536"/>
    <w:rsid w:val="002C256A"/>
    <w:rsid w:val="002C3031"/>
    <w:rsid w:val="002C31C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1707"/>
    <w:rsid w:val="0031350A"/>
    <w:rsid w:val="00316815"/>
    <w:rsid w:val="003168CA"/>
    <w:rsid w:val="00321255"/>
    <w:rsid w:val="00321499"/>
    <w:rsid w:val="0032230D"/>
    <w:rsid w:val="00322A0B"/>
    <w:rsid w:val="00330881"/>
    <w:rsid w:val="00331CD2"/>
    <w:rsid w:val="00332426"/>
    <w:rsid w:val="00335C41"/>
    <w:rsid w:val="00335FC5"/>
    <w:rsid w:val="0033771E"/>
    <w:rsid w:val="00337FEF"/>
    <w:rsid w:val="00354B6D"/>
    <w:rsid w:val="00355210"/>
    <w:rsid w:val="00355CFD"/>
    <w:rsid w:val="00355E4A"/>
    <w:rsid w:val="00356277"/>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5D6A"/>
    <w:rsid w:val="003C6185"/>
    <w:rsid w:val="003D0D2D"/>
    <w:rsid w:val="003D1885"/>
    <w:rsid w:val="003D1A02"/>
    <w:rsid w:val="003D1BC0"/>
    <w:rsid w:val="003D20F1"/>
    <w:rsid w:val="003D4710"/>
    <w:rsid w:val="003D7F89"/>
    <w:rsid w:val="003E16D7"/>
    <w:rsid w:val="003E197E"/>
    <w:rsid w:val="003E4B70"/>
    <w:rsid w:val="003E54CF"/>
    <w:rsid w:val="003E5FBA"/>
    <w:rsid w:val="003F1233"/>
    <w:rsid w:val="003F2A2A"/>
    <w:rsid w:val="003F67A4"/>
    <w:rsid w:val="003F6ACA"/>
    <w:rsid w:val="00400786"/>
    <w:rsid w:val="00401FDA"/>
    <w:rsid w:val="004046F0"/>
    <w:rsid w:val="0040668F"/>
    <w:rsid w:val="00411EF7"/>
    <w:rsid w:val="00412677"/>
    <w:rsid w:val="00425160"/>
    <w:rsid w:val="0042595C"/>
    <w:rsid w:val="00430DE3"/>
    <w:rsid w:val="004348AE"/>
    <w:rsid w:val="004376C0"/>
    <w:rsid w:val="0044223A"/>
    <w:rsid w:val="004434E2"/>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4610"/>
    <w:rsid w:val="004968E2"/>
    <w:rsid w:val="004A2A49"/>
    <w:rsid w:val="004A5A64"/>
    <w:rsid w:val="004B5553"/>
    <w:rsid w:val="004B600B"/>
    <w:rsid w:val="004B6822"/>
    <w:rsid w:val="004B69F6"/>
    <w:rsid w:val="004C2D3A"/>
    <w:rsid w:val="004C74B7"/>
    <w:rsid w:val="004D03C4"/>
    <w:rsid w:val="004D0BF1"/>
    <w:rsid w:val="004D0F4E"/>
    <w:rsid w:val="004D3278"/>
    <w:rsid w:val="004D35A4"/>
    <w:rsid w:val="004D445F"/>
    <w:rsid w:val="004D5ECE"/>
    <w:rsid w:val="004D61E2"/>
    <w:rsid w:val="004E087B"/>
    <w:rsid w:val="004E3D03"/>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5BDE"/>
    <w:rsid w:val="00586D89"/>
    <w:rsid w:val="005877C8"/>
    <w:rsid w:val="00587923"/>
    <w:rsid w:val="00594F9F"/>
    <w:rsid w:val="005A1B4C"/>
    <w:rsid w:val="005A545C"/>
    <w:rsid w:val="005B271A"/>
    <w:rsid w:val="005B3A2D"/>
    <w:rsid w:val="005C1567"/>
    <w:rsid w:val="005C28D3"/>
    <w:rsid w:val="005C4FEE"/>
    <w:rsid w:val="005C6CE5"/>
    <w:rsid w:val="005D3F07"/>
    <w:rsid w:val="005D4A1E"/>
    <w:rsid w:val="005D4F72"/>
    <w:rsid w:val="005E13EA"/>
    <w:rsid w:val="005E17F1"/>
    <w:rsid w:val="005E34DF"/>
    <w:rsid w:val="005E6A63"/>
    <w:rsid w:val="005F0E44"/>
    <w:rsid w:val="005F64AA"/>
    <w:rsid w:val="005F7851"/>
    <w:rsid w:val="00601E68"/>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6A1"/>
    <w:rsid w:val="0069625A"/>
    <w:rsid w:val="00696A88"/>
    <w:rsid w:val="00696F65"/>
    <w:rsid w:val="00697572"/>
    <w:rsid w:val="006B1396"/>
    <w:rsid w:val="006B4496"/>
    <w:rsid w:val="006B5E67"/>
    <w:rsid w:val="006B6612"/>
    <w:rsid w:val="006C2EB5"/>
    <w:rsid w:val="006D18A3"/>
    <w:rsid w:val="006D5970"/>
    <w:rsid w:val="006E481E"/>
    <w:rsid w:val="006E795F"/>
    <w:rsid w:val="006F004B"/>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D03"/>
    <w:rsid w:val="0075031F"/>
    <w:rsid w:val="00751263"/>
    <w:rsid w:val="007544FC"/>
    <w:rsid w:val="00755427"/>
    <w:rsid w:val="00756548"/>
    <w:rsid w:val="0075673A"/>
    <w:rsid w:val="0075704F"/>
    <w:rsid w:val="00763B2D"/>
    <w:rsid w:val="00764C84"/>
    <w:rsid w:val="007710AD"/>
    <w:rsid w:val="00771763"/>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3E3A"/>
    <w:rsid w:val="007C556F"/>
    <w:rsid w:val="007C5ABE"/>
    <w:rsid w:val="007C6A87"/>
    <w:rsid w:val="007D0A07"/>
    <w:rsid w:val="007D0F11"/>
    <w:rsid w:val="007D133D"/>
    <w:rsid w:val="007D3EB4"/>
    <w:rsid w:val="007D3F16"/>
    <w:rsid w:val="007D7EE7"/>
    <w:rsid w:val="007F10BD"/>
    <w:rsid w:val="007F264C"/>
    <w:rsid w:val="007F312E"/>
    <w:rsid w:val="007F3F7E"/>
    <w:rsid w:val="007F4BA4"/>
    <w:rsid w:val="00802CEA"/>
    <w:rsid w:val="0080736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E00"/>
    <w:rsid w:val="00836FEC"/>
    <w:rsid w:val="00841F9D"/>
    <w:rsid w:val="008420E1"/>
    <w:rsid w:val="00844D98"/>
    <w:rsid w:val="00846D84"/>
    <w:rsid w:val="00850233"/>
    <w:rsid w:val="0085230E"/>
    <w:rsid w:val="008524F6"/>
    <w:rsid w:val="008550A1"/>
    <w:rsid w:val="00861038"/>
    <w:rsid w:val="00865B58"/>
    <w:rsid w:val="00866B50"/>
    <w:rsid w:val="00867A63"/>
    <w:rsid w:val="008708F1"/>
    <w:rsid w:val="00871960"/>
    <w:rsid w:val="0087369F"/>
    <w:rsid w:val="00880539"/>
    <w:rsid w:val="008859E8"/>
    <w:rsid w:val="00886643"/>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0A38"/>
    <w:rsid w:val="00964CC6"/>
    <w:rsid w:val="00967BFA"/>
    <w:rsid w:val="0098262C"/>
    <w:rsid w:val="0098427C"/>
    <w:rsid w:val="00986B43"/>
    <w:rsid w:val="00986C0B"/>
    <w:rsid w:val="00986D46"/>
    <w:rsid w:val="00987DC5"/>
    <w:rsid w:val="00991FDA"/>
    <w:rsid w:val="00992ACA"/>
    <w:rsid w:val="0099702B"/>
    <w:rsid w:val="009A5F3B"/>
    <w:rsid w:val="009A5F79"/>
    <w:rsid w:val="009A6F16"/>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1D88"/>
    <w:rsid w:val="00A04C0C"/>
    <w:rsid w:val="00A06422"/>
    <w:rsid w:val="00A10D56"/>
    <w:rsid w:val="00A12AAE"/>
    <w:rsid w:val="00A12F22"/>
    <w:rsid w:val="00A16DD1"/>
    <w:rsid w:val="00A22441"/>
    <w:rsid w:val="00A23F3B"/>
    <w:rsid w:val="00A24406"/>
    <w:rsid w:val="00A25F64"/>
    <w:rsid w:val="00A275F6"/>
    <w:rsid w:val="00A303B9"/>
    <w:rsid w:val="00A37416"/>
    <w:rsid w:val="00A40ED6"/>
    <w:rsid w:val="00A41945"/>
    <w:rsid w:val="00A47621"/>
    <w:rsid w:val="00A479CD"/>
    <w:rsid w:val="00A50CFC"/>
    <w:rsid w:val="00A54D67"/>
    <w:rsid w:val="00A55A3F"/>
    <w:rsid w:val="00A5656A"/>
    <w:rsid w:val="00A60103"/>
    <w:rsid w:val="00A652F6"/>
    <w:rsid w:val="00A65861"/>
    <w:rsid w:val="00A7249B"/>
    <w:rsid w:val="00A732EA"/>
    <w:rsid w:val="00A7489E"/>
    <w:rsid w:val="00A8015F"/>
    <w:rsid w:val="00A85039"/>
    <w:rsid w:val="00A906AA"/>
    <w:rsid w:val="00A94C5E"/>
    <w:rsid w:val="00AA252C"/>
    <w:rsid w:val="00AA666E"/>
    <w:rsid w:val="00AA7960"/>
    <w:rsid w:val="00AB4E63"/>
    <w:rsid w:val="00AB5518"/>
    <w:rsid w:val="00AC3A0E"/>
    <w:rsid w:val="00AC4A04"/>
    <w:rsid w:val="00AC5679"/>
    <w:rsid w:val="00AC5995"/>
    <w:rsid w:val="00AC73BA"/>
    <w:rsid w:val="00AD336F"/>
    <w:rsid w:val="00AE134C"/>
    <w:rsid w:val="00AE1868"/>
    <w:rsid w:val="00AE2564"/>
    <w:rsid w:val="00AE301F"/>
    <w:rsid w:val="00AE3302"/>
    <w:rsid w:val="00AE5BA6"/>
    <w:rsid w:val="00AE6231"/>
    <w:rsid w:val="00AE7077"/>
    <w:rsid w:val="00AF3544"/>
    <w:rsid w:val="00AF5FCE"/>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3788F"/>
    <w:rsid w:val="00B42E76"/>
    <w:rsid w:val="00B43194"/>
    <w:rsid w:val="00B436BF"/>
    <w:rsid w:val="00B47734"/>
    <w:rsid w:val="00B50FBA"/>
    <w:rsid w:val="00B519C5"/>
    <w:rsid w:val="00B558EB"/>
    <w:rsid w:val="00B577D3"/>
    <w:rsid w:val="00B60466"/>
    <w:rsid w:val="00B63FEA"/>
    <w:rsid w:val="00B6548F"/>
    <w:rsid w:val="00B71A32"/>
    <w:rsid w:val="00B72FD1"/>
    <w:rsid w:val="00B7502A"/>
    <w:rsid w:val="00B77305"/>
    <w:rsid w:val="00B774BD"/>
    <w:rsid w:val="00B82CC2"/>
    <w:rsid w:val="00B84A89"/>
    <w:rsid w:val="00B9256C"/>
    <w:rsid w:val="00B92BEF"/>
    <w:rsid w:val="00B94443"/>
    <w:rsid w:val="00B9689A"/>
    <w:rsid w:val="00B97056"/>
    <w:rsid w:val="00BA531E"/>
    <w:rsid w:val="00BA71B6"/>
    <w:rsid w:val="00BA728B"/>
    <w:rsid w:val="00BA7C77"/>
    <w:rsid w:val="00BB06CB"/>
    <w:rsid w:val="00BB261F"/>
    <w:rsid w:val="00BB2887"/>
    <w:rsid w:val="00BB3B56"/>
    <w:rsid w:val="00BB5EAA"/>
    <w:rsid w:val="00BB5F11"/>
    <w:rsid w:val="00BB6638"/>
    <w:rsid w:val="00BB7FD2"/>
    <w:rsid w:val="00BC04FA"/>
    <w:rsid w:val="00BC1C22"/>
    <w:rsid w:val="00BC460B"/>
    <w:rsid w:val="00BC4ED3"/>
    <w:rsid w:val="00BC5725"/>
    <w:rsid w:val="00BD2D86"/>
    <w:rsid w:val="00BD30B1"/>
    <w:rsid w:val="00BE0F7B"/>
    <w:rsid w:val="00BE10C2"/>
    <w:rsid w:val="00BF0D6C"/>
    <w:rsid w:val="00BF4ADB"/>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536"/>
    <w:rsid w:val="00C56D09"/>
    <w:rsid w:val="00C57D24"/>
    <w:rsid w:val="00C604D6"/>
    <w:rsid w:val="00C63CAB"/>
    <w:rsid w:val="00C63D00"/>
    <w:rsid w:val="00C6441B"/>
    <w:rsid w:val="00C65921"/>
    <w:rsid w:val="00C7108B"/>
    <w:rsid w:val="00C75883"/>
    <w:rsid w:val="00C7759E"/>
    <w:rsid w:val="00C77FA5"/>
    <w:rsid w:val="00C8089F"/>
    <w:rsid w:val="00C835FE"/>
    <w:rsid w:val="00C836CC"/>
    <w:rsid w:val="00C852D6"/>
    <w:rsid w:val="00C87A74"/>
    <w:rsid w:val="00C87CDE"/>
    <w:rsid w:val="00C92C71"/>
    <w:rsid w:val="00C93F8F"/>
    <w:rsid w:val="00CA0766"/>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18B"/>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7F07"/>
    <w:rsid w:val="00DC1B10"/>
    <w:rsid w:val="00DC2924"/>
    <w:rsid w:val="00DC4729"/>
    <w:rsid w:val="00DD31C5"/>
    <w:rsid w:val="00DD5020"/>
    <w:rsid w:val="00DD63BE"/>
    <w:rsid w:val="00DE4296"/>
    <w:rsid w:val="00DF0380"/>
    <w:rsid w:val="00DF2469"/>
    <w:rsid w:val="00DF7899"/>
    <w:rsid w:val="00E01EC1"/>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96F"/>
    <w:rsid w:val="00EB62E6"/>
    <w:rsid w:val="00EB695F"/>
    <w:rsid w:val="00EC3A85"/>
    <w:rsid w:val="00EC4B89"/>
    <w:rsid w:val="00EC59A5"/>
    <w:rsid w:val="00EC6E15"/>
    <w:rsid w:val="00ED1520"/>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56EA"/>
    <w:rsid w:val="00F32B82"/>
    <w:rsid w:val="00F34C86"/>
    <w:rsid w:val="00F4043E"/>
    <w:rsid w:val="00F41795"/>
    <w:rsid w:val="00F41BBC"/>
    <w:rsid w:val="00F42C15"/>
    <w:rsid w:val="00F444F0"/>
    <w:rsid w:val="00F446FF"/>
    <w:rsid w:val="00F45521"/>
    <w:rsid w:val="00F50847"/>
    <w:rsid w:val="00F53C86"/>
    <w:rsid w:val="00F53F27"/>
    <w:rsid w:val="00F546D1"/>
    <w:rsid w:val="00F60281"/>
    <w:rsid w:val="00F63CB7"/>
    <w:rsid w:val="00F66272"/>
    <w:rsid w:val="00F709C0"/>
    <w:rsid w:val="00F81FEC"/>
    <w:rsid w:val="00F8636D"/>
    <w:rsid w:val="00F927A1"/>
    <w:rsid w:val="00F92E4D"/>
    <w:rsid w:val="00F95D08"/>
    <w:rsid w:val="00FA0826"/>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5477"/>
    <w:rsid w:val="00FD780E"/>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4C04B62"/>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m5tqyf">
    <w:name w:val="m5tqyf"/>
    <w:basedOn w:val="DefaultParagraphFont"/>
    <w:rsid w:val="00BA7C77"/>
  </w:style>
  <w:style w:type="paragraph" w:customStyle="1" w:styleId="legclearfix">
    <w:name w:val="legclearfix"/>
    <w:basedOn w:val="Normal"/>
    <w:rsid w:val="000208D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0208DE"/>
  </w:style>
  <w:style w:type="character" w:styleId="Strong">
    <w:name w:val="Strong"/>
    <w:basedOn w:val="DefaultParagraphFont"/>
    <w:uiPriority w:val="22"/>
    <w:qFormat/>
    <w:rsid w:val="001E0EA7"/>
    <w:rPr>
      <w:b/>
      <w:bCs/>
    </w:rPr>
  </w:style>
  <w:style w:type="paragraph" w:styleId="NormalWeb">
    <w:name w:val="Normal (Web)"/>
    <w:basedOn w:val="Normal"/>
    <w:uiPriority w:val="99"/>
    <w:semiHidden/>
    <w:unhideWhenUsed/>
    <w:rsid w:val="001E0EA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E0EA7"/>
    <w:rPr>
      <w:i/>
      <w:iCs/>
    </w:rPr>
  </w:style>
  <w:style w:type="paragraph" w:customStyle="1" w:styleId="itemcitation">
    <w:name w:val="item_citation"/>
    <w:basedOn w:val="Normal"/>
    <w:rsid w:val="002B64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officialurl">
    <w:name w:val="official_url"/>
    <w:basedOn w:val="Normal"/>
    <w:rsid w:val="002B64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747784">
      <w:bodyDiv w:val="1"/>
      <w:marLeft w:val="0"/>
      <w:marRight w:val="0"/>
      <w:marTop w:val="0"/>
      <w:marBottom w:val="0"/>
      <w:divBdr>
        <w:top w:val="none" w:sz="0" w:space="0" w:color="auto"/>
        <w:left w:val="none" w:sz="0" w:space="0" w:color="auto"/>
        <w:bottom w:val="none" w:sz="0" w:space="0" w:color="auto"/>
        <w:right w:val="none" w:sz="0" w:space="0" w:color="auto"/>
      </w:divBdr>
    </w:div>
    <w:div w:id="78284715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57620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423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20680@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FC9530-AC06-4531-B328-E10CF82D6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4110</Words>
  <Characters>23431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Louisa Lloyd</cp:lastModifiedBy>
  <cp:revision>3</cp:revision>
  <cp:lastPrinted>2020-02-11T19:20:00Z</cp:lastPrinted>
  <dcterms:created xsi:type="dcterms:W3CDTF">2025-09-29T13:15:00Z</dcterms:created>
  <dcterms:modified xsi:type="dcterms:W3CDTF">2025-09-29T14:59:00Z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