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0E819F" w14:textId="77777777" w:rsidR="00DC5B65" w:rsidRPr="00DC5B65" w:rsidRDefault="00DC5B65" w:rsidP="00DC5B65">
      <w:pPr>
        <w:spacing w:line="360" w:lineRule="atLeast"/>
        <w:ind w:right="-427"/>
        <w:jc w:val="center"/>
        <w:rPr>
          <w:rFonts w:ascii="Calibri" w:hAnsi="Calibri" w:cs="Times New Roman"/>
          <w:color w:val="000000"/>
          <w:lang w:eastAsia="en-GB"/>
        </w:rPr>
      </w:pPr>
      <w:r w:rsidRPr="00DC5B65">
        <w:rPr>
          <w:rFonts w:ascii="Calibri" w:hAnsi="Calibri" w:cs="Times New Roman"/>
          <w:color w:val="000000"/>
          <w:u w:val="single"/>
          <w:lang w:eastAsia="en-GB"/>
        </w:rPr>
        <w:t>Critically evaluate</w:t>
      </w:r>
      <w:bookmarkStart w:id="0" w:name="_GoBack"/>
      <w:bookmarkEnd w:id="0"/>
      <w:r w:rsidRPr="00DC5B65">
        <w:rPr>
          <w:rFonts w:ascii="Calibri" w:hAnsi="Calibri" w:cs="Times New Roman"/>
          <w:color w:val="000000"/>
          <w:u w:val="single"/>
          <w:lang w:eastAsia="en-GB"/>
        </w:rPr>
        <w:t xml:space="preserve"> your creativity and enterprise dispositions in terms of the Entrecomp frame work and how you might develop these to the next level and demonstrate progression</w:t>
      </w:r>
    </w:p>
    <w:p w14:paraId="038FA35E" w14:textId="77777777" w:rsidR="00DC5B65" w:rsidRPr="00DC5B65" w:rsidRDefault="00DC5B65" w:rsidP="00DC5B65">
      <w:pPr>
        <w:rPr>
          <w:rFonts w:ascii="Calibri" w:hAnsi="Calibri" w:cs="Times New Roman"/>
          <w:color w:val="000000"/>
          <w:lang w:eastAsia="en-GB"/>
        </w:rPr>
      </w:pPr>
      <w:r w:rsidRPr="00DC5B65">
        <w:rPr>
          <w:rFonts w:ascii="Calibri" w:hAnsi="Calibri" w:cs="Times New Roman"/>
          <w:color w:val="000000"/>
          <w:lang w:eastAsia="en-GB"/>
        </w:rPr>
        <w:t> </w:t>
      </w:r>
    </w:p>
    <w:p w14:paraId="387B0CEA"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63AB3696"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For the purpose of the assignment, the author will critically evaluate their personal creativity and enterprise dispositions with regards to the Entrecomp framework. The aim of the framework is to ensure that everyone has a key set of competences needed for active citizenship, social inclusion, personal development and employment. The Entrecomp progression model does not refer to a specific setting, meaning it can be adapted to support different contexts and needs with an ambition to ‘build a bridge between the worlds of work and education’. However, it should be considered that the framework is a result of a research methodology and has yet to be adapted, or tested in real life settings (Bacigalupo et al., 2016).</w:t>
      </w:r>
    </w:p>
    <w:p w14:paraId="3A5A0091"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29D49FFB"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The Entrecomp framework is made up of three competence areas: ‘Ideas and opportunities’, ‘Resources’, and ‘Into action’ and has been further broken down into constituent parts which will be considered throughout this assignment with regards to the authors creativity and enterprise dispositions (Bacigalupo et al., 2016). Throughout the assignment, the authors dispositions can be defined as inherent qualities of character of mind. The use of the word “dispositions” in the present education can be defined as the effort to move beyond what teachers know and can do, to what they are actually likely to do with that knowledge and ability (Dottin, 2009).</w:t>
      </w:r>
    </w:p>
    <w:p w14:paraId="5D0A29D6"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69F3E5C9"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The importance of creativity in education has been discussed at length by many theorists (Wilson, 2015; Craft, 2011 and Barnes, 2015) and can be defined as the process of having original ideas that have value (Robinson and Arnonia, 2015). The National Advisory Committee on Creative and Cultural Education (1999: 29) support this definition by defining creativity as an ‘imaginative activity fashioned so as to produce outcomes that are both original and of value’. Making reference to creativity, enterprise can be defined as the application of creative ideas and innovations to practical situations (QQA, 2012).  Enterprise therefore supports the development of a wide range of professional skills, including risk taking, innovation, creativity and resilience and the capacity to handle uncertainty (Young, 2014; Davies, 2002 and Lowe and Marriot, 2012). At the heart of this approach is, consequently personal development and self-confidence. </w:t>
      </w:r>
    </w:p>
    <w:p w14:paraId="4CC33133"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774361EB"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xml:space="preserve">The Welsh Government is continuously subject to pressures to change. On the basis of evidence from the ‘Successful Futures Review’ (Donaldson, 2015), both creativity and enterprise should be seen as central features of modern life that should be developed and </w:t>
      </w:r>
      <w:r w:rsidRPr="00DC5B65">
        <w:rPr>
          <w:rFonts w:ascii="Calibri" w:hAnsi="Calibri" w:cs="Times New Roman"/>
          <w:color w:val="000000"/>
          <w:lang w:eastAsia="en-GB"/>
        </w:rPr>
        <w:lastRenderedPageBreak/>
        <w:t>extended throughout children’s school career. Teachers need to be able to provide their pupils with the ‘softer’ skills, dispositions and attitudes that will be essential in their future lives, including the desire and the capacity to contribute, individually or as a member of a team. As our society becomes more complex, we need to ensure we are adapting to become more creative and enterprising.</w:t>
      </w:r>
    </w:p>
    <w:p w14:paraId="6F105FE4"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623BA0D7"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In seeking to become a creative teacher, the author understands the importance of their own creativity, including the imaginative repertoire and approaches involved. Throughout this assignment, the author wants to progress personally to ensure that they can use their own dispositions and learned creativity to make learning accessible for all (Barnes, 2015). Wilson (2015) suggests that exercising personal creativity and recognising this is an important part of professional and personal meaning-making for teachers. With reference to the Entrecomp framework, the author aims to achieve progression within creativity through the area ‘Ideas and Opportunities’. Throughout this area, the author will aim to develop creative and purposeful ideas through their ‘curiosity and openness’ and through ‘exploring and experimenting with different innovative approaches’ (Bacigalupo et al., 2016).</w:t>
      </w:r>
    </w:p>
    <w:p w14:paraId="2496516B"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35BE2C4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From personal experience, the author has shown that she is ‘curious to try new things and explore new ways of making use of existing resources’ during her personal teaching experiences (PTE). This can be seen at an advanced level of proficiency as the author is seen to take responsibility for their own learning (see appendix A). However, the author is currently unable to progress to level six as evidence suggests that guidance is still required from their personal tutor and mentor (see appendix B). In the future, the author will need to ‘actively search for new solutions that improve the value creating-process’ to ensure they are working both independently and an advanced level (Bacigalupo et al., 2016).</w:t>
      </w:r>
    </w:p>
    <w:p w14:paraId="5BB527F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4FCADA7D"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Wilson (2015) discusses the importance of recognising and exercising personal creativity. This is displayed through a model of ‘creative practice and a creative state of mind’ which considers the necessity of teachers to actively exercise and develop their creativity through four core features of practice; curiosity, originality, connection making and ownership. To ensure the author shows progression, they will need to work independently in ‘developing creative and purposeful ideas’ and exploring different methods to adapt their previous teaching. One model to support this statement is the SCAMPER model which can be seen as a creative brainstorming mnemonic to help generate ideas. The author will use this model as a tool to help develop creative and purposeful ideas through improving on existing ones (Eberle, 1990). Nevertheless, the author understands the need to be open to new ideas and will explore different ways of doing things through ‘possibility thinking’ (Craft, 2000; Grigg, 2015; Barnes, 2015). Craft (2000) states that possibility thinking enables drive for individuals to find their way through life experiences when they meet with a creative approach. This will provide the author with the opportunity to develop their enterprise skills involving imagination, organisation, creativity, as well as taking responsibility of their own progression (Bridge and O’Neill, 2013).</w:t>
      </w:r>
    </w:p>
    <w:p w14:paraId="342CCA3F"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3557AEC0"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Robinson and Arnonia (2016) suggest considering two concepts when aiming to progress with regards to creativity: Imagination and innovation. The imagination will be seen as the root of the creativity and innovation will be putting the new ideas into practice (Robinson and Arnonia, 2015). Innovation can be defined as setting aside accepted ways of doing things, and taking a new approach, doing things differently (Craft, 2000).</w:t>
      </w:r>
    </w:p>
    <w:p w14:paraId="7FD7C9BF"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1463A7F7"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With reference to the Entrecomp framework, the author will aim to ‘explore and experiment with innovative approaches’ (Bacigalupo et al., 2016). Throughout the authors PTE, there have been many opportunities to show innovation during lessons. One science lesson in particular was specifically planned to ensure an innovative lesson took place. Throughout the lesson, all children were engaged and motivated to learn which provided the author with a sense of achievement. Although there were positive comments made in the summative assessment regarding the authors innovative approach, there are still areas which require further development (see appendix C). With this in mind, the author desires to possess a higher level of proficiency (see appendix), showing responsibility at an advanced level five (Bacigalupo et al., 2016).</w:t>
      </w:r>
    </w:p>
    <w:p w14:paraId="4E2F60B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0A9DDF84"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To support the author, ‘The Innovation Engine’ model can be used as a tool to help evaluate and increase personal creativity, for the author and that of others involved in the process. The model contains three parts on the inside; knowledge, imagination and attitude which can be seen to overlap because they exist in in the mind. Additionally, there are three aspects on the outside; resources, habitats and culture. It is clear that although creativity is generated internally, other aspects need to be considered that can influence this (Seelig, 2012). </w:t>
      </w:r>
    </w:p>
    <w:p w14:paraId="659483AC"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0D8C4A9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Pedagogy can be seen as the skilful interplay of teachers’ creativity and knowledge to specific classroom situations (Pollard, 2014). For example, throughout Univercity and PTE, the author has experienced both ‘pedagogy’ and ‘andragogy’ on a regular basis, where the authors personal contribution has been limited to a certain extent.  Therefore, the author will consider all three types of pedagogy when planning future lessons, including ‘heutagogy’ that can be defined as ‘self-determined learning’, as well as a known innovative approach (Hase and Kenyon, 2000). The idea of pedagogy is multifaceted and needs to be constantly refined through reflections and shown an emotional commitment including the willingness to take risks and have the self-confidence to do so (Pollard, 2014; Robinson, 2000).</w:t>
      </w:r>
    </w:p>
    <w:p w14:paraId="5A15FB96"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186191F2"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Therefore, the next competence that will be discussed is ‘self-awareness and self-efficacy’ which will be taken from the area ‘resources’ from the Entrecomp framework (Bacigalupo et al., 2016). The author has decided to focus on this area as it can be seen from observations and personal reflections that there are aspects of low self-efficacy (see appendix D). The author places themselves at an intermediate level on the Entrecomp framework as they believe they are still building independence. In order to progress within this area, the author will need to focus on believing in their ability (Bacigalupo et al., 2016).</w:t>
      </w:r>
    </w:p>
    <w:p w14:paraId="7228AC54"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1D68144B"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Self-efficacy can be explained as the beliefs people have in their own ability and capacity to do things well and the confidence to make this happen (Hattie, 2012; Grigg, 2015; Schwarzer, 2015). Bandura (1986, cited in Griggs, 2015) explains it through a social cognitive theory, which stresses that behaviour and thought is best understood within a social system. From personal experience, the author has found it difficult to recover a sense of confidence since feeling let down during an observation during her first PTE. </w:t>
      </w:r>
    </w:p>
    <w:p w14:paraId="3CDF4BCD"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5D6BC70C"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Fuller’s (1969, cited in Bowles and Pearman, 2017) ‘concern’s based model’ of teacher development explains teacher’s self-efficacy in three stages and has since been revised and extended by many theorists. These include, concerns about self, concerns about situations and concerns about the impact on pupils (Hall and Hord, 2000 and Conway and Clark, 2003). However, the author is aware of these concerns and wants to progress to a higher level of proficiency where they can take responsibility and believe in their ability to ‘carry out what they have imagined and planned’ (Bacigalupo et al., 2016).</w:t>
      </w:r>
    </w:p>
    <w:p w14:paraId="0ABFED7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000549AB"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Carol Dweck (2006) suggests that success in school and life generally is partly dependent upon holding the correct mind-set. Those who believe they can learn through effort and education have a ‘growth mind-set’. Moreover, the ability to encourage oneself to believe they are able to reach a certain goal (Baron and Byrne, 2004). Seligman (2006) introduced the concept of ‘explanatory style’ which provides pessimistic and optimistic responses to situations. Through using this style, the author will be able to model resilience when approaching and responding to challenging situations by using optimistic self-talk, as well learning from mistakes. However, it’s crucial that this monitored for progression. A significant aspect of developing self-efficacy relies on reflection. This can be seen through the authors ARC’s from PTE. Often through reflection we come to realise we are growing and developing our skills, gaining a metacognitive regard to our self-efficacy (Bowles and Pearman, 2017). </w:t>
      </w:r>
    </w:p>
    <w:p w14:paraId="65E7E662"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0C7E1F76"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Professional dispositions can be seen as values that determine how teachers interact with others (Grigg, 2015).  Working with others in a school environment is essential. The author has personally had the opportunity to observe the importance of working with others and has experienced the effect it has on their personal progression with regards to teaching. With reference to the Entrecomp framework, the author aims to gain a deeper understanding of ‘working with others’ through the area ‘into action’ (Bacigalupo et al., 2016). The author currently places herself at an intermediate level of proficiency, showing she can ‘team up’ and ‘work together’ with a range of individuals and teams, sharing the ownership of creating activities (see appendix E). In the future, the author hopes to progress to advanced level of proficiency through continuing to team up and work together with others. </w:t>
      </w:r>
    </w:p>
    <w:p w14:paraId="5D89BBBF"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07F46BFA"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A teacher is someone who works collaboratively with others on a daily basis, working with a community of professionals, with different roles who will contribute to the school in many different ways (Grigg, 2015; Tarrant and Hewitt, 2015). Working collaboratively as a team that combines a mixture of skills and knowledge can create an enterprising and innovative attitude among all involved. Birley and Muzyka (1997) discuss the prospects of teams producing more ideas, making better-evaluated decisions and implementing those decisions in a more successful manner than that of individuals working alone. They elaborate on this further, affirming that if the team is creative, it is more likely they will come up with lots of ideas and actions. </w:t>
      </w:r>
    </w:p>
    <w:p w14:paraId="46DF0447"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74B3E2F1"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The Association of Teachers and Lecturers (Weindling, 2005) welcomes the exploration of collaborative work as they believe it will underpin many of the challenges that are taking place in today’s education system.  Evidence has shown that the best teaching has taken place when professionals work, learn and reflect together. Many of the Welsh Government initiatives, reviews and documents are underpinned by the assumption that, both now and in the future, teachers will need to work more collaboratively (Donaldson, 2015; WG, 2015) </w:t>
      </w:r>
    </w:p>
    <w:p w14:paraId="34163EDF"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5476CCA6"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When considering progression with regards to ‘working with others’, the author has considered using a national model entitled ‘A Professional Learning Community’ (PLC). It involves a group of practitioners working together in a structured process of enquiry to focus on a specific area of their teaching. The PLC model recognises that professional development is at its most powerful when professionals team up and work together to establish, require and evaluate improved outcomes. (WG, 2016). </w:t>
      </w:r>
    </w:p>
    <w:p w14:paraId="6C95DBC3"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4C1CB16A"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Through working with others, the author hopes that this will provide the opportunity to progress onto the next level of the Entrecomp framework, with the confidence that they will be able to ‘use techniques and tools that can help to promote people to work together’ (Bacigalupo et al., 2016).</w:t>
      </w:r>
    </w:p>
    <w:p w14:paraId="03CF06CE"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3844B167"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Overall, the author has found that critically evaluating their personal creativity and enterprise dispositions has provided them with a mindset to ensure progression to made in each competence discussed. The areas considered will need to be carefully monitored to ensure there are continuous improvements being made. To ensure this happens, the author will continue to aim for a higher level of proficiency with reference to the Entrecomp framework and will consider looking other competences (Bacigalupo et al., 2016). Grigg (2015) states that professional knowledge never remains static and that teacher should take up a ‘teacher as researcher’ approach to all aspects of future learning. Stenhouse (1975 cited in Grigg, 2015) developed this model as a research tradition that could be accessible for all teachers. The model focuses on empowering teachers to develop their expertise and dispositions. Barnes (2015) supports this statement, advocating that as teachers we should constantly and consistently assess our personal dispositions. In the future, the author will consider using a more creative approach such as cross-curricular learning where the skills, knowledge and attitudes of a number of disciplines are applied to a single experience.  </w:t>
      </w:r>
    </w:p>
    <w:p w14:paraId="3E568878"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18BE4B72"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576124D0"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44CE159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311EBCB0"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03397153"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4DBD384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6F2494F8"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6973E022"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1D6A63E0"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158654F4"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5D75E08B"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0E340E6A"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7E19AAC8"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39B9B64A"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249303A2"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36FF340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777B794E"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56E9AF34"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5DF3401F"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57EFC41F"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2443B174"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53FB80F6"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728F44B1"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7D4B26A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47167AF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4477DBF3"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453DD60A"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70491286"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3E58972A"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67AC0318"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4CFF8B9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029AA122"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u w:val="single"/>
          <w:lang w:eastAsia="en-GB"/>
        </w:rPr>
        <w:t>References </w:t>
      </w:r>
    </w:p>
    <w:p w14:paraId="01244C34"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688C18DE" w14:textId="77777777" w:rsidR="00DC5B65" w:rsidRPr="00DC5B65" w:rsidRDefault="00DC5B65" w:rsidP="00DC5B65">
      <w:pPr>
        <w:rPr>
          <w:rFonts w:ascii="Calibri" w:hAnsi="Calibri" w:cs="Times New Roman"/>
          <w:color w:val="000000"/>
          <w:lang w:eastAsia="en-GB"/>
        </w:rPr>
      </w:pPr>
      <w:r w:rsidRPr="00DC5B65">
        <w:rPr>
          <w:rFonts w:ascii="Calibri" w:hAnsi="Calibri" w:cs="Times New Roman"/>
          <w:i/>
          <w:iCs/>
          <w:color w:val="000000"/>
          <w:lang w:eastAsia="en-GB"/>
        </w:rPr>
        <w:t> </w:t>
      </w:r>
    </w:p>
    <w:p w14:paraId="61A2F367"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Bacigalupo, M., Kampylis, P., Punie, Y., Van den Brande, G. (2016) </w:t>
      </w:r>
      <w:r w:rsidRPr="00DC5B65">
        <w:rPr>
          <w:rFonts w:ascii="Calibri" w:hAnsi="Calibri" w:cs="Times New Roman"/>
          <w:i/>
          <w:iCs/>
          <w:color w:val="000000"/>
          <w:lang w:eastAsia="en-GB"/>
        </w:rPr>
        <w:t>Entrecomp: The Entrepreneurship Competence Framework.</w:t>
      </w:r>
      <w:r w:rsidRPr="00DC5B65">
        <w:rPr>
          <w:rFonts w:ascii="Calibri" w:hAnsi="Calibri" w:cs="Times New Roman"/>
          <w:color w:val="000000"/>
          <w:lang w:eastAsia="en-GB"/>
        </w:rPr>
        <w:t>Luxembourg: Publication Office of the European Union. </w:t>
      </w:r>
    </w:p>
    <w:p w14:paraId="43609FB1"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i/>
          <w:iCs/>
          <w:color w:val="000000"/>
          <w:lang w:eastAsia="en-GB"/>
        </w:rPr>
        <w:t> </w:t>
      </w:r>
    </w:p>
    <w:p w14:paraId="6CDB2B01"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val="en-US" w:eastAsia="en-GB"/>
        </w:rPr>
        <w:t>Barnes, J. (2015) 3</w:t>
      </w:r>
      <w:r w:rsidRPr="00DC5B65">
        <w:rPr>
          <w:rFonts w:ascii="Calibri" w:hAnsi="Calibri" w:cs="Times New Roman"/>
          <w:color w:val="000000"/>
          <w:vertAlign w:val="superscript"/>
          <w:lang w:val="en-US" w:eastAsia="en-GB"/>
        </w:rPr>
        <w:t>rd</w:t>
      </w:r>
      <w:r w:rsidRPr="00DC5B65">
        <w:rPr>
          <w:rFonts w:ascii="Calibri" w:hAnsi="Calibri" w:cs="Times New Roman"/>
          <w:color w:val="000000"/>
          <w:lang w:val="en-US" w:eastAsia="en-GB"/>
        </w:rPr>
        <w:t> ed. </w:t>
      </w:r>
      <w:r w:rsidRPr="00DC5B65">
        <w:rPr>
          <w:rFonts w:ascii="Calibri" w:hAnsi="Calibri" w:cs="Times New Roman"/>
          <w:i/>
          <w:iCs/>
          <w:color w:val="000000"/>
          <w:lang w:val="en-US" w:eastAsia="en-GB"/>
        </w:rPr>
        <w:t>Cross-Curricular Learning 3-14. </w:t>
      </w:r>
      <w:r w:rsidRPr="00DC5B65">
        <w:rPr>
          <w:rFonts w:ascii="Calibri" w:hAnsi="Calibri" w:cs="Times New Roman"/>
          <w:color w:val="000000"/>
          <w:lang w:val="en-US" w:eastAsia="en-GB"/>
        </w:rPr>
        <w:t>London: SAGE Publications.</w:t>
      </w:r>
    </w:p>
    <w:p w14:paraId="2F0DC02C"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val="en-US" w:eastAsia="en-GB"/>
        </w:rPr>
        <w:t> </w:t>
      </w:r>
    </w:p>
    <w:p w14:paraId="3D9226BC"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Birley, S and Muzyka. F, D. (1997) </w:t>
      </w:r>
      <w:r w:rsidRPr="00DC5B65">
        <w:rPr>
          <w:rFonts w:ascii="Calibri" w:hAnsi="Calibri" w:cs="Times New Roman"/>
          <w:i/>
          <w:iCs/>
          <w:color w:val="000000"/>
          <w:lang w:eastAsia="en-GB"/>
        </w:rPr>
        <w:t>Mastering Enterprise: Your single-source guide to becoming an entrepreneur. </w:t>
      </w:r>
      <w:r w:rsidRPr="00DC5B65">
        <w:rPr>
          <w:rFonts w:ascii="Calibri" w:hAnsi="Calibri" w:cs="Times New Roman"/>
          <w:color w:val="000000"/>
          <w:lang w:eastAsia="en-GB"/>
        </w:rPr>
        <w:t>London: Financial Times Pitman Publishing.</w:t>
      </w:r>
    </w:p>
    <w:p w14:paraId="2AE4D077"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271E3ABA"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Bono, D. E. (1993) ‘</w:t>
      </w:r>
      <w:r w:rsidRPr="00DC5B65">
        <w:rPr>
          <w:rFonts w:ascii="Calibri" w:hAnsi="Calibri" w:cs="Times New Roman"/>
          <w:i/>
          <w:iCs/>
          <w:color w:val="000000"/>
          <w:lang w:eastAsia="en-GB"/>
        </w:rPr>
        <w:t>Teach your child how to think</w:t>
      </w:r>
      <w:r w:rsidRPr="00DC5B65">
        <w:rPr>
          <w:rFonts w:ascii="Helvetica" w:hAnsi="Helvetica" w:cs="Times New Roman"/>
          <w:i/>
          <w:iCs/>
          <w:color w:val="000000"/>
          <w:lang w:eastAsia="en-GB"/>
        </w:rPr>
        <w:t>’</w:t>
      </w:r>
      <w:r w:rsidRPr="00DC5B65">
        <w:rPr>
          <w:rFonts w:ascii="Calibri" w:hAnsi="Calibri" w:cs="Times New Roman"/>
          <w:i/>
          <w:iCs/>
          <w:color w:val="000000"/>
          <w:lang w:eastAsia="en-GB"/>
        </w:rPr>
        <w:t>. </w:t>
      </w:r>
      <w:r w:rsidRPr="00DC5B65">
        <w:rPr>
          <w:rFonts w:ascii="Calibri" w:hAnsi="Calibri" w:cs="Times New Roman"/>
          <w:color w:val="000000"/>
          <w:lang w:eastAsia="en-GB"/>
        </w:rPr>
        <w:t>London: Penguin Group. </w:t>
      </w:r>
    </w:p>
    <w:p w14:paraId="4DBFAEB6"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4D9E5E59"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Bowles. A, F and Pearman. J, C. (2017) </w:t>
      </w:r>
      <w:r w:rsidRPr="00DC5B65">
        <w:rPr>
          <w:rFonts w:ascii="Calibri" w:hAnsi="Calibri" w:cs="Times New Roman"/>
          <w:i/>
          <w:iCs/>
          <w:color w:val="000000"/>
          <w:lang w:eastAsia="en-GB"/>
        </w:rPr>
        <w:t>In Action: Tales from the Classroom for Teaching, Learning and Professional Development. </w:t>
      </w:r>
      <w:r w:rsidRPr="00DC5B65">
        <w:rPr>
          <w:rFonts w:ascii="Calibri" w:hAnsi="Calibri" w:cs="Times New Roman"/>
          <w:color w:val="000000"/>
          <w:lang w:eastAsia="en-GB"/>
        </w:rPr>
        <w:t>London: Rowman and Littlefield. </w:t>
      </w:r>
    </w:p>
    <w:p w14:paraId="4F965B31"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56353EFE"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Bridge, S. and O’Neill. (2013) </w:t>
      </w:r>
      <w:r w:rsidRPr="00DC5B65">
        <w:rPr>
          <w:rFonts w:ascii="Calibri" w:hAnsi="Calibri" w:cs="Times New Roman"/>
          <w:i/>
          <w:iCs/>
          <w:color w:val="000000"/>
          <w:lang w:eastAsia="en-GB"/>
        </w:rPr>
        <w:t>Understanding Enterprise: Entrepreneurship and Small Business. </w:t>
      </w:r>
      <w:r w:rsidRPr="00DC5B65">
        <w:rPr>
          <w:rFonts w:ascii="Calibri" w:hAnsi="Calibri" w:cs="Times New Roman"/>
          <w:color w:val="000000"/>
          <w:lang w:eastAsia="en-GB"/>
        </w:rPr>
        <w:t>(4</w:t>
      </w:r>
      <w:r w:rsidRPr="00DC5B65">
        <w:rPr>
          <w:rFonts w:ascii="Calibri" w:hAnsi="Calibri" w:cs="Times New Roman"/>
          <w:color w:val="000000"/>
          <w:vertAlign w:val="superscript"/>
          <w:lang w:eastAsia="en-GB"/>
        </w:rPr>
        <w:t>th</w:t>
      </w:r>
      <w:r w:rsidRPr="00DC5B65">
        <w:rPr>
          <w:rFonts w:ascii="Calibri" w:hAnsi="Calibri" w:cs="Times New Roman"/>
          <w:color w:val="000000"/>
          <w:lang w:eastAsia="en-GB"/>
        </w:rPr>
        <w:t> ed) London: Palgrave Macmillan.</w:t>
      </w:r>
    </w:p>
    <w:p w14:paraId="53BE6818"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4AAC480B"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Conway, P. F and Clark, C. M. (2003) ‘The Journey inward and outward: a re-examination of Fuller</w:t>
      </w:r>
      <w:r w:rsidRPr="00DC5B65">
        <w:rPr>
          <w:rFonts w:ascii="Helvetica" w:hAnsi="Helvetica" w:cs="Times New Roman"/>
          <w:color w:val="000000"/>
          <w:lang w:eastAsia="en-GB"/>
        </w:rPr>
        <w:t>’</w:t>
      </w:r>
      <w:r w:rsidRPr="00DC5B65">
        <w:rPr>
          <w:rFonts w:ascii="Calibri" w:hAnsi="Calibri" w:cs="Times New Roman"/>
          <w:color w:val="000000"/>
          <w:lang w:eastAsia="en-GB"/>
        </w:rPr>
        <w:t>s concerns-based model of teacher development’.</w:t>
      </w:r>
      <w:r w:rsidRPr="00DC5B65">
        <w:rPr>
          <w:rFonts w:ascii="Calibri" w:hAnsi="Calibri" w:cs="Times New Roman"/>
          <w:i/>
          <w:iCs/>
          <w:color w:val="000000"/>
          <w:lang w:eastAsia="en-GB"/>
        </w:rPr>
        <w:t> Teaching and Teacher Education, </w:t>
      </w:r>
      <w:r w:rsidRPr="00DC5B65">
        <w:rPr>
          <w:rFonts w:ascii="Calibri" w:hAnsi="Calibri" w:cs="Times New Roman"/>
          <w:color w:val="000000"/>
          <w:lang w:eastAsia="en-GB"/>
        </w:rPr>
        <w:t>pp.465-482.</w:t>
      </w:r>
    </w:p>
    <w:p w14:paraId="4E54BA58"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237D8E79"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Craft, A. (2000) ‘</w:t>
      </w:r>
      <w:r w:rsidRPr="00DC5B65">
        <w:rPr>
          <w:rFonts w:ascii="Calibri" w:hAnsi="Calibri" w:cs="Times New Roman"/>
          <w:i/>
          <w:iCs/>
          <w:color w:val="000000"/>
          <w:lang w:eastAsia="en-GB"/>
        </w:rPr>
        <w:t>Creativity across the Primary Curriculum</w:t>
      </w:r>
      <w:r w:rsidRPr="00DC5B65">
        <w:rPr>
          <w:rFonts w:ascii="Helvetica" w:hAnsi="Helvetica" w:cs="Times New Roman"/>
          <w:i/>
          <w:iCs/>
          <w:color w:val="000000"/>
          <w:lang w:eastAsia="en-GB"/>
        </w:rPr>
        <w:t>’</w:t>
      </w:r>
      <w:r w:rsidRPr="00DC5B65">
        <w:rPr>
          <w:rFonts w:ascii="Calibri" w:hAnsi="Calibri" w:cs="Times New Roman"/>
          <w:i/>
          <w:iCs/>
          <w:color w:val="000000"/>
          <w:lang w:eastAsia="en-GB"/>
        </w:rPr>
        <w:t>. </w:t>
      </w:r>
      <w:r w:rsidRPr="00DC5B65">
        <w:rPr>
          <w:rFonts w:ascii="Calibri" w:hAnsi="Calibri" w:cs="Times New Roman"/>
          <w:color w:val="000000"/>
          <w:lang w:eastAsia="en-GB"/>
        </w:rPr>
        <w:t>London: Routledge.</w:t>
      </w:r>
    </w:p>
    <w:p w14:paraId="22CF7CE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0CF714DE"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Craft, A. (2002) </w:t>
      </w:r>
      <w:r w:rsidRPr="00DC5B65">
        <w:rPr>
          <w:rFonts w:ascii="Calibri" w:hAnsi="Calibri" w:cs="Times New Roman"/>
          <w:i/>
          <w:iCs/>
          <w:color w:val="000000"/>
          <w:lang w:eastAsia="en-GB"/>
        </w:rPr>
        <w:t>Creativity and early years</w:t>
      </w:r>
      <w:r w:rsidRPr="00DC5B65">
        <w:rPr>
          <w:rFonts w:ascii="Helvetica" w:hAnsi="Helvetica" w:cs="Times New Roman"/>
          <w:i/>
          <w:iCs/>
          <w:color w:val="000000"/>
          <w:lang w:eastAsia="en-GB"/>
        </w:rPr>
        <w:t>’</w:t>
      </w:r>
      <w:r w:rsidRPr="00DC5B65">
        <w:rPr>
          <w:rFonts w:ascii="Calibri" w:hAnsi="Calibri" w:cs="Times New Roman"/>
          <w:i/>
          <w:iCs/>
          <w:color w:val="000000"/>
          <w:lang w:eastAsia="en-GB"/>
        </w:rPr>
        <w:t> education: A life wide foundation. </w:t>
      </w:r>
      <w:r w:rsidRPr="00DC5B65">
        <w:rPr>
          <w:rFonts w:ascii="Calibri" w:hAnsi="Calibri" w:cs="Times New Roman"/>
          <w:color w:val="000000"/>
          <w:lang w:eastAsia="en-GB"/>
        </w:rPr>
        <w:t>London: Bloomsbury UK. </w:t>
      </w:r>
    </w:p>
    <w:p w14:paraId="7DE83A8C"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511B0C03"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Craft, A. (2011) ‘</w:t>
      </w:r>
      <w:r w:rsidRPr="00DC5B65">
        <w:rPr>
          <w:rFonts w:ascii="Calibri" w:hAnsi="Calibri" w:cs="Times New Roman"/>
          <w:i/>
          <w:iCs/>
          <w:color w:val="000000"/>
          <w:lang w:eastAsia="en-GB"/>
        </w:rPr>
        <w:t>Creativity and education futures: learning in a digital age</w:t>
      </w:r>
      <w:r w:rsidRPr="00DC5B65">
        <w:rPr>
          <w:rFonts w:ascii="Helvetica" w:hAnsi="Helvetica" w:cs="Times New Roman"/>
          <w:i/>
          <w:iCs/>
          <w:color w:val="000000"/>
          <w:lang w:eastAsia="en-GB"/>
        </w:rPr>
        <w:t>’</w:t>
      </w:r>
      <w:r w:rsidRPr="00DC5B65">
        <w:rPr>
          <w:rFonts w:ascii="Calibri" w:hAnsi="Calibri" w:cs="Times New Roman"/>
          <w:i/>
          <w:iCs/>
          <w:color w:val="000000"/>
          <w:lang w:eastAsia="en-GB"/>
        </w:rPr>
        <w:t>. </w:t>
      </w:r>
      <w:r w:rsidRPr="00DC5B65">
        <w:rPr>
          <w:rFonts w:ascii="Calibri" w:hAnsi="Calibri" w:cs="Times New Roman"/>
          <w:color w:val="000000"/>
          <w:lang w:eastAsia="en-GB"/>
        </w:rPr>
        <w:t>Staffordshire: Trentham Books Limited. </w:t>
      </w:r>
    </w:p>
    <w:p w14:paraId="15A8B25F"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03CFB3D7"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Davies, H. (2002) </w:t>
      </w:r>
      <w:r w:rsidRPr="00DC5B65">
        <w:rPr>
          <w:rFonts w:ascii="Calibri" w:hAnsi="Calibri" w:cs="Times New Roman"/>
          <w:i/>
          <w:iCs/>
          <w:color w:val="000000"/>
          <w:lang w:eastAsia="en-GB"/>
        </w:rPr>
        <w:t>A Review of Enterprise and the Economy in Education. </w:t>
      </w:r>
      <w:r w:rsidRPr="00DC5B65">
        <w:rPr>
          <w:rFonts w:ascii="Calibri" w:hAnsi="Calibri" w:cs="Times New Roman"/>
          <w:color w:val="000000"/>
          <w:lang w:eastAsia="en-GB"/>
        </w:rPr>
        <w:t>Available at: </w:t>
      </w:r>
      <w:hyperlink r:id="rId6" w:history="1">
        <w:r w:rsidRPr="00DC5B65">
          <w:rPr>
            <w:rFonts w:ascii="Calibri" w:hAnsi="Calibri" w:cs="Times New Roman"/>
            <w:color w:val="0000FF"/>
            <w:u w:val="single"/>
            <w:lang w:eastAsia="en-GB"/>
          </w:rPr>
          <w:t>http://www.readyunlimited.com/wp-content/uploads/2015/09/A-Review-of-Enterprise-and-the-Economy-in-Education.pdf</w:t>
        </w:r>
      </w:hyperlink>
      <w:r w:rsidRPr="00DC5B65">
        <w:rPr>
          <w:rFonts w:ascii="Calibri" w:hAnsi="Calibri" w:cs="Times New Roman"/>
          <w:color w:val="000000"/>
          <w:lang w:eastAsia="en-GB"/>
        </w:rPr>
        <w:t> [Accessed: December 4th 2017].</w:t>
      </w:r>
    </w:p>
    <w:p w14:paraId="523303F7"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0A2BF1CD"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Donaldson CB, G. (2015) </w:t>
      </w:r>
      <w:r w:rsidRPr="00DC5B65">
        <w:rPr>
          <w:rFonts w:ascii="Calibri" w:hAnsi="Calibri" w:cs="Times New Roman"/>
          <w:i/>
          <w:iCs/>
          <w:color w:val="000000"/>
          <w:lang w:eastAsia="en-GB"/>
        </w:rPr>
        <w:t>Successful Futures:</w:t>
      </w:r>
      <w:r w:rsidRPr="00DC5B65">
        <w:rPr>
          <w:rFonts w:ascii="Calibri" w:hAnsi="Calibri" w:cs="Times New Roman"/>
          <w:color w:val="000000"/>
          <w:lang w:eastAsia="en-GB"/>
        </w:rPr>
        <w:t> </w:t>
      </w:r>
      <w:r w:rsidRPr="00DC5B65">
        <w:rPr>
          <w:rFonts w:ascii="Calibri" w:hAnsi="Calibri" w:cs="Times New Roman"/>
          <w:i/>
          <w:iCs/>
          <w:color w:val="000000"/>
          <w:lang w:eastAsia="en-GB"/>
        </w:rPr>
        <w:t>Independent Review of Curriculum and Assessment Arrangements in Wales</w:t>
      </w:r>
      <w:r w:rsidRPr="00DC5B65">
        <w:rPr>
          <w:rFonts w:ascii="Calibri" w:hAnsi="Calibri" w:cs="Times New Roman"/>
          <w:color w:val="000000"/>
          <w:lang w:eastAsia="en-GB"/>
        </w:rPr>
        <w:t>. Cardiff: Welsh Government.</w:t>
      </w:r>
    </w:p>
    <w:p w14:paraId="52E7FB7F"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28A80F8E"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Dottin, E. (2009). </w:t>
      </w:r>
      <w:r w:rsidRPr="00DC5B65">
        <w:rPr>
          <w:rFonts w:ascii="Calibri" w:hAnsi="Calibri" w:cs="Times New Roman"/>
          <w:i/>
          <w:iCs/>
          <w:color w:val="000000"/>
          <w:lang w:eastAsia="en-GB"/>
        </w:rPr>
        <w:t>Dispositions as habitats of mind: Making professional conduct more intelligent. </w:t>
      </w:r>
      <w:r w:rsidRPr="00DC5B65">
        <w:rPr>
          <w:rFonts w:ascii="Calibri" w:hAnsi="Calibri" w:cs="Times New Roman"/>
          <w:color w:val="000000"/>
          <w:lang w:eastAsia="en-GB"/>
        </w:rPr>
        <w:t>Plymouth: Univercity Press of America.</w:t>
      </w:r>
    </w:p>
    <w:p w14:paraId="52697AF3"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339E973E"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Dweck, C. (2006) </w:t>
      </w:r>
      <w:r w:rsidRPr="00DC5B65">
        <w:rPr>
          <w:rFonts w:ascii="Calibri" w:hAnsi="Calibri" w:cs="Times New Roman"/>
          <w:i/>
          <w:iCs/>
          <w:color w:val="000000"/>
          <w:lang w:eastAsia="en-GB"/>
        </w:rPr>
        <w:t>Mind set: The new Psychology of Success</w:t>
      </w:r>
      <w:r w:rsidRPr="00DC5B65">
        <w:rPr>
          <w:rFonts w:ascii="Helvetica" w:hAnsi="Helvetica" w:cs="Times New Roman"/>
          <w:i/>
          <w:iCs/>
          <w:color w:val="000000"/>
          <w:lang w:eastAsia="en-GB"/>
        </w:rPr>
        <w:t>. </w:t>
      </w:r>
      <w:r w:rsidRPr="00DC5B65">
        <w:rPr>
          <w:rFonts w:ascii="Calibri" w:hAnsi="Calibri" w:cs="Times New Roman"/>
          <w:color w:val="000000"/>
          <w:lang w:eastAsia="en-GB"/>
        </w:rPr>
        <w:t>New York: Random House.</w:t>
      </w:r>
    </w:p>
    <w:p w14:paraId="661CECA1"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7EAEC4C9" w14:textId="77777777" w:rsidR="00DC5B65" w:rsidRPr="00DC5B65" w:rsidRDefault="00DC5B65" w:rsidP="00DC5B65">
      <w:pPr>
        <w:rPr>
          <w:rFonts w:ascii="Calibri" w:hAnsi="Calibri" w:cs="Times New Roman"/>
          <w:color w:val="000000"/>
          <w:lang w:eastAsia="en-GB"/>
        </w:rPr>
      </w:pPr>
      <w:r w:rsidRPr="00DC5B65">
        <w:rPr>
          <w:rFonts w:ascii="Calibri" w:hAnsi="Calibri" w:cs="Times New Roman"/>
          <w:color w:val="000000"/>
          <w:lang w:eastAsia="en-GB"/>
        </w:rPr>
        <w:t>Eberle, R. (1990) </w:t>
      </w:r>
      <w:r w:rsidRPr="00DC5B65">
        <w:rPr>
          <w:rFonts w:ascii="Calibri" w:hAnsi="Calibri" w:cs="Times New Roman"/>
          <w:i/>
          <w:iCs/>
          <w:color w:val="000000"/>
          <w:lang w:eastAsia="en-GB"/>
        </w:rPr>
        <w:t>SCAMPER: Games for imagination development. </w:t>
      </w:r>
      <w:r w:rsidRPr="00DC5B65">
        <w:rPr>
          <w:rFonts w:ascii="Calibri" w:hAnsi="Calibri" w:cs="Times New Roman"/>
          <w:color w:val="000000"/>
          <w:lang w:eastAsia="en-GB"/>
        </w:rPr>
        <w:t>Buffalo, NY: D.O.K Publishers. </w:t>
      </w:r>
    </w:p>
    <w:p w14:paraId="11C04D3B" w14:textId="77777777" w:rsidR="00DC5B65" w:rsidRPr="00DC5B65" w:rsidRDefault="00DC5B65" w:rsidP="00DC5B65">
      <w:pPr>
        <w:rPr>
          <w:rFonts w:ascii="Calibri" w:hAnsi="Calibri" w:cs="Times New Roman"/>
          <w:color w:val="000000"/>
          <w:lang w:eastAsia="en-GB"/>
        </w:rPr>
      </w:pPr>
      <w:r w:rsidRPr="00DC5B65">
        <w:rPr>
          <w:rFonts w:ascii="Calibri" w:hAnsi="Calibri" w:cs="Times New Roman"/>
          <w:color w:val="000000"/>
          <w:lang w:eastAsia="en-GB"/>
        </w:rPr>
        <w:t> </w:t>
      </w:r>
    </w:p>
    <w:p w14:paraId="195F8DCD"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Grigg, R. (2015) </w:t>
      </w:r>
      <w:r w:rsidRPr="00DC5B65">
        <w:rPr>
          <w:rFonts w:ascii="Calibri" w:hAnsi="Calibri" w:cs="Times New Roman"/>
          <w:i/>
          <w:iCs/>
          <w:color w:val="000000"/>
          <w:lang w:eastAsia="en-GB"/>
        </w:rPr>
        <w:t>Becoming an outstanding primary school teacher.</w:t>
      </w:r>
      <w:r w:rsidRPr="00DC5B65">
        <w:rPr>
          <w:rFonts w:ascii="Calibri" w:hAnsi="Calibri" w:cs="Times New Roman"/>
          <w:color w:val="000000"/>
          <w:lang w:eastAsia="en-GB"/>
        </w:rPr>
        <w:t> (2</w:t>
      </w:r>
      <w:r w:rsidRPr="00DC5B65">
        <w:rPr>
          <w:rFonts w:ascii="Calibri" w:hAnsi="Calibri" w:cs="Times New Roman"/>
          <w:color w:val="000000"/>
          <w:vertAlign w:val="superscript"/>
          <w:lang w:eastAsia="en-GB"/>
        </w:rPr>
        <w:t>nd</w:t>
      </w:r>
      <w:r w:rsidRPr="00DC5B65">
        <w:rPr>
          <w:rFonts w:ascii="Calibri" w:hAnsi="Calibri" w:cs="Times New Roman"/>
          <w:color w:val="000000"/>
          <w:lang w:eastAsia="en-GB"/>
        </w:rPr>
        <w:t>ed). New York: Routledge. </w:t>
      </w:r>
    </w:p>
    <w:p w14:paraId="01CFC240"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1A5BBD63"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Hall. E, G. and Hord. M, S. (2000) </w:t>
      </w:r>
      <w:r w:rsidRPr="00DC5B65">
        <w:rPr>
          <w:rFonts w:ascii="Calibri" w:hAnsi="Calibri" w:cs="Times New Roman"/>
          <w:i/>
          <w:iCs/>
          <w:color w:val="000000"/>
          <w:lang w:eastAsia="en-GB"/>
        </w:rPr>
        <w:t>Implementing Change: Patterns, Principles and Potholes. </w:t>
      </w:r>
      <w:r w:rsidRPr="00DC5B65">
        <w:rPr>
          <w:rFonts w:ascii="Calibri" w:hAnsi="Calibri" w:cs="Times New Roman"/>
          <w:color w:val="000000"/>
          <w:lang w:eastAsia="en-GB"/>
        </w:rPr>
        <w:t>New York: Allyn and Bacon.</w:t>
      </w:r>
    </w:p>
    <w:p w14:paraId="4C7D31EB"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79F0E2A1"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Hase, S and Keynon, C. (2000) </w:t>
      </w:r>
      <w:r w:rsidRPr="00DC5B65">
        <w:rPr>
          <w:rFonts w:ascii="Calibri" w:hAnsi="Calibri" w:cs="Times New Roman"/>
          <w:i/>
          <w:iCs/>
          <w:color w:val="000000"/>
          <w:lang w:eastAsia="en-GB"/>
        </w:rPr>
        <w:t>Self-Determined Learning: Heutagogy in action. </w:t>
      </w:r>
      <w:r w:rsidRPr="00DC5B65">
        <w:rPr>
          <w:rFonts w:ascii="Calibri" w:hAnsi="Calibri" w:cs="Times New Roman"/>
          <w:color w:val="000000"/>
          <w:lang w:eastAsia="en-GB"/>
        </w:rPr>
        <w:t>London: Bloomsbury Academic. </w:t>
      </w:r>
    </w:p>
    <w:p w14:paraId="293327A9"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2A854AE6" w14:textId="77777777" w:rsidR="00DC5B65" w:rsidRPr="00DC5B65" w:rsidRDefault="00DC5B65" w:rsidP="00DC5B65">
      <w:pPr>
        <w:rPr>
          <w:rFonts w:ascii="Calibri" w:hAnsi="Calibri" w:cs="Times New Roman"/>
          <w:color w:val="000000"/>
          <w:lang w:eastAsia="en-GB"/>
        </w:rPr>
      </w:pPr>
      <w:r w:rsidRPr="00DC5B65">
        <w:rPr>
          <w:rFonts w:ascii="Calibri" w:hAnsi="Calibri" w:cs="Times New Roman"/>
          <w:color w:val="000000"/>
          <w:lang w:eastAsia="en-GB"/>
        </w:rPr>
        <w:t>Hattie, J. (2012) </w:t>
      </w:r>
      <w:r w:rsidRPr="00DC5B65">
        <w:rPr>
          <w:rFonts w:ascii="Calibri" w:hAnsi="Calibri" w:cs="Times New Roman"/>
          <w:i/>
          <w:iCs/>
          <w:color w:val="000000"/>
          <w:lang w:eastAsia="en-GB"/>
        </w:rPr>
        <w:t>Visible Learning for Teachers: Maximising impact on Learning. </w:t>
      </w:r>
      <w:r w:rsidRPr="00DC5B65">
        <w:rPr>
          <w:rFonts w:ascii="Calibri" w:hAnsi="Calibri" w:cs="Times New Roman"/>
          <w:color w:val="000000"/>
          <w:lang w:eastAsia="en-GB"/>
        </w:rPr>
        <w:t>Oxon: Routledge.</w:t>
      </w:r>
    </w:p>
    <w:p w14:paraId="56971E7D" w14:textId="77777777" w:rsidR="00DC5B65" w:rsidRPr="00DC5B65" w:rsidRDefault="00DC5B65" w:rsidP="00DC5B65">
      <w:pPr>
        <w:rPr>
          <w:rFonts w:ascii="Calibri" w:hAnsi="Calibri" w:cs="Times New Roman"/>
          <w:color w:val="000000"/>
          <w:lang w:eastAsia="en-GB"/>
        </w:rPr>
      </w:pPr>
      <w:r w:rsidRPr="00DC5B65">
        <w:rPr>
          <w:rFonts w:ascii="Calibri" w:hAnsi="Calibri" w:cs="Times New Roman"/>
          <w:color w:val="000000"/>
          <w:lang w:eastAsia="en-GB"/>
        </w:rPr>
        <w:t> </w:t>
      </w:r>
    </w:p>
    <w:p w14:paraId="7E797F71" w14:textId="77777777" w:rsidR="00DC5B65" w:rsidRPr="00DC5B65" w:rsidRDefault="00DC5B65" w:rsidP="00DC5B65">
      <w:pPr>
        <w:rPr>
          <w:rFonts w:ascii="Calibri" w:hAnsi="Calibri" w:cs="Times New Roman"/>
          <w:color w:val="000000"/>
          <w:lang w:eastAsia="en-GB"/>
        </w:rPr>
      </w:pPr>
      <w:r w:rsidRPr="00DC5B65">
        <w:rPr>
          <w:rFonts w:ascii="Calibri" w:hAnsi="Calibri" w:cs="Times New Roman"/>
          <w:color w:val="000000"/>
          <w:lang w:eastAsia="en-GB"/>
        </w:rPr>
        <w:t>Hewitt, D and Tarrant, S. (2015) </w:t>
      </w:r>
      <w:r w:rsidRPr="00DC5B65">
        <w:rPr>
          <w:rFonts w:ascii="Calibri" w:hAnsi="Calibri" w:cs="Times New Roman"/>
          <w:i/>
          <w:iCs/>
          <w:color w:val="000000"/>
          <w:lang w:eastAsia="en-GB"/>
        </w:rPr>
        <w:t>Innovative Teaching and Learning in Primary Schools. </w:t>
      </w:r>
      <w:r w:rsidRPr="00DC5B65">
        <w:rPr>
          <w:rFonts w:ascii="Calibri" w:hAnsi="Calibri" w:cs="Times New Roman"/>
          <w:color w:val="000000"/>
          <w:lang w:eastAsia="en-GB"/>
        </w:rPr>
        <w:t>London: Sage Publications Ltd.</w:t>
      </w:r>
    </w:p>
    <w:p w14:paraId="161B10AF" w14:textId="77777777" w:rsidR="00DC5B65" w:rsidRPr="00DC5B65" w:rsidRDefault="00DC5B65" w:rsidP="00DC5B65">
      <w:pPr>
        <w:rPr>
          <w:rFonts w:ascii="Calibri" w:hAnsi="Calibri" w:cs="Times New Roman"/>
          <w:color w:val="000000"/>
          <w:lang w:eastAsia="en-GB"/>
        </w:rPr>
      </w:pPr>
      <w:r w:rsidRPr="00DC5B65">
        <w:rPr>
          <w:rFonts w:ascii="Calibri" w:hAnsi="Calibri" w:cs="Times New Roman"/>
          <w:color w:val="000000"/>
          <w:lang w:eastAsia="en-GB"/>
        </w:rPr>
        <w:t> </w:t>
      </w:r>
    </w:p>
    <w:p w14:paraId="275BBC27"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Lowe, R and Marriot, S. (2012) </w:t>
      </w:r>
      <w:r w:rsidRPr="00DC5B65">
        <w:rPr>
          <w:rFonts w:ascii="Calibri" w:hAnsi="Calibri" w:cs="Times New Roman"/>
          <w:i/>
          <w:iCs/>
          <w:color w:val="000000"/>
          <w:lang w:eastAsia="en-GB"/>
        </w:rPr>
        <w:t>Enterprise: Entrepreneurship and Innovation. </w:t>
      </w:r>
      <w:r w:rsidRPr="00DC5B65">
        <w:rPr>
          <w:rFonts w:ascii="Calibri" w:hAnsi="Calibri" w:cs="Times New Roman"/>
          <w:color w:val="000000"/>
          <w:lang w:eastAsia="en-GB"/>
        </w:rPr>
        <w:t>London: Routledge Ltd. </w:t>
      </w:r>
    </w:p>
    <w:p w14:paraId="054DEEF3"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19D49E6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National Advisory Committee on Creative and Cultural Education. (1999) </w:t>
      </w:r>
      <w:r w:rsidRPr="00DC5B65">
        <w:rPr>
          <w:rFonts w:ascii="Calibri" w:hAnsi="Calibri" w:cs="Times New Roman"/>
          <w:i/>
          <w:iCs/>
          <w:color w:val="000000"/>
          <w:lang w:eastAsia="en-GB"/>
        </w:rPr>
        <w:t>All our Futures: Creativity, Culture on Education </w:t>
      </w:r>
      <w:r w:rsidRPr="00DC5B65">
        <w:rPr>
          <w:rFonts w:ascii="Helvetica" w:hAnsi="Helvetica" w:cs="Times New Roman"/>
          <w:i/>
          <w:iCs/>
          <w:color w:val="000000"/>
          <w:lang w:eastAsia="en-GB"/>
        </w:rPr>
        <w:t>–</w:t>
      </w:r>
      <w:r w:rsidRPr="00DC5B65">
        <w:rPr>
          <w:rFonts w:ascii="Calibri" w:hAnsi="Calibri" w:cs="Times New Roman"/>
          <w:i/>
          <w:iCs/>
          <w:color w:val="000000"/>
          <w:lang w:eastAsia="en-GB"/>
        </w:rPr>
        <w:t> A follow up report. </w:t>
      </w:r>
      <w:r w:rsidRPr="00DC5B65">
        <w:rPr>
          <w:rFonts w:ascii="Calibri" w:hAnsi="Calibri" w:cs="Times New Roman"/>
          <w:color w:val="000000"/>
          <w:lang w:eastAsia="en-GB"/>
        </w:rPr>
        <w:t>London: DSEE. </w:t>
      </w:r>
    </w:p>
    <w:p w14:paraId="0CCD526D"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Pollard, A. (2014). </w:t>
      </w:r>
      <w:r w:rsidRPr="00DC5B65">
        <w:rPr>
          <w:rFonts w:ascii="Calibri" w:hAnsi="Calibri" w:cs="Times New Roman"/>
          <w:i/>
          <w:iCs/>
          <w:color w:val="000000"/>
          <w:lang w:eastAsia="en-GB"/>
        </w:rPr>
        <w:t>Reflective teaching in schools. </w:t>
      </w:r>
      <w:r w:rsidRPr="00DC5B65">
        <w:rPr>
          <w:rFonts w:ascii="Calibri" w:hAnsi="Calibri" w:cs="Times New Roman"/>
          <w:color w:val="000000"/>
          <w:lang w:eastAsia="en-GB"/>
        </w:rPr>
        <w:t>(4</w:t>
      </w:r>
      <w:r w:rsidRPr="00DC5B65">
        <w:rPr>
          <w:rFonts w:ascii="Calibri" w:hAnsi="Calibri" w:cs="Times New Roman"/>
          <w:color w:val="000000"/>
          <w:vertAlign w:val="superscript"/>
          <w:lang w:eastAsia="en-GB"/>
        </w:rPr>
        <w:t>th </w:t>
      </w:r>
      <w:r w:rsidRPr="00DC5B65">
        <w:rPr>
          <w:rFonts w:ascii="Calibri" w:hAnsi="Calibri" w:cs="Times New Roman"/>
          <w:color w:val="000000"/>
          <w:lang w:eastAsia="en-GB"/>
        </w:rPr>
        <w:t>ed) London: Bloomsbury Publishing Plc.</w:t>
      </w:r>
    </w:p>
    <w:p w14:paraId="3BDFC8E2"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QAA. (2012). ‘</w:t>
      </w:r>
      <w:r w:rsidRPr="00DC5B65">
        <w:rPr>
          <w:rFonts w:ascii="Calibri" w:hAnsi="Calibri" w:cs="Times New Roman"/>
          <w:i/>
          <w:iCs/>
          <w:color w:val="000000"/>
          <w:lang w:eastAsia="en-GB"/>
        </w:rPr>
        <w:t>Enterprise and entrepreneurship: Guidance for UK higher education providers</w:t>
      </w:r>
      <w:r w:rsidRPr="00DC5B65">
        <w:rPr>
          <w:rFonts w:ascii="Helvetica" w:hAnsi="Helvetica" w:cs="Times New Roman"/>
          <w:i/>
          <w:iCs/>
          <w:color w:val="000000"/>
          <w:lang w:eastAsia="en-GB"/>
        </w:rPr>
        <w:t>’</w:t>
      </w:r>
      <w:r w:rsidRPr="00DC5B65">
        <w:rPr>
          <w:rFonts w:ascii="Calibri" w:hAnsi="Calibri" w:cs="Times New Roman"/>
          <w:i/>
          <w:iCs/>
          <w:color w:val="000000"/>
          <w:lang w:eastAsia="en-GB"/>
        </w:rPr>
        <w:t>. </w:t>
      </w:r>
      <w:r w:rsidRPr="00DC5B65">
        <w:rPr>
          <w:rFonts w:ascii="Calibri" w:hAnsi="Calibri" w:cs="Times New Roman"/>
          <w:color w:val="000000"/>
          <w:lang w:eastAsia="en-GB"/>
        </w:rPr>
        <w:t>Available at: </w:t>
      </w:r>
      <w:hyperlink r:id="rId7" w:history="1">
        <w:r w:rsidRPr="00DC5B65">
          <w:rPr>
            <w:rFonts w:ascii="Calibri" w:hAnsi="Calibri" w:cs="Times New Roman"/>
            <w:color w:val="0000FF"/>
            <w:u w:val="single"/>
            <w:lang w:eastAsia="en-GB"/>
          </w:rPr>
          <w:t>www.qaa.ac.uk</w:t>
        </w:r>
      </w:hyperlink>
      <w:r w:rsidRPr="00DC5B65">
        <w:rPr>
          <w:rFonts w:ascii="Calibri" w:hAnsi="Calibri" w:cs="Times New Roman"/>
          <w:color w:val="000000"/>
          <w:lang w:eastAsia="en-GB"/>
        </w:rPr>
        <w:t>[Accessed: December 3</w:t>
      </w:r>
      <w:r w:rsidRPr="00DC5B65">
        <w:rPr>
          <w:rFonts w:ascii="Calibri" w:hAnsi="Calibri" w:cs="Times New Roman"/>
          <w:color w:val="000000"/>
          <w:vertAlign w:val="superscript"/>
          <w:lang w:eastAsia="en-GB"/>
        </w:rPr>
        <w:t>rd</w:t>
      </w:r>
      <w:r w:rsidRPr="00DC5B65">
        <w:rPr>
          <w:rFonts w:ascii="Calibri" w:hAnsi="Calibri" w:cs="Times New Roman"/>
          <w:color w:val="000000"/>
          <w:lang w:eastAsia="en-GB"/>
        </w:rPr>
        <w:t> 2017]. </w:t>
      </w:r>
    </w:p>
    <w:p w14:paraId="132A632A"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Robinson, G. (2000) ‘</w:t>
      </w:r>
      <w:r w:rsidRPr="00DC5B65">
        <w:rPr>
          <w:rFonts w:ascii="Calibri" w:hAnsi="Calibri" w:cs="Times New Roman"/>
          <w:i/>
          <w:iCs/>
          <w:color w:val="000000"/>
          <w:lang w:eastAsia="en-GB"/>
        </w:rPr>
        <w:t>Innovation and Entrepreneurship</w:t>
      </w:r>
      <w:r w:rsidRPr="00DC5B65">
        <w:rPr>
          <w:rFonts w:ascii="Helvetica" w:hAnsi="Helvetica" w:cs="Times New Roman"/>
          <w:i/>
          <w:iCs/>
          <w:color w:val="000000"/>
          <w:lang w:eastAsia="en-GB"/>
        </w:rPr>
        <w:t>’</w:t>
      </w:r>
      <w:r w:rsidRPr="00DC5B65">
        <w:rPr>
          <w:rFonts w:ascii="Calibri" w:hAnsi="Calibri" w:cs="Times New Roman"/>
          <w:color w:val="000000"/>
          <w:lang w:eastAsia="en-GB"/>
        </w:rPr>
        <w:t>, </w:t>
      </w:r>
      <w:r w:rsidRPr="00DC5B65">
        <w:rPr>
          <w:rFonts w:ascii="Calibri" w:hAnsi="Calibri" w:cs="Times New Roman"/>
          <w:i/>
          <w:iCs/>
          <w:color w:val="000000"/>
          <w:lang w:eastAsia="en-GB"/>
        </w:rPr>
        <w:t>The British Journal of Administrative Management, </w:t>
      </w:r>
      <w:r w:rsidRPr="00DC5B65">
        <w:rPr>
          <w:rFonts w:ascii="Calibri" w:hAnsi="Calibri" w:cs="Times New Roman"/>
          <w:color w:val="000000"/>
          <w:lang w:eastAsia="en-GB"/>
        </w:rPr>
        <w:t>22, September, pp.4. </w:t>
      </w:r>
    </w:p>
    <w:p w14:paraId="5C2B0CA9"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7A919764"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Robinson, K and Arnonia, L. (2015) </w:t>
      </w:r>
      <w:r w:rsidRPr="00DC5B65">
        <w:rPr>
          <w:rFonts w:ascii="Calibri" w:hAnsi="Calibri" w:cs="Times New Roman"/>
          <w:i/>
          <w:iCs/>
          <w:color w:val="000000"/>
          <w:lang w:eastAsia="en-GB"/>
        </w:rPr>
        <w:t>Creative schools</w:t>
      </w:r>
      <w:r w:rsidRPr="00DC5B65">
        <w:rPr>
          <w:rFonts w:ascii="Calibri" w:hAnsi="Calibri" w:cs="Times New Roman"/>
          <w:color w:val="000000"/>
          <w:lang w:eastAsia="en-GB"/>
        </w:rPr>
        <w:t>.  London: Penguin Books. </w:t>
      </w:r>
    </w:p>
    <w:p w14:paraId="3E69DC07"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7E2AC664"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Schwarzer, R. (2015) </w:t>
      </w:r>
      <w:r w:rsidRPr="00DC5B65">
        <w:rPr>
          <w:rFonts w:ascii="Calibri" w:hAnsi="Calibri" w:cs="Times New Roman"/>
          <w:i/>
          <w:iCs/>
          <w:color w:val="000000"/>
          <w:lang w:eastAsia="en-GB"/>
        </w:rPr>
        <w:t>Self-Efficacy: Thought Control of Action. </w:t>
      </w:r>
      <w:r w:rsidRPr="00DC5B65">
        <w:rPr>
          <w:rFonts w:ascii="Calibri" w:hAnsi="Calibri" w:cs="Times New Roman"/>
          <w:color w:val="000000"/>
          <w:lang w:eastAsia="en-GB"/>
        </w:rPr>
        <w:t>Oxon: Routledge. </w:t>
      </w:r>
    </w:p>
    <w:p w14:paraId="4A09DFF7"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77E1E776"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Seelig, T. (2012) </w:t>
      </w:r>
      <w:r w:rsidRPr="00DC5B65">
        <w:rPr>
          <w:rFonts w:ascii="Calibri" w:hAnsi="Calibri" w:cs="Times New Roman"/>
          <w:i/>
          <w:iCs/>
          <w:color w:val="000000"/>
          <w:lang w:eastAsia="en-GB"/>
        </w:rPr>
        <w:t>InGenius: A Crash Course on Creativity. </w:t>
      </w:r>
      <w:r w:rsidRPr="00DC5B65">
        <w:rPr>
          <w:rFonts w:ascii="Calibri" w:hAnsi="Calibri" w:cs="Times New Roman"/>
          <w:color w:val="000000"/>
          <w:lang w:eastAsia="en-GB"/>
        </w:rPr>
        <w:t>London: Hay House Inc. </w:t>
      </w:r>
    </w:p>
    <w:p w14:paraId="307986D0"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4135B799"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Tapscott, D. (2009) </w:t>
      </w:r>
      <w:r w:rsidRPr="00DC5B65">
        <w:rPr>
          <w:rFonts w:ascii="Calibri" w:hAnsi="Calibri" w:cs="Times New Roman"/>
          <w:i/>
          <w:iCs/>
          <w:color w:val="000000"/>
          <w:lang w:eastAsia="en-GB"/>
        </w:rPr>
        <w:t>Grown up Digital: how the net generation is changing your world. </w:t>
      </w:r>
      <w:r w:rsidRPr="00DC5B65">
        <w:rPr>
          <w:rFonts w:ascii="Calibri" w:hAnsi="Calibri" w:cs="Times New Roman"/>
          <w:color w:val="000000"/>
          <w:lang w:eastAsia="en-GB"/>
        </w:rPr>
        <w:t>Network: McGraw Hill. </w:t>
      </w:r>
    </w:p>
    <w:p w14:paraId="44D140D9"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2AB19DA0"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Welsh Government. (2015) </w:t>
      </w:r>
      <w:r w:rsidRPr="00DC5B65">
        <w:rPr>
          <w:rFonts w:ascii="Calibri" w:hAnsi="Calibri" w:cs="Times New Roman"/>
          <w:i/>
          <w:iCs/>
          <w:color w:val="000000"/>
          <w:lang w:eastAsia="en-GB"/>
        </w:rPr>
        <w:t>Qualified for Life: A curriculum for Wales- A curriculum for life</w:t>
      </w:r>
      <w:r w:rsidRPr="00DC5B65">
        <w:rPr>
          <w:rFonts w:ascii="Calibri" w:hAnsi="Calibri" w:cs="Times New Roman"/>
          <w:color w:val="000000"/>
          <w:lang w:eastAsia="en-GB"/>
        </w:rPr>
        <w:t>. Available at:</w:t>
      </w:r>
      <w:hyperlink r:id="rId8" w:history="1">
        <w:r w:rsidRPr="00DC5B65">
          <w:rPr>
            <w:rFonts w:ascii="Calibri" w:hAnsi="Calibri" w:cs="Times New Roman"/>
            <w:color w:val="0000FF"/>
            <w:u w:val="single"/>
            <w:lang w:eastAsia="en-GB"/>
          </w:rPr>
          <w:t>http://gov.wales/docs/dcells/publications/151021-a-curriculum-for-wales-a-curriculum-for-life-en.pdf</w:t>
        </w:r>
      </w:hyperlink>
      <w:r w:rsidRPr="00DC5B65">
        <w:rPr>
          <w:rFonts w:ascii="Calibri" w:hAnsi="Calibri" w:cs="Times New Roman"/>
          <w:color w:val="000000"/>
          <w:lang w:eastAsia="en-GB"/>
        </w:rPr>
        <w:t> [Accessed: December 7th 2017].</w:t>
      </w:r>
    </w:p>
    <w:p w14:paraId="7AF8BFF7"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33E95374" w14:textId="77777777" w:rsidR="00DC5B65" w:rsidRPr="00DC5B65" w:rsidRDefault="00DC5B65" w:rsidP="00DC5B65">
      <w:pPr>
        <w:rPr>
          <w:rFonts w:ascii="Calibri" w:hAnsi="Calibri" w:cs="Times New Roman"/>
          <w:color w:val="000000"/>
          <w:lang w:eastAsia="en-GB"/>
        </w:rPr>
      </w:pPr>
      <w:r w:rsidRPr="00DC5B65">
        <w:rPr>
          <w:rFonts w:ascii="Calibri" w:hAnsi="Calibri" w:cs="Times New Roman"/>
          <w:color w:val="000000"/>
          <w:lang w:eastAsia="en-GB"/>
        </w:rPr>
        <w:t>Welsh Government. (2016) </w:t>
      </w:r>
      <w:r w:rsidRPr="00DC5B65">
        <w:rPr>
          <w:rFonts w:ascii="Calibri" w:hAnsi="Calibri" w:cs="Times New Roman"/>
          <w:i/>
          <w:iCs/>
          <w:color w:val="000000"/>
          <w:lang w:eastAsia="en-GB"/>
        </w:rPr>
        <w:t>Professional Learning Communities. </w:t>
      </w:r>
      <w:r w:rsidRPr="00DC5B65">
        <w:rPr>
          <w:rFonts w:ascii="Calibri" w:hAnsi="Calibri" w:cs="Times New Roman"/>
          <w:color w:val="000000"/>
          <w:lang w:eastAsia="en-GB"/>
        </w:rPr>
        <w:t>Available at: </w:t>
      </w:r>
      <w:hyperlink r:id="rId9" w:history="1">
        <w:r w:rsidRPr="00DC5B65">
          <w:rPr>
            <w:rFonts w:ascii="Calibri" w:hAnsi="Calibri" w:cs="Times New Roman"/>
            <w:color w:val="0000FF"/>
            <w:u w:val="single"/>
            <w:lang w:eastAsia="en-GB"/>
          </w:rPr>
          <w:t>http://learning.gov.wales/resources/collections/professional-learning-communities?lang=en</w:t>
        </w:r>
      </w:hyperlink>
      <w:r w:rsidRPr="00DC5B65">
        <w:rPr>
          <w:rFonts w:ascii="Calibri" w:hAnsi="Calibri" w:cs="Times New Roman"/>
          <w:color w:val="000000"/>
          <w:lang w:eastAsia="en-GB"/>
        </w:rPr>
        <w:t> [Accessed: December 3</w:t>
      </w:r>
      <w:r w:rsidRPr="00DC5B65">
        <w:rPr>
          <w:rFonts w:ascii="Calibri" w:hAnsi="Calibri" w:cs="Times New Roman"/>
          <w:color w:val="000000"/>
          <w:vertAlign w:val="superscript"/>
          <w:lang w:eastAsia="en-GB"/>
        </w:rPr>
        <w:t>rd</w:t>
      </w:r>
      <w:r w:rsidRPr="00DC5B65">
        <w:rPr>
          <w:rFonts w:ascii="Calibri" w:hAnsi="Calibri" w:cs="Times New Roman"/>
          <w:color w:val="000000"/>
          <w:lang w:eastAsia="en-GB"/>
        </w:rPr>
        <w:t> 2017]. </w:t>
      </w:r>
      <w:r w:rsidRPr="00DC5B65">
        <w:rPr>
          <w:rFonts w:ascii="Calibri" w:hAnsi="Calibri" w:cs="Times New Roman"/>
          <w:i/>
          <w:iCs/>
          <w:color w:val="000000"/>
          <w:lang w:eastAsia="en-GB"/>
        </w:rPr>
        <w:t> </w:t>
      </w:r>
    </w:p>
    <w:p w14:paraId="19335233" w14:textId="77777777" w:rsidR="00DC5B65" w:rsidRPr="00DC5B65" w:rsidRDefault="00DC5B65" w:rsidP="00DC5B65">
      <w:pPr>
        <w:rPr>
          <w:rFonts w:ascii="Calibri" w:hAnsi="Calibri" w:cs="Times New Roman"/>
          <w:color w:val="000000"/>
          <w:lang w:eastAsia="en-GB"/>
        </w:rPr>
      </w:pPr>
      <w:r w:rsidRPr="00DC5B65">
        <w:rPr>
          <w:rFonts w:ascii="Calibri" w:hAnsi="Calibri" w:cs="Times New Roman"/>
          <w:i/>
          <w:iCs/>
          <w:color w:val="000000"/>
          <w:lang w:eastAsia="en-GB"/>
        </w:rPr>
        <w:t> </w:t>
      </w:r>
    </w:p>
    <w:p w14:paraId="60E525D3"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Wilson, A. (2015). ‘</w:t>
      </w:r>
      <w:r w:rsidRPr="00DC5B65">
        <w:rPr>
          <w:rFonts w:ascii="Calibri" w:hAnsi="Calibri" w:cs="Times New Roman"/>
          <w:i/>
          <w:iCs/>
          <w:color w:val="000000"/>
          <w:lang w:eastAsia="en-GB"/>
        </w:rPr>
        <w:t>Creativity in Primary Education</w:t>
      </w:r>
      <w:r w:rsidRPr="00DC5B65">
        <w:rPr>
          <w:rFonts w:ascii="Helvetica" w:hAnsi="Helvetica" w:cs="Times New Roman"/>
          <w:i/>
          <w:iCs/>
          <w:color w:val="000000"/>
          <w:lang w:eastAsia="en-GB"/>
        </w:rPr>
        <w:t>’</w:t>
      </w:r>
      <w:r w:rsidRPr="00DC5B65">
        <w:rPr>
          <w:rFonts w:ascii="Calibri" w:hAnsi="Calibri" w:cs="Times New Roman"/>
          <w:i/>
          <w:iCs/>
          <w:color w:val="000000"/>
          <w:lang w:eastAsia="en-GB"/>
        </w:rPr>
        <w:t>. </w:t>
      </w:r>
      <w:r w:rsidRPr="00DC5B65">
        <w:rPr>
          <w:rFonts w:ascii="Calibri" w:hAnsi="Calibri" w:cs="Times New Roman"/>
          <w:color w:val="000000"/>
          <w:lang w:eastAsia="en-GB"/>
        </w:rPr>
        <w:t>(3</w:t>
      </w:r>
      <w:r w:rsidRPr="00DC5B65">
        <w:rPr>
          <w:rFonts w:ascii="Calibri" w:hAnsi="Calibri" w:cs="Times New Roman"/>
          <w:color w:val="000000"/>
          <w:vertAlign w:val="superscript"/>
          <w:lang w:eastAsia="en-GB"/>
        </w:rPr>
        <w:t>rd </w:t>
      </w:r>
      <w:r w:rsidRPr="00DC5B65">
        <w:rPr>
          <w:rFonts w:ascii="Calibri" w:hAnsi="Calibri" w:cs="Times New Roman"/>
          <w:color w:val="000000"/>
          <w:lang w:eastAsia="en-GB"/>
        </w:rPr>
        <w:t>ed) London: SAGE Publications Inc. </w:t>
      </w:r>
    </w:p>
    <w:p w14:paraId="51E8EB70"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 </w:t>
      </w:r>
    </w:p>
    <w:p w14:paraId="6F9D1515" w14:textId="77777777" w:rsidR="00DC5B65" w:rsidRPr="00DC5B65" w:rsidRDefault="00DC5B65" w:rsidP="00DC5B65">
      <w:pPr>
        <w:spacing w:line="360" w:lineRule="atLeast"/>
        <w:rPr>
          <w:rFonts w:ascii="Calibri" w:hAnsi="Calibri" w:cs="Times New Roman"/>
          <w:color w:val="000000"/>
          <w:lang w:eastAsia="en-GB"/>
        </w:rPr>
      </w:pPr>
      <w:r w:rsidRPr="00DC5B65">
        <w:rPr>
          <w:rFonts w:ascii="Calibri" w:hAnsi="Calibri" w:cs="Times New Roman"/>
          <w:color w:val="000000"/>
          <w:lang w:eastAsia="en-GB"/>
        </w:rPr>
        <w:t>Young, L. (2014). </w:t>
      </w:r>
      <w:r w:rsidRPr="00DC5B65">
        <w:rPr>
          <w:rFonts w:ascii="Calibri" w:hAnsi="Calibri" w:cs="Times New Roman"/>
          <w:i/>
          <w:iCs/>
          <w:color w:val="000000"/>
          <w:lang w:eastAsia="en-GB"/>
        </w:rPr>
        <w:t>Enterprise for All: The Relevance of Enterprise in Education. </w:t>
      </w:r>
      <w:r w:rsidRPr="00DC5B65">
        <w:rPr>
          <w:rFonts w:ascii="Calibri" w:hAnsi="Calibri" w:cs="Times New Roman"/>
          <w:color w:val="000000"/>
          <w:lang w:eastAsia="en-GB"/>
        </w:rPr>
        <w:t>Available at: </w:t>
      </w:r>
      <w:hyperlink r:id="rId10" w:history="1">
        <w:r w:rsidRPr="00DC5B65">
          <w:rPr>
            <w:rFonts w:ascii="Calibri" w:hAnsi="Calibri" w:cs="Times New Roman"/>
            <w:color w:val="0000FF"/>
            <w:u w:val="single"/>
            <w:lang w:eastAsia="en-GB"/>
          </w:rPr>
          <w:t>https://www.gov.uk/government/uploads/system/uploads/attachment_data/file/338749/EnterpriseforAll-lowres-200614.pdf</w:t>
        </w:r>
      </w:hyperlink>
      <w:r w:rsidRPr="00DC5B65">
        <w:rPr>
          <w:rFonts w:ascii="Calibri" w:hAnsi="Calibri" w:cs="Times New Roman"/>
          <w:color w:val="000000"/>
          <w:lang w:eastAsia="en-GB"/>
        </w:rPr>
        <w:t>[Accessed: December 2nd 2017].</w:t>
      </w:r>
    </w:p>
    <w:p w14:paraId="783EA7F5" w14:textId="77777777" w:rsidR="001608D0" w:rsidRDefault="001608D0"/>
    <w:sectPr w:rsidR="001608D0" w:rsidSect="00E14F36">
      <w:headerReference w:type="default" r:id="rId11"/>
      <w:footerReference w:type="even" r:id="rId12"/>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F67422" w14:textId="77777777" w:rsidR="00F549A8" w:rsidRDefault="00F549A8" w:rsidP="00DC5B65">
      <w:r>
        <w:separator/>
      </w:r>
    </w:p>
  </w:endnote>
  <w:endnote w:type="continuationSeparator" w:id="0">
    <w:p w14:paraId="41E47E70" w14:textId="77777777" w:rsidR="00F549A8" w:rsidRDefault="00F549A8" w:rsidP="00DC5B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428C1D" w14:textId="77777777" w:rsidR="00DC5B65" w:rsidRDefault="00DC5B65" w:rsidP="001508B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E05EB01" w14:textId="77777777" w:rsidR="00DC5B65" w:rsidRDefault="00DC5B6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FF7A01" w14:textId="77777777" w:rsidR="00DC5B65" w:rsidRDefault="00DC5B65" w:rsidP="001508B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549A8">
      <w:rPr>
        <w:rStyle w:val="PageNumber"/>
        <w:noProof/>
      </w:rPr>
      <w:t>1</w:t>
    </w:r>
    <w:r>
      <w:rPr>
        <w:rStyle w:val="PageNumber"/>
      </w:rPr>
      <w:fldChar w:fldCharType="end"/>
    </w:r>
  </w:p>
  <w:p w14:paraId="7BF86395" w14:textId="77777777" w:rsidR="00DC5B65" w:rsidRDefault="00DC5B6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8ACA40" w14:textId="77777777" w:rsidR="00F549A8" w:rsidRDefault="00F549A8" w:rsidP="00DC5B65">
      <w:r>
        <w:separator/>
      </w:r>
    </w:p>
  </w:footnote>
  <w:footnote w:type="continuationSeparator" w:id="0">
    <w:p w14:paraId="30EBF37E" w14:textId="77777777" w:rsidR="00F549A8" w:rsidRDefault="00F549A8" w:rsidP="00DC5B6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35B46C" w14:textId="77777777" w:rsidR="00DC5B65" w:rsidRPr="00DC5B65" w:rsidRDefault="00DC5B65">
    <w:pPr>
      <w:pStyle w:val="Header"/>
      <w:rPr>
        <w:lang w:val="cy-GB"/>
      </w:rPr>
    </w:pPr>
    <w:r>
      <w:rPr>
        <w:lang w:val="cy-GB"/>
      </w:rPr>
      <w:t>1501973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2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B65"/>
    <w:rsid w:val="001608D0"/>
    <w:rsid w:val="00DC5B65"/>
    <w:rsid w:val="00E14F36"/>
    <w:rsid w:val="00F549A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2F855D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C5B65"/>
  </w:style>
  <w:style w:type="character" w:styleId="Hyperlink">
    <w:name w:val="Hyperlink"/>
    <w:basedOn w:val="DefaultParagraphFont"/>
    <w:uiPriority w:val="99"/>
    <w:semiHidden/>
    <w:unhideWhenUsed/>
    <w:rsid w:val="00DC5B65"/>
    <w:rPr>
      <w:color w:val="0000FF"/>
      <w:u w:val="single"/>
    </w:rPr>
  </w:style>
  <w:style w:type="paragraph" w:styleId="NormalWeb">
    <w:name w:val="Normal (Web)"/>
    <w:basedOn w:val="Normal"/>
    <w:uiPriority w:val="99"/>
    <w:semiHidden/>
    <w:unhideWhenUsed/>
    <w:rsid w:val="00DC5B65"/>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DC5B65"/>
    <w:pPr>
      <w:tabs>
        <w:tab w:val="center" w:pos="4513"/>
        <w:tab w:val="right" w:pos="9026"/>
      </w:tabs>
    </w:pPr>
  </w:style>
  <w:style w:type="character" w:customStyle="1" w:styleId="HeaderChar">
    <w:name w:val="Header Char"/>
    <w:basedOn w:val="DefaultParagraphFont"/>
    <w:link w:val="Header"/>
    <w:uiPriority w:val="99"/>
    <w:rsid w:val="00DC5B65"/>
  </w:style>
  <w:style w:type="paragraph" w:styleId="Footer">
    <w:name w:val="footer"/>
    <w:basedOn w:val="Normal"/>
    <w:link w:val="FooterChar"/>
    <w:uiPriority w:val="99"/>
    <w:unhideWhenUsed/>
    <w:rsid w:val="00DC5B65"/>
    <w:pPr>
      <w:tabs>
        <w:tab w:val="center" w:pos="4513"/>
        <w:tab w:val="right" w:pos="9026"/>
      </w:tabs>
    </w:pPr>
  </w:style>
  <w:style w:type="character" w:customStyle="1" w:styleId="FooterChar">
    <w:name w:val="Footer Char"/>
    <w:basedOn w:val="DefaultParagraphFont"/>
    <w:link w:val="Footer"/>
    <w:uiPriority w:val="99"/>
    <w:rsid w:val="00DC5B65"/>
  </w:style>
  <w:style w:type="character" w:styleId="PageNumber">
    <w:name w:val="page number"/>
    <w:basedOn w:val="DefaultParagraphFont"/>
    <w:uiPriority w:val="99"/>
    <w:semiHidden/>
    <w:unhideWhenUsed/>
    <w:rsid w:val="00DC5B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753618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readyunlimited.com/wp-content/uploads/2015/09/A-Review-of-Enterprise-and-the-Economy-in-Education.pdf" TargetMode="External"/><Relationship Id="rId7" Type="http://schemas.openxmlformats.org/officeDocument/2006/relationships/hyperlink" Target="http://www.qaa.ac.uk/" TargetMode="External"/><Relationship Id="rId8" Type="http://schemas.openxmlformats.org/officeDocument/2006/relationships/hyperlink" Target="http://gov.wales/docs/dcells/publications/151021-a-curriculum-for-wales-a-curriculum-for-life-en.pdf" TargetMode="External"/><Relationship Id="rId9" Type="http://schemas.openxmlformats.org/officeDocument/2006/relationships/hyperlink" Target="http://learning.gov.wales/resources/collections/professional-learning-communities?lang=en" TargetMode="External"/><Relationship Id="rId10" Type="http://schemas.openxmlformats.org/officeDocument/2006/relationships/hyperlink" Target="https://www.gov.uk/government/uploads/system/uploads/attachment_data/file/338749/EnterpriseforAll-lowres-2006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3106</Words>
  <Characters>17708</Characters>
  <Application>Microsoft Macintosh Word</Application>
  <DocSecurity>0</DocSecurity>
  <Lines>147</Lines>
  <Paragraphs>41</Paragraphs>
  <ScaleCrop>false</ScaleCrop>
  <LinksUpToDate>false</LinksUpToDate>
  <CharactersWithSpaces>20773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Alun Thomas</cp:lastModifiedBy>
  <cp:revision>1</cp:revision>
  <dcterms:created xsi:type="dcterms:W3CDTF">2017-12-15T13:43:00Z</dcterms:created>
  <dcterms:modified xsi:type="dcterms:W3CDTF">2017-12-15T13:45:00Z</dcterms:modified>
</cp:coreProperties>
</file>