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057D" w:rsidRDefault="0036057D" w:rsidP="0036057D">
      <w:pPr>
        <w:spacing w:line="259" w:lineRule="auto"/>
        <w:jc w:val="center"/>
      </w:pPr>
      <w:r>
        <w:rPr>
          <w:noProof/>
          <w:lang w:eastAsia="en-GB"/>
        </w:rPr>
        <w:drawing>
          <wp:inline distT="0" distB="0" distL="0" distR="0">
            <wp:extent cx="2965450" cy="1291590"/>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65450" cy="1291590"/>
                    </a:xfrm>
                    <a:prstGeom prst="rect">
                      <a:avLst/>
                    </a:prstGeom>
                    <a:noFill/>
                    <a:ln>
                      <a:noFill/>
                    </a:ln>
                  </pic:spPr>
                </pic:pic>
              </a:graphicData>
            </a:graphic>
          </wp:inline>
        </w:drawing>
      </w:r>
    </w:p>
    <w:p w:rsidR="0036057D" w:rsidRDefault="0036057D">
      <w:pPr>
        <w:spacing w:line="259" w:lineRule="auto"/>
        <w:jc w:val="left"/>
      </w:pPr>
    </w:p>
    <w:tbl>
      <w:tblPr>
        <w:tblpPr w:leftFromText="180" w:rightFromText="180" w:vertAnchor="text" w:horzAnchor="margin" w:tblpXSpec="center" w:tblpY="262"/>
        <w:tblW w:w="10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910"/>
        <w:gridCol w:w="4039"/>
        <w:gridCol w:w="2538"/>
        <w:gridCol w:w="2111"/>
        <w:gridCol w:w="87"/>
      </w:tblGrid>
      <w:tr w:rsidR="0036057D" w:rsidTr="0036057D">
        <w:trPr>
          <w:trHeight w:val="793"/>
        </w:trPr>
        <w:tc>
          <w:tcPr>
            <w:tcW w:w="10685" w:type="dxa"/>
            <w:gridSpan w:val="5"/>
            <w:tcBorders>
              <w:top w:val="single" w:sz="4" w:space="0" w:color="auto"/>
              <w:left w:val="single" w:sz="4" w:space="0" w:color="auto"/>
              <w:bottom w:val="single" w:sz="4" w:space="0" w:color="auto"/>
              <w:right w:val="single" w:sz="4" w:space="0" w:color="auto"/>
            </w:tcBorders>
            <w:shd w:val="clear" w:color="auto" w:fill="C0C0C0"/>
            <w:hideMark/>
          </w:tcPr>
          <w:p w:rsidR="0036057D" w:rsidRDefault="0036057D" w:rsidP="0036057D">
            <w:pPr>
              <w:pStyle w:val="Heading4"/>
              <w:jc w:val="center"/>
              <w:rPr>
                <w:rFonts w:asciiTheme="minorBidi" w:hAnsiTheme="minorBidi" w:cstheme="minorBidi"/>
                <w:sz w:val="44"/>
                <w:szCs w:val="44"/>
              </w:rPr>
            </w:pPr>
            <w:r>
              <w:rPr>
                <w:rFonts w:asciiTheme="minorBidi" w:hAnsiTheme="minorBidi" w:cstheme="minorBidi"/>
                <w:sz w:val="44"/>
                <w:szCs w:val="44"/>
              </w:rPr>
              <w:t>LEVEL 5 DEGREE ASSIGNMENT SPECIFICATION</w:t>
            </w:r>
          </w:p>
          <w:p w:rsidR="0036057D" w:rsidRDefault="0036057D" w:rsidP="0036057D">
            <w:pPr>
              <w:jc w:val="center"/>
              <w:rPr>
                <w:rFonts w:asciiTheme="minorBidi" w:hAnsiTheme="minorBidi"/>
                <w:sz w:val="28"/>
                <w:szCs w:val="28"/>
                <w:lang w:val="en-US"/>
              </w:rPr>
            </w:pPr>
            <w:r>
              <w:rPr>
                <w:rFonts w:asciiTheme="minorBidi" w:hAnsiTheme="minorBidi"/>
                <w:sz w:val="28"/>
                <w:szCs w:val="28"/>
                <w:lang w:val="en-US"/>
              </w:rPr>
              <w:t>SCHOOL OF INTERNATIONAL HOTEL MANAGEMENT</w:t>
            </w:r>
          </w:p>
        </w:tc>
      </w:tr>
      <w:tr w:rsidR="0036057D" w:rsidTr="0036057D">
        <w:trPr>
          <w:gridAfter w:val="1"/>
          <w:wAfter w:w="87" w:type="dxa"/>
        </w:trPr>
        <w:tc>
          <w:tcPr>
            <w:tcW w:w="1910" w:type="dxa"/>
            <w:tcBorders>
              <w:top w:val="single" w:sz="4" w:space="0" w:color="auto"/>
              <w:left w:val="single" w:sz="4" w:space="0" w:color="auto"/>
              <w:bottom w:val="single" w:sz="4" w:space="0" w:color="auto"/>
              <w:right w:val="single" w:sz="4" w:space="0" w:color="auto"/>
            </w:tcBorders>
            <w:shd w:val="pct15" w:color="auto" w:fill="auto"/>
            <w:hideMark/>
          </w:tcPr>
          <w:p w:rsidR="0036057D" w:rsidRDefault="0036057D" w:rsidP="0036057D">
            <w:pPr>
              <w:spacing w:before="120" w:after="120"/>
              <w:rPr>
                <w:rFonts w:asciiTheme="minorBidi" w:hAnsiTheme="minorBidi"/>
                <w:b/>
              </w:rPr>
            </w:pPr>
            <w:r>
              <w:rPr>
                <w:rFonts w:asciiTheme="minorBidi" w:hAnsiTheme="minorBidi"/>
                <w:b/>
              </w:rPr>
              <w:t>Student name:</w:t>
            </w:r>
          </w:p>
        </w:tc>
        <w:tc>
          <w:tcPr>
            <w:tcW w:w="4039" w:type="dxa"/>
            <w:tcBorders>
              <w:top w:val="single" w:sz="4" w:space="0" w:color="auto"/>
              <w:left w:val="single" w:sz="4" w:space="0" w:color="auto"/>
              <w:bottom w:val="single" w:sz="4" w:space="0" w:color="auto"/>
              <w:right w:val="single" w:sz="4" w:space="0" w:color="auto"/>
            </w:tcBorders>
            <w:shd w:val="clear" w:color="auto" w:fill="auto"/>
          </w:tcPr>
          <w:p w:rsidR="0036057D" w:rsidRDefault="00AF63EE" w:rsidP="0036057D">
            <w:pPr>
              <w:spacing w:before="120" w:after="120"/>
              <w:rPr>
                <w:rFonts w:asciiTheme="minorBidi" w:hAnsiTheme="minorBidi"/>
                <w:b/>
              </w:rPr>
            </w:pPr>
            <w:r>
              <w:rPr>
                <w:rFonts w:asciiTheme="minorBidi" w:hAnsiTheme="minorBidi"/>
                <w:b/>
              </w:rPr>
              <w:t>Shahin Reza</w:t>
            </w:r>
          </w:p>
        </w:tc>
        <w:tc>
          <w:tcPr>
            <w:tcW w:w="2538" w:type="dxa"/>
            <w:tcBorders>
              <w:top w:val="single" w:sz="4" w:space="0" w:color="auto"/>
              <w:left w:val="single" w:sz="4" w:space="0" w:color="auto"/>
              <w:bottom w:val="single" w:sz="4" w:space="0" w:color="auto"/>
              <w:right w:val="single" w:sz="4" w:space="0" w:color="auto"/>
            </w:tcBorders>
            <w:shd w:val="clear" w:color="auto" w:fill="D9D9D9"/>
            <w:hideMark/>
          </w:tcPr>
          <w:p w:rsidR="0036057D" w:rsidRDefault="0036057D" w:rsidP="0036057D">
            <w:pPr>
              <w:spacing w:before="120" w:after="120"/>
              <w:rPr>
                <w:rFonts w:asciiTheme="minorBidi" w:hAnsiTheme="minorBidi"/>
                <w:b/>
              </w:rPr>
            </w:pPr>
            <w:r>
              <w:rPr>
                <w:rFonts w:asciiTheme="minorBidi" w:hAnsiTheme="minorBidi"/>
                <w:b/>
              </w:rPr>
              <w:t>Student  number:</w:t>
            </w:r>
          </w:p>
        </w:tc>
        <w:tc>
          <w:tcPr>
            <w:tcW w:w="2111" w:type="dxa"/>
            <w:tcBorders>
              <w:top w:val="single" w:sz="4" w:space="0" w:color="auto"/>
              <w:left w:val="single" w:sz="4" w:space="0" w:color="auto"/>
              <w:bottom w:val="single" w:sz="4" w:space="0" w:color="auto"/>
              <w:right w:val="single" w:sz="4" w:space="0" w:color="auto"/>
            </w:tcBorders>
            <w:shd w:val="clear" w:color="auto" w:fill="auto"/>
          </w:tcPr>
          <w:p w:rsidR="0036057D" w:rsidRDefault="00AF63EE" w:rsidP="0036057D">
            <w:pPr>
              <w:spacing w:before="120" w:after="120"/>
              <w:rPr>
                <w:rFonts w:asciiTheme="minorBidi" w:hAnsiTheme="minorBidi"/>
                <w:b/>
              </w:rPr>
            </w:pPr>
            <w:r>
              <w:rPr>
                <w:rFonts w:asciiTheme="minorBidi" w:hAnsiTheme="minorBidi"/>
                <w:b/>
              </w:rPr>
              <w:t>2115814</w:t>
            </w:r>
          </w:p>
        </w:tc>
      </w:tr>
      <w:tr w:rsidR="0036057D" w:rsidTr="0036057D">
        <w:trPr>
          <w:gridAfter w:val="1"/>
          <w:wAfter w:w="87" w:type="dxa"/>
        </w:trPr>
        <w:tc>
          <w:tcPr>
            <w:tcW w:w="1910" w:type="dxa"/>
            <w:tcBorders>
              <w:top w:val="single" w:sz="4" w:space="0" w:color="auto"/>
              <w:left w:val="single" w:sz="4" w:space="0" w:color="auto"/>
              <w:bottom w:val="single" w:sz="4" w:space="0" w:color="auto"/>
              <w:right w:val="single" w:sz="4" w:space="0" w:color="auto"/>
            </w:tcBorders>
            <w:shd w:val="pct15" w:color="auto" w:fill="auto"/>
            <w:hideMark/>
          </w:tcPr>
          <w:p w:rsidR="0036057D" w:rsidRDefault="0036057D" w:rsidP="0036057D">
            <w:pPr>
              <w:spacing w:before="120" w:after="120"/>
              <w:rPr>
                <w:rFonts w:asciiTheme="minorBidi" w:hAnsiTheme="minorBidi"/>
                <w:b/>
              </w:rPr>
            </w:pPr>
            <w:r>
              <w:rPr>
                <w:rFonts w:asciiTheme="minorBidi" w:hAnsiTheme="minorBidi"/>
                <w:b/>
              </w:rPr>
              <w:t>Programmes:</w:t>
            </w:r>
          </w:p>
        </w:tc>
        <w:tc>
          <w:tcPr>
            <w:tcW w:w="8688" w:type="dxa"/>
            <w:gridSpan w:val="3"/>
            <w:tcBorders>
              <w:top w:val="single" w:sz="4" w:space="0" w:color="auto"/>
              <w:left w:val="single" w:sz="4" w:space="0" w:color="auto"/>
              <w:bottom w:val="single" w:sz="4" w:space="0" w:color="auto"/>
              <w:right w:val="single" w:sz="4" w:space="0" w:color="auto"/>
            </w:tcBorders>
            <w:shd w:val="clear" w:color="auto" w:fill="auto"/>
            <w:hideMark/>
          </w:tcPr>
          <w:p w:rsidR="0036057D" w:rsidRDefault="0036057D" w:rsidP="0036057D">
            <w:pPr>
              <w:spacing w:before="120" w:after="120"/>
              <w:rPr>
                <w:rFonts w:asciiTheme="minorBidi" w:hAnsiTheme="minorBidi"/>
                <w:b/>
                <w:u w:val="single"/>
              </w:rPr>
            </w:pPr>
            <w:r>
              <w:rPr>
                <w:rFonts w:asciiTheme="minorBidi" w:hAnsiTheme="minorBidi"/>
                <w:b/>
              </w:rPr>
              <w:t>BA (Hons) International Hotel Management</w:t>
            </w:r>
          </w:p>
        </w:tc>
      </w:tr>
      <w:tr w:rsidR="0036057D" w:rsidTr="0036057D">
        <w:trPr>
          <w:gridAfter w:val="1"/>
          <w:wAfter w:w="87" w:type="dxa"/>
        </w:trPr>
        <w:tc>
          <w:tcPr>
            <w:tcW w:w="1910" w:type="dxa"/>
            <w:tcBorders>
              <w:top w:val="single" w:sz="4" w:space="0" w:color="auto"/>
              <w:left w:val="single" w:sz="4" w:space="0" w:color="auto"/>
              <w:bottom w:val="single" w:sz="4" w:space="0" w:color="auto"/>
              <w:right w:val="single" w:sz="4" w:space="0" w:color="auto"/>
            </w:tcBorders>
            <w:shd w:val="pct15" w:color="auto" w:fill="auto"/>
            <w:hideMark/>
          </w:tcPr>
          <w:p w:rsidR="0036057D" w:rsidRDefault="0036057D" w:rsidP="0036057D">
            <w:pPr>
              <w:spacing w:before="120" w:after="120"/>
              <w:rPr>
                <w:rFonts w:asciiTheme="minorBidi" w:hAnsiTheme="minorBidi"/>
                <w:b/>
              </w:rPr>
            </w:pPr>
            <w:r>
              <w:rPr>
                <w:rFonts w:asciiTheme="minorBidi" w:hAnsiTheme="minorBidi"/>
                <w:b/>
              </w:rPr>
              <w:t>Module:</w:t>
            </w:r>
          </w:p>
        </w:tc>
        <w:tc>
          <w:tcPr>
            <w:tcW w:w="4039" w:type="dxa"/>
            <w:tcBorders>
              <w:top w:val="single" w:sz="4" w:space="0" w:color="auto"/>
              <w:left w:val="single" w:sz="4" w:space="0" w:color="auto"/>
              <w:bottom w:val="single" w:sz="4" w:space="0" w:color="auto"/>
              <w:right w:val="single" w:sz="4" w:space="0" w:color="auto"/>
            </w:tcBorders>
            <w:shd w:val="clear" w:color="auto" w:fill="auto"/>
          </w:tcPr>
          <w:p w:rsidR="0036057D" w:rsidRDefault="0036057D" w:rsidP="0036057D">
            <w:pPr>
              <w:ind w:right="121"/>
              <w:rPr>
                <w:rFonts w:asciiTheme="minorBidi" w:hAnsiTheme="minorBidi"/>
                <w:b/>
              </w:rPr>
            </w:pPr>
            <w:r>
              <w:rPr>
                <w:rFonts w:asciiTheme="minorBidi" w:hAnsiTheme="minorBidi"/>
                <w:b/>
              </w:rPr>
              <w:t>Personnel Resourcing and Development</w:t>
            </w:r>
          </w:p>
          <w:p w:rsidR="0036057D" w:rsidRDefault="0036057D" w:rsidP="0036057D">
            <w:pPr>
              <w:spacing w:before="120" w:after="120"/>
              <w:rPr>
                <w:rFonts w:asciiTheme="minorBidi" w:hAnsiTheme="minorBidi"/>
                <w:b/>
              </w:rPr>
            </w:pPr>
          </w:p>
        </w:tc>
        <w:tc>
          <w:tcPr>
            <w:tcW w:w="2538" w:type="dxa"/>
            <w:tcBorders>
              <w:top w:val="single" w:sz="4" w:space="0" w:color="auto"/>
              <w:left w:val="single" w:sz="4" w:space="0" w:color="auto"/>
              <w:bottom w:val="single" w:sz="4" w:space="0" w:color="auto"/>
              <w:right w:val="single" w:sz="4" w:space="0" w:color="auto"/>
            </w:tcBorders>
            <w:shd w:val="clear" w:color="auto" w:fill="D9D9D9"/>
            <w:hideMark/>
          </w:tcPr>
          <w:p w:rsidR="0036057D" w:rsidRDefault="0036057D" w:rsidP="0036057D">
            <w:pPr>
              <w:spacing w:before="120" w:after="120"/>
              <w:rPr>
                <w:rFonts w:asciiTheme="minorBidi" w:hAnsiTheme="minorBidi"/>
                <w:b/>
              </w:rPr>
            </w:pPr>
            <w:r>
              <w:rPr>
                <w:rFonts w:asciiTheme="minorBidi" w:hAnsiTheme="minorBidi"/>
                <w:b/>
              </w:rPr>
              <w:t>Module Level (4, 5, 6):</w:t>
            </w:r>
          </w:p>
        </w:tc>
        <w:tc>
          <w:tcPr>
            <w:tcW w:w="2111" w:type="dxa"/>
            <w:tcBorders>
              <w:top w:val="single" w:sz="4" w:space="0" w:color="auto"/>
              <w:left w:val="single" w:sz="4" w:space="0" w:color="auto"/>
              <w:bottom w:val="single" w:sz="4" w:space="0" w:color="auto"/>
              <w:right w:val="single" w:sz="4" w:space="0" w:color="auto"/>
            </w:tcBorders>
            <w:shd w:val="clear" w:color="auto" w:fill="auto"/>
            <w:hideMark/>
          </w:tcPr>
          <w:p w:rsidR="0036057D" w:rsidRDefault="0036057D" w:rsidP="0036057D">
            <w:pPr>
              <w:spacing w:before="120" w:after="120"/>
              <w:rPr>
                <w:rFonts w:asciiTheme="minorBidi" w:hAnsiTheme="minorBidi"/>
                <w:b/>
              </w:rPr>
            </w:pPr>
            <w:r>
              <w:rPr>
                <w:rFonts w:asciiTheme="minorBidi" w:hAnsiTheme="minorBidi"/>
                <w:b/>
              </w:rPr>
              <w:t>5</w:t>
            </w:r>
          </w:p>
        </w:tc>
      </w:tr>
      <w:tr w:rsidR="0036057D" w:rsidTr="0036057D">
        <w:trPr>
          <w:gridAfter w:val="1"/>
          <w:wAfter w:w="87" w:type="dxa"/>
        </w:trPr>
        <w:tc>
          <w:tcPr>
            <w:tcW w:w="1910" w:type="dxa"/>
            <w:tcBorders>
              <w:top w:val="single" w:sz="4" w:space="0" w:color="auto"/>
              <w:left w:val="single" w:sz="4" w:space="0" w:color="auto"/>
              <w:bottom w:val="single" w:sz="4" w:space="0" w:color="auto"/>
              <w:right w:val="single" w:sz="4" w:space="0" w:color="auto"/>
            </w:tcBorders>
            <w:shd w:val="pct15" w:color="auto" w:fill="auto"/>
            <w:hideMark/>
          </w:tcPr>
          <w:p w:rsidR="0036057D" w:rsidRDefault="0036057D" w:rsidP="0036057D">
            <w:pPr>
              <w:spacing w:before="120" w:after="120"/>
              <w:rPr>
                <w:rFonts w:asciiTheme="minorBidi" w:hAnsiTheme="minorBidi"/>
                <w:b/>
              </w:rPr>
            </w:pPr>
            <w:r>
              <w:rPr>
                <w:rFonts w:asciiTheme="minorBidi" w:hAnsiTheme="minorBidi"/>
                <w:b/>
              </w:rPr>
              <w:t>Module code:</w:t>
            </w:r>
          </w:p>
        </w:tc>
        <w:tc>
          <w:tcPr>
            <w:tcW w:w="4039" w:type="dxa"/>
            <w:tcBorders>
              <w:top w:val="single" w:sz="4" w:space="0" w:color="auto"/>
              <w:left w:val="single" w:sz="4" w:space="0" w:color="auto"/>
              <w:bottom w:val="single" w:sz="4" w:space="0" w:color="auto"/>
              <w:right w:val="single" w:sz="4" w:space="0" w:color="auto"/>
            </w:tcBorders>
            <w:shd w:val="clear" w:color="auto" w:fill="auto"/>
            <w:hideMark/>
          </w:tcPr>
          <w:p w:rsidR="0036057D" w:rsidRDefault="0036057D" w:rsidP="0036057D">
            <w:pPr>
              <w:spacing w:before="120" w:after="120"/>
              <w:rPr>
                <w:rFonts w:asciiTheme="minorBidi" w:eastAsia="Times New Roman" w:hAnsiTheme="minorBidi"/>
                <w:b/>
                <w:bCs/>
                <w:lang w:eastAsia="en-GB"/>
              </w:rPr>
            </w:pPr>
            <w:r>
              <w:rPr>
                <w:rFonts w:asciiTheme="minorBidi" w:eastAsia="Times New Roman" w:hAnsiTheme="minorBidi"/>
                <w:b/>
                <w:bCs/>
                <w:lang w:eastAsia="en-GB"/>
              </w:rPr>
              <w:t>BMIH5005</w:t>
            </w:r>
          </w:p>
        </w:tc>
        <w:tc>
          <w:tcPr>
            <w:tcW w:w="2538" w:type="dxa"/>
            <w:tcBorders>
              <w:top w:val="single" w:sz="4" w:space="0" w:color="auto"/>
              <w:left w:val="single" w:sz="4" w:space="0" w:color="auto"/>
              <w:bottom w:val="single" w:sz="4" w:space="0" w:color="auto"/>
              <w:right w:val="single" w:sz="4" w:space="0" w:color="auto"/>
            </w:tcBorders>
            <w:shd w:val="clear" w:color="auto" w:fill="D9D9D9"/>
            <w:hideMark/>
          </w:tcPr>
          <w:p w:rsidR="0036057D" w:rsidRPr="001C699A" w:rsidRDefault="0036057D" w:rsidP="001C699A">
            <w:pPr>
              <w:rPr>
                <w:rFonts w:ascii="Times New Roman" w:hAnsi="Times New Roman" w:cs="Times New Roman"/>
                <w:b/>
                <w:bCs/>
                <w:szCs w:val="20"/>
              </w:rPr>
            </w:pPr>
            <w:r w:rsidRPr="001C699A">
              <w:rPr>
                <w:rFonts w:ascii="Times New Roman" w:hAnsi="Times New Roman" w:cs="Times New Roman"/>
                <w:b/>
                <w:bCs/>
                <w:sz w:val="22"/>
                <w:szCs w:val="20"/>
              </w:rPr>
              <w:t xml:space="preserve">Contribution to Overall </w:t>
            </w:r>
          </w:p>
          <w:p w:rsidR="0036057D" w:rsidRDefault="0036057D" w:rsidP="001C699A">
            <w:pPr>
              <w:rPr>
                <w:rFonts w:asciiTheme="minorBidi" w:hAnsiTheme="minorBidi"/>
                <w:b/>
              </w:rPr>
            </w:pPr>
            <w:r w:rsidRPr="001C699A">
              <w:rPr>
                <w:rFonts w:ascii="Times New Roman" w:hAnsi="Times New Roman" w:cs="Times New Roman"/>
                <w:b/>
                <w:sz w:val="22"/>
                <w:szCs w:val="20"/>
              </w:rPr>
              <w:t>Module Assessment (%):</w:t>
            </w:r>
          </w:p>
        </w:tc>
        <w:tc>
          <w:tcPr>
            <w:tcW w:w="2111" w:type="dxa"/>
            <w:tcBorders>
              <w:top w:val="single" w:sz="4" w:space="0" w:color="auto"/>
              <w:left w:val="single" w:sz="4" w:space="0" w:color="auto"/>
              <w:bottom w:val="single" w:sz="4" w:space="0" w:color="auto"/>
              <w:right w:val="single" w:sz="4" w:space="0" w:color="auto"/>
            </w:tcBorders>
            <w:shd w:val="clear" w:color="auto" w:fill="auto"/>
            <w:hideMark/>
          </w:tcPr>
          <w:p w:rsidR="0036057D" w:rsidRDefault="0036057D" w:rsidP="0036057D">
            <w:pPr>
              <w:spacing w:before="120" w:after="120" w:line="240" w:lineRule="auto"/>
              <w:rPr>
                <w:rFonts w:asciiTheme="minorBidi" w:hAnsiTheme="minorBidi"/>
                <w:b/>
              </w:rPr>
            </w:pPr>
            <w:r>
              <w:rPr>
                <w:rFonts w:asciiTheme="minorBidi" w:hAnsiTheme="minorBidi"/>
                <w:b/>
              </w:rPr>
              <w:t>50%</w:t>
            </w:r>
          </w:p>
        </w:tc>
      </w:tr>
      <w:tr w:rsidR="0036057D" w:rsidTr="0036057D">
        <w:trPr>
          <w:gridAfter w:val="1"/>
          <w:wAfter w:w="87" w:type="dxa"/>
        </w:trPr>
        <w:tc>
          <w:tcPr>
            <w:tcW w:w="1910" w:type="dxa"/>
            <w:tcBorders>
              <w:top w:val="single" w:sz="4" w:space="0" w:color="auto"/>
              <w:left w:val="single" w:sz="4" w:space="0" w:color="auto"/>
              <w:bottom w:val="single" w:sz="4" w:space="0" w:color="auto"/>
              <w:right w:val="single" w:sz="4" w:space="0" w:color="auto"/>
            </w:tcBorders>
            <w:shd w:val="pct15" w:color="auto" w:fill="auto"/>
            <w:hideMark/>
          </w:tcPr>
          <w:p w:rsidR="0036057D" w:rsidRDefault="0036057D" w:rsidP="0036057D">
            <w:pPr>
              <w:spacing w:before="120" w:after="120"/>
              <w:rPr>
                <w:rFonts w:asciiTheme="minorBidi" w:hAnsiTheme="minorBidi"/>
                <w:b/>
              </w:rPr>
            </w:pPr>
            <w:r>
              <w:rPr>
                <w:rFonts w:asciiTheme="minorBidi" w:hAnsiTheme="minorBidi"/>
                <w:b/>
              </w:rPr>
              <w:t>Lecturer:</w:t>
            </w:r>
          </w:p>
        </w:tc>
        <w:tc>
          <w:tcPr>
            <w:tcW w:w="4039" w:type="dxa"/>
            <w:tcBorders>
              <w:top w:val="single" w:sz="4" w:space="0" w:color="auto"/>
              <w:left w:val="single" w:sz="4" w:space="0" w:color="auto"/>
              <w:bottom w:val="single" w:sz="4" w:space="0" w:color="auto"/>
              <w:right w:val="single" w:sz="4" w:space="0" w:color="auto"/>
            </w:tcBorders>
            <w:shd w:val="clear" w:color="auto" w:fill="auto"/>
            <w:hideMark/>
          </w:tcPr>
          <w:p w:rsidR="0036057D" w:rsidRDefault="0036057D" w:rsidP="0036057D">
            <w:pPr>
              <w:spacing w:after="0" w:line="240" w:lineRule="auto"/>
              <w:rPr>
                <w:rFonts w:asciiTheme="minorBidi" w:hAnsiTheme="minorBidi"/>
                <w:b/>
              </w:rPr>
            </w:pPr>
            <w:r>
              <w:rPr>
                <w:rFonts w:asciiTheme="minorBidi" w:hAnsiTheme="minorBidi"/>
                <w:b/>
              </w:rPr>
              <w:t>Kathryn Roberts</w:t>
            </w:r>
          </w:p>
          <w:p w:rsidR="0036057D" w:rsidRDefault="0036057D" w:rsidP="0036057D">
            <w:pPr>
              <w:spacing w:after="0" w:line="240" w:lineRule="auto"/>
              <w:rPr>
                <w:rFonts w:asciiTheme="minorBidi" w:hAnsiTheme="minorBidi"/>
                <w:b/>
              </w:rPr>
            </w:pPr>
            <w:r>
              <w:rPr>
                <w:rFonts w:asciiTheme="minorBidi" w:hAnsiTheme="minorBidi"/>
                <w:b/>
              </w:rPr>
              <w:t>Emma Roberts</w:t>
            </w:r>
          </w:p>
        </w:tc>
        <w:tc>
          <w:tcPr>
            <w:tcW w:w="2538" w:type="dxa"/>
            <w:tcBorders>
              <w:top w:val="single" w:sz="4" w:space="0" w:color="auto"/>
              <w:left w:val="single" w:sz="4" w:space="0" w:color="auto"/>
              <w:bottom w:val="single" w:sz="4" w:space="0" w:color="auto"/>
              <w:right w:val="single" w:sz="4" w:space="0" w:color="auto"/>
            </w:tcBorders>
            <w:shd w:val="clear" w:color="auto" w:fill="D9D9D9"/>
            <w:hideMark/>
          </w:tcPr>
          <w:p w:rsidR="0036057D" w:rsidRDefault="0036057D" w:rsidP="0036057D">
            <w:pPr>
              <w:spacing w:before="120" w:after="120"/>
              <w:rPr>
                <w:rFonts w:asciiTheme="minorBidi" w:hAnsiTheme="minorBidi"/>
                <w:b/>
              </w:rPr>
            </w:pPr>
            <w:r>
              <w:rPr>
                <w:rFonts w:asciiTheme="minorBidi" w:hAnsiTheme="minorBidi"/>
                <w:b/>
              </w:rPr>
              <w:t>Internal Verifier:</w:t>
            </w:r>
          </w:p>
        </w:tc>
        <w:tc>
          <w:tcPr>
            <w:tcW w:w="2111" w:type="dxa"/>
            <w:tcBorders>
              <w:top w:val="single" w:sz="4" w:space="0" w:color="auto"/>
              <w:left w:val="single" w:sz="4" w:space="0" w:color="auto"/>
              <w:bottom w:val="single" w:sz="4" w:space="0" w:color="auto"/>
              <w:right w:val="single" w:sz="4" w:space="0" w:color="auto"/>
            </w:tcBorders>
            <w:shd w:val="clear" w:color="auto" w:fill="auto"/>
            <w:hideMark/>
          </w:tcPr>
          <w:p w:rsidR="0036057D" w:rsidRDefault="0036057D" w:rsidP="0036057D">
            <w:pPr>
              <w:spacing w:before="120" w:after="120"/>
              <w:rPr>
                <w:rFonts w:asciiTheme="minorBidi" w:hAnsiTheme="minorBidi"/>
                <w:b/>
              </w:rPr>
            </w:pPr>
            <w:r>
              <w:rPr>
                <w:rFonts w:asciiTheme="minorBidi" w:hAnsiTheme="minorBidi"/>
                <w:b/>
              </w:rPr>
              <w:t>Rodrigo Aguilera</w:t>
            </w:r>
          </w:p>
        </w:tc>
      </w:tr>
      <w:tr w:rsidR="0036057D" w:rsidTr="0036057D">
        <w:trPr>
          <w:gridAfter w:val="1"/>
          <w:wAfter w:w="87" w:type="dxa"/>
        </w:trPr>
        <w:tc>
          <w:tcPr>
            <w:tcW w:w="1910" w:type="dxa"/>
            <w:tcBorders>
              <w:top w:val="single" w:sz="4" w:space="0" w:color="auto"/>
              <w:left w:val="single" w:sz="4" w:space="0" w:color="auto"/>
              <w:bottom w:val="single" w:sz="4" w:space="0" w:color="auto"/>
              <w:right w:val="single" w:sz="4" w:space="0" w:color="auto"/>
            </w:tcBorders>
            <w:shd w:val="pct15" w:color="auto" w:fill="auto"/>
            <w:hideMark/>
          </w:tcPr>
          <w:p w:rsidR="0036057D" w:rsidRDefault="0036057D" w:rsidP="0036057D">
            <w:pPr>
              <w:spacing w:before="120" w:after="120"/>
              <w:rPr>
                <w:rFonts w:asciiTheme="minorBidi" w:hAnsiTheme="minorBidi"/>
                <w:b/>
              </w:rPr>
            </w:pPr>
            <w:r>
              <w:rPr>
                <w:rFonts w:asciiTheme="minorBidi" w:hAnsiTheme="minorBidi"/>
                <w:b/>
              </w:rPr>
              <w:t>Assignment Title:</w:t>
            </w:r>
          </w:p>
        </w:tc>
        <w:tc>
          <w:tcPr>
            <w:tcW w:w="4039" w:type="dxa"/>
            <w:tcBorders>
              <w:top w:val="single" w:sz="4" w:space="0" w:color="auto"/>
              <w:left w:val="single" w:sz="4" w:space="0" w:color="auto"/>
              <w:bottom w:val="single" w:sz="4" w:space="0" w:color="auto"/>
              <w:right w:val="single" w:sz="4" w:space="0" w:color="auto"/>
            </w:tcBorders>
            <w:shd w:val="clear" w:color="auto" w:fill="auto"/>
          </w:tcPr>
          <w:p w:rsidR="0036057D" w:rsidRDefault="0036057D" w:rsidP="0036057D">
            <w:pPr>
              <w:spacing w:after="0" w:line="240" w:lineRule="auto"/>
              <w:rPr>
                <w:rFonts w:asciiTheme="minorBidi" w:hAnsiTheme="minorBidi"/>
                <w:b/>
              </w:rPr>
            </w:pPr>
            <w:r>
              <w:rPr>
                <w:rFonts w:asciiTheme="minorBidi" w:hAnsiTheme="minorBidi"/>
                <w:b/>
              </w:rPr>
              <w:t>Essay: Employee Engagement</w:t>
            </w:r>
          </w:p>
          <w:p w:rsidR="0036057D" w:rsidRDefault="0036057D" w:rsidP="0036057D">
            <w:pPr>
              <w:spacing w:after="0" w:line="240" w:lineRule="auto"/>
              <w:rPr>
                <w:rFonts w:asciiTheme="minorBidi" w:hAnsiTheme="minorBidi"/>
                <w:b/>
                <w:i/>
                <w:iCs/>
              </w:rPr>
            </w:pPr>
          </w:p>
        </w:tc>
        <w:tc>
          <w:tcPr>
            <w:tcW w:w="2538" w:type="dxa"/>
            <w:tcBorders>
              <w:top w:val="single" w:sz="4" w:space="0" w:color="auto"/>
              <w:left w:val="single" w:sz="4" w:space="0" w:color="auto"/>
              <w:bottom w:val="single" w:sz="4" w:space="0" w:color="auto"/>
              <w:right w:val="single" w:sz="4" w:space="0" w:color="auto"/>
            </w:tcBorders>
            <w:shd w:val="pct15" w:color="auto" w:fill="auto"/>
            <w:hideMark/>
          </w:tcPr>
          <w:p w:rsidR="0036057D" w:rsidRDefault="0036057D" w:rsidP="0036057D">
            <w:pPr>
              <w:spacing w:before="120" w:after="120"/>
              <w:rPr>
                <w:rFonts w:asciiTheme="minorBidi" w:hAnsiTheme="minorBidi"/>
                <w:b/>
              </w:rPr>
            </w:pPr>
            <w:r>
              <w:rPr>
                <w:rFonts w:asciiTheme="minorBidi" w:hAnsiTheme="minorBidi"/>
                <w:b/>
              </w:rPr>
              <w:t>Assignment No:</w:t>
            </w:r>
          </w:p>
        </w:tc>
        <w:tc>
          <w:tcPr>
            <w:tcW w:w="2111" w:type="dxa"/>
            <w:tcBorders>
              <w:top w:val="single" w:sz="4" w:space="0" w:color="auto"/>
              <w:left w:val="single" w:sz="4" w:space="0" w:color="auto"/>
              <w:bottom w:val="single" w:sz="4" w:space="0" w:color="auto"/>
              <w:right w:val="single" w:sz="4" w:space="0" w:color="auto"/>
            </w:tcBorders>
            <w:shd w:val="clear" w:color="auto" w:fill="auto"/>
            <w:hideMark/>
          </w:tcPr>
          <w:p w:rsidR="0036057D" w:rsidRDefault="0036057D" w:rsidP="0036057D">
            <w:pPr>
              <w:spacing w:before="120" w:after="120"/>
              <w:rPr>
                <w:rFonts w:asciiTheme="minorBidi" w:hAnsiTheme="minorBidi"/>
                <w:b/>
              </w:rPr>
            </w:pPr>
            <w:r>
              <w:rPr>
                <w:rFonts w:asciiTheme="minorBidi" w:hAnsiTheme="minorBidi"/>
                <w:b/>
              </w:rPr>
              <w:t>1 of 2</w:t>
            </w:r>
          </w:p>
        </w:tc>
      </w:tr>
      <w:tr w:rsidR="0036057D" w:rsidTr="0036057D">
        <w:trPr>
          <w:gridAfter w:val="1"/>
          <w:wAfter w:w="87" w:type="dxa"/>
        </w:trPr>
        <w:tc>
          <w:tcPr>
            <w:tcW w:w="1910" w:type="dxa"/>
            <w:tcBorders>
              <w:top w:val="single" w:sz="4" w:space="0" w:color="auto"/>
              <w:left w:val="single" w:sz="4" w:space="0" w:color="auto"/>
              <w:bottom w:val="single" w:sz="4" w:space="0" w:color="auto"/>
              <w:right w:val="single" w:sz="4" w:space="0" w:color="auto"/>
            </w:tcBorders>
            <w:shd w:val="pct15" w:color="auto" w:fill="auto"/>
          </w:tcPr>
          <w:p w:rsidR="0036057D" w:rsidRDefault="0036057D" w:rsidP="0036057D">
            <w:pPr>
              <w:spacing w:after="0" w:line="240" w:lineRule="auto"/>
              <w:rPr>
                <w:rFonts w:asciiTheme="minorBidi" w:hAnsiTheme="minorBidi"/>
                <w:b/>
              </w:rPr>
            </w:pPr>
            <w:r>
              <w:rPr>
                <w:rFonts w:asciiTheme="minorBidi" w:hAnsiTheme="minorBidi"/>
                <w:b/>
              </w:rPr>
              <w:t>Submission deadlines:</w:t>
            </w:r>
          </w:p>
          <w:p w:rsidR="0036057D" w:rsidRDefault="0036057D" w:rsidP="0036057D">
            <w:pPr>
              <w:spacing w:after="0" w:line="240" w:lineRule="auto"/>
              <w:rPr>
                <w:rFonts w:asciiTheme="minorBidi" w:hAnsiTheme="minorBidi"/>
                <w:b/>
              </w:rPr>
            </w:pPr>
          </w:p>
        </w:tc>
        <w:tc>
          <w:tcPr>
            <w:tcW w:w="4039" w:type="dxa"/>
            <w:tcBorders>
              <w:top w:val="single" w:sz="4" w:space="0" w:color="auto"/>
              <w:left w:val="single" w:sz="4" w:space="0" w:color="auto"/>
              <w:bottom w:val="single" w:sz="4" w:space="0" w:color="auto"/>
              <w:right w:val="single" w:sz="4" w:space="0" w:color="auto"/>
            </w:tcBorders>
            <w:shd w:val="clear" w:color="auto" w:fill="auto"/>
            <w:hideMark/>
          </w:tcPr>
          <w:p w:rsidR="0036057D" w:rsidRDefault="0036057D" w:rsidP="0036057D">
            <w:pPr>
              <w:spacing w:after="0" w:line="240" w:lineRule="auto"/>
              <w:rPr>
                <w:rFonts w:asciiTheme="minorBidi" w:hAnsiTheme="minorBidi"/>
                <w:b/>
              </w:rPr>
            </w:pPr>
            <w:r>
              <w:rPr>
                <w:rFonts w:asciiTheme="minorBidi" w:hAnsiTheme="minorBidi"/>
                <w:b/>
              </w:rPr>
              <w:t>Wednesday 26th October 2022 by 23.55</w:t>
            </w:r>
          </w:p>
        </w:tc>
        <w:tc>
          <w:tcPr>
            <w:tcW w:w="2538" w:type="dxa"/>
            <w:tcBorders>
              <w:top w:val="single" w:sz="4" w:space="0" w:color="auto"/>
              <w:left w:val="single" w:sz="4" w:space="0" w:color="auto"/>
              <w:bottom w:val="single" w:sz="4" w:space="0" w:color="auto"/>
              <w:right w:val="single" w:sz="4" w:space="0" w:color="auto"/>
            </w:tcBorders>
            <w:shd w:val="pct15" w:color="auto" w:fill="auto"/>
            <w:hideMark/>
          </w:tcPr>
          <w:p w:rsidR="0036057D" w:rsidRDefault="0036057D" w:rsidP="0036057D">
            <w:pPr>
              <w:spacing w:after="0" w:line="240" w:lineRule="auto"/>
              <w:rPr>
                <w:rFonts w:asciiTheme="minorBidi" w:hAnsiTheme="minorBidi"/>
                <w:b/>
                <w:sz w:val="20"/>
                <w:szCs w:val="20"/>
              </w:rPr>
            </w:pPr>
            <w:r>
              <w:rPr>
                <w:rFonts w:asciiTheme="minorBidi" w:hAnsiTheme="minorBidi"/>
                <w:b/>
                <w:sz w:val="20"/>
                <w:szCs w:val="20"/>
              </w:rPr>
              <w:t>Return date of provisional marks &amp; written feedback:</w:t>
            </w:r>
          </w:p>
        </w:tc>
        <w:tc>
          <w:tcPr>
            <w:tcW w:w="2111" w:type="dxa"/>
            <w:tcBorders>
              <w:top w:val="single" w:sz="4" w:space="0" w:color="auto"/>
              <w:left w:val="single" w:sz="4" w:space="0" w:color="auto"/>
              <w:bottom w:val="single" w:sz="4" w:space="0" w:color="auto"/>
              <w:right w:val="single" w:sz="4" w:space="0" w:color="auto"/>
            </w:tcBorders>
            <w:shd w:val="clear" w:color="auto" w:fill="auto"/>
            <w:hideMark/>
          </w:tcPr>
          <w:p w:rsidR="0036057D" w:rsidRDefault="0036057D" w:rsidP="0036057D">
            <w:pPr>
              <w:spacing w:after="0" w:line="240" w:lineRule="auto"/>
              <w:rPr>
                <w:rFonts w:asciiTheme="minorBidi" w:hAnsiTheme="minorBidi"/>
                <w:b/>
              </w:rPr>
            </w:pPr>
            <w:r>
              <w:rPr>
                <w:rFonts w:asciiTheme="minorBidi" w:hAnsiTheme="minorBidi"/>
                <w:b/>
              </w:rPr>
              <w:t>28</w:t>
            </w:r>
            <w:r>
              <w:rPr>
                <w:rFonts w:asciiTheme="minorBidi" w:hAnsiTheme="minorBidi"/>
                <w:b/>
                <w:vertAlign w:val="superscript"/>
              </w:rPr>
              <w:t xml:space="preserve">th </w:t>
            </w:r>
            <w:r>
              <w:rPr>
                <w:rFonts w:asciiTheme="minorBidi" w:hAnsiTheme="minorBidi"/>
                <w:b/>
              </w:rPr>
              <w:t>November 2022</w:t>
            </w:r>
          </w:p>
        </w:tc>
      </w:tr>
    </w:tbl>
    <w:p w:rsidR="0036057D" w:rsidRDefault="0036057D">
      <w:pPr>
        <w:spacing w:line="259" w:lineRule="auto"/>
        <w:jc w:val="left"/>
      </w:pPr>
    </w:p>
    <w:p w:rsidR="00793AAF" w:rsidRDefault="00793AAF">
      <w:pPr>
        <w:spacing w:line="259" w:lineRule="auto"/>
        <w:jc w:val="left"/>
      </w:pPr>
      <w:r>
        <w:br w:type="page"/>
      </w:r>
    </w:p>
    <w:sdt>
      <w:sdtPr>
        <w:rPr>
          <w:rFonts w:ascii="Arial" w:eastAsiaTheme="minorHAnsi" w:hAnsi="Arial" w:cstheme="minorBidi"/>
          <w:color w:val="auto"/>
          <w:sz w:val="24"/>
          <w:szCs w:val="22"/>
          <w:lang w:val="en-GB"/>
        </w:rPr>
        <w:id w:val="911967656"/>
        <w:docPartObj>
          <w:docPartGallery w:val="Table of Contents"/>
          <w:docPartUnique/>
        </w:docPartObj>
      </w:sdtPr>
      <w:sdtEndPr>
        <w:rPr>
          <w:b/>
          <w:bCs/>
          <w:noProof/>
        </w:rPr>
      </w:sdtEndPr>
      <w:sdtContent>
        <w:p w:rsidR="001C699A" w:rsidRDefault="001C699A">
          <w:pPr>
            <w:pStyle w:val="TOCHeading"/>
          </w:pPr>
          <w:r>
            <w:t>Table of Contents</w:t>
          </w:r>
        </w:p>
        <w:p w:rsidR="001C699A" w:rsidRDefault="00091046">
          <w:pPr>
            <w:pStyle w:val="TOC1"/>
            <w:tabs>
              <w:tab w:val="right" w:leader="dot" w:pos="9350"/>
            </w:tabs>
            <w:rPr>
              <w:rFonts w:asciiTheme="minorHAnsi" w:eastAsiaTheme="minorEastAsia" w:hAnsiTheme="minorHAnsi"/>
              <w:noProof/>
              <w:sz w:val="22"/>
              <w:lang w:eastAsia="en-GB"/>
            </w:rPr>
          </w:pPr>
          <w:r w:rsidRPr="00091046">
            <w:fldChar w:fldCharType="begin"/>
          </w:r>
          <w:r w:rsidR="001C699A">
            <w:instrText xml:space="preserve"> TOC \o "1-3" \h \z \u </w:instrText>
          </w:r>
          <w:r w:rsidRPr="00091046">
            <w:fldChar w:fldCharType="separate"/>
          </w:r>
          <w:hyperlink w:anchor="_Toc116820203" w:history="1">
            <w:r w:rsidR="001C699A">
              <w:rPr>
                <w:noProof/>
                <w:webHidden/>
              </w:rPr>
              <w:tab/>
            </w:r>
            <w:r>
              <w:rPr>
                <w:noProof/>
                <w:webHidden/>
              </w:rPr>
              <w:fldChar w:fldCharType="begin"/>
            </w:r>
            <w:r w:rsidR="001C699A">
              <w:rPr>
                <w:noProof/>
                <w:webHidden/>
              </w:rPr>
              <w:instrText xml:space="preserve"> PAGEREF _Toc116820203 \h </w:instrText>
            </w:r>
            <w:r>
              <w:rPr>
                <w:noProof/>
                <w:webHidden/>
              </w:rPr>
            </w:r>
            <w:r>
              <w:rPr>
                <w:noProof/>
                <w:webHidden/>
              </w:rPr>
              <w:fldChar w:fldCharType="separate"/>
            </w:r>
            <w:r w:rsidR="001C699A">
              <w:rPr>
                <w:noProof/>
                <w:webHidden/>
              </w:rPr>
              <w:t>3</w:t>
            </w:r>
            <w:r>
              <w:rPr>
                <w:noProof/>
                <w:webHidden/>
              </w:rPr>
              <w:fldChar w:fldCharType="end"/>
            </w:r>
          </w:hyperlink>
        </w:p>
        <w:p w:rsidR="001C699A" w:rsidRDefault="00091046">
          <w:pPr>
            <w:pStyle w:val="TOC2"/>
            <w:tabs>
              <w:tab w:val="right" w:leader="dot" w:pos="9350"/>
            </w:tabs>
            <w:rPr>
              <w:rFonts w:asciiTheme="minorHAnsi" w:eastAsiaTheme="minorEastAsia" w:hAnsiTheme="minorHAnsi"/>
              <w:noProof/>
              <w:sz w:val="22"/>
              <w:lang w:eastAsia="en-GB"/>
            </w:rPr>
          </w:pPr>
          <w:hyperlink w:anchor="_Toc116820204" w:history="1">
            <w:r w:rsidR="001C699A" w:rsidRPr="001B354E">
              <w:rPr>
                <w:rStyle w:val="Hyperlink"/>
                <w:noProof/>
              </w:rPr>
              <w:t>Introduction</w:t>
            </w:r>
            <w:r w:rsidR="001C699A">
              <w:rPr>
                <w:noProof/>
                <w:webHidden/>
              </w:rPr>
              <w:tab/>
            </w:r>
            <w:r>
              <w:rPr>
                <w:noProof/>
                <w:webHidden/>
              </w:rPr>
              <w:fldChar w:fldCharType="begin"/>
            </w:r>
            <w:r w:rsidR="001C699A">
              <w:rPr>
                <w:noProof/>
                <w:webHidden/>
              </w:rPr>
              <w:instrText xml:space="preserve"> PAGEREF _Toc116820204 \h </w:instrText>
            </w:r>
            <w:r>
              <w:rPr>
                <w:noProof/>
                <w:webHidden/>
              </w:rPr>
            </w:r>
            <w:r>
              <w:rPr>
                <w:noProof/>
                <w:webHidden/>
              </w:rPr>
              <w:fldChar w:fldCharType="separate"/>
            </w:r>
            <w:r w:rsidR="001C699A">
              <w:rPr>
                <w:noProof/>
                <w:webHidden/>
              </w:rPr>
              <w:t>3</w:t>
            </w:r>
            <w:r>
              <w:rPr>
                <w:noProof/>
                <w:webHidden/>
              </w:rPr>
              <w:fldChar w:fldCharType="end"/>
            </w:r>
          </w:hyperlink>
        </w:p>
        <w:p w:rsidR="001C699A" w:rsidRDefault="00091046">
          <w:pPr>
            <w:pStyle w:val="TOC2"/>
            <w:tabs>
              <w:tab w:val="right" w:leader="dot" w:pos="9350"/>
            </w:tabs>
            <w:rPr>
              <w:rFonts w:asciiTheme="minorHAnsi" w:eastAsiaTheme="minorEastAsia" w:hAnsiTheme="minorHAnsi"/>
              <w:noProof/>
              <w:sz w:val="22"/>
              <w:lang w:eastAsia="en-GB"/>
            </w:rPr>
          </w:pPr>
          <w:hyperlink w:anchor="_Toc116820205" w:history="1">
            <w:r w:rsidR="001C699A" w:rsidRPr="001B354E">
              <w:rPr>
                <w:rStyle w:val="Hyperlink"/>
                <w:noProof/>
              </w:rPr>
              <w:t>Human Resource Management</w:t>
            </w:r>
            <w:r w:rsidR="001C699A">
              <w:rPr>
                <w:noProof/>
                <w:webHidden/>
              </w:rPr>
              <w:tab/>
            </w:r>
            <w:r>
              <w:rPr>
                <w:noProof/>
                <w:webHidden/>
              </w:rPr>
              <w:fldChar w:fldCharType="begin"/>
            </w:r>
            <w:r w:rsidR="001C699A">
              <w:rPr>
                <w:noProof/>
                <w:webHidden/>
              </w:rPr>
              <w:instrText xml:space="preserve"> PAGEREF _Toc116820205 \h </w:instrText>
            </w:r>
            <w:r>
              <w:rPr>
                <w:noProof/>
                <w:webHidden/>
              </w:rPr>
            </w:r>
            <w:r>
              <w:rPr>
                <w:noProof/>
                <w:webHidden/>
              </w:rPr>
              <w:fldChar w:fldCharType="separate"/>
            </w:r>
            <w:r w:rsidR="001C699A">
              <w:rPr>
                <w:noProof/>
                <w:webHidden/>
              </w:rPr>
              <w:t>4</w:t>
            </w:r>
            <w:r>
              <w:rPr>
                <w:noProof/>
                <w:webHidden/>
              </w:rPr>
              <w:fldChar w:fldCharType="end"/>
            </w:r>
          </w:hyperlink>
        </w:p>
        <w:p w:rsidR="001C699A" w:rsidRDefault="00091046">
          <w:pPr>
            <w:pStyle w:val="TOC2"/>
            <w:tabs>
              <w:tab w:val="right" w:leader="dot" w:pos="9350"/>
            </w:tabs>
            <w:rPr>
              <w:rFonts w:asciiTheme="minorHAnsi" w:eastAsiaTheme="minorEastAsia" w:hAnsiTheme="minorHAnsi"/>
              <w:noProof/>
              <w:sz w:val="22"/>
              <w:lang w:eastAsia="en-GB"/>
            </w:rPr>
          </w:pPr>
          <w:hyperlink w:anchor="_Toc116820206" w:history="1">
            <w:r w:rsidR="001C699A" w:rsidRPr="001B354E">
              <w:rPr>
                <w:rStyle w:val="Hyperlink"/>
                <w:noProof/>
              </w:rPr>
              <w:t>Advantages of Employee Engagement</w:t>
            </w:r>
            <w:r w:rsidR="001C699A">
              <w:rPr>
                <w:noProof/>
                <w:webHidden/>
              </w:rPr>
              <w:tab/>
            </w:r>
            <w:r>
              <w:rPr>
                <w:noProof/>
                <w:webHidden/>
              </w:rPr>
              <w:fldChar w:fldCharType="begin"/>
            </w:r>
            <w:r w:rsidR="001C699A">
              <w:rPr>
                <w:noProof/>
                <w:webHidden/>
              </w:rPr>
              <w:instrText xml:space="preserve"> PAGEREF _Toc116820206 \h </w:instrText>
            </w:r>
            <w:r>
              <w:rPr>
                <w:noProof/>
                <w:webHidden/>
              </w:rPr>
            </w:r>
            <w:r>
              <w:rPr>
                <w:noProof/>
                <w:webHidden/>
              </w:rPr>
              <w:fldChar w:fldCharType="separate"/>
            </w:r>
            <w:r w:rsidR="001C699A">
              <w:rPr>
                <w:noProof/>
                <w:webHidden/>
              </w:rPr>
              <w:t>6</w:t>
            </w:r>
            <w:r>
              <w:rPr>
                <w:noProof/>
                <w:webHidden/>
              </w:rPr>
              <w:fldChar w:fldCharType="end"/>
            </w:r>
          </w:hyperlink>
        </w:p>
        <w:p w:rsidR="001C699A" w:rsidRDefault="00091046">
          <w:pPr>
            <w:pStyle w:val="TOC2"/>
            <w:tabs>
              <w:tab w:val="right" w:leader="dot" w:pos="9350"/>
            </w:tabs>
            <w:rPr>
              <w:rFonts w:asciiTheme="minorHAnsi" w:eastAsiaTheme="minorEastAsia" w:hAnsiTheme="minorHAnsi"/>
              <w:noProof/>
              <w:sz w:val="22"/>
              <w:lang w:eastAsia="en-GB"/>
            </w:rPr>
          </w:pPr>
          <w:hyperlink w:anchor="_Toc116820207" w:history="1">
            <w:r w:rsidR="001C699A" w:rsidRPr="001B354E">
              <w:rPr>
                <w:rStyle w:val="Hyperlink"/>
                <w:noProof/>
              </w:rPr>
              <w:t>Employee Engagement</w:t>
            </w:r>
            <w:r w:rsidR="001C699A">
              <w:rPr>
                <w:noProof/>
                <w:webHidden/>
              </w:rPr>
              <w:tab/>
            </w:r>
            <w:r>
              <w:rPr>
                <w:noProof/>
                <w:webHidden/>
              </w:rPr>
              <w:fldChar w:fldCharType="begin"/>
            </w:r>
            <w:r w:rsidR="001C699A">
              <w:rPr>
                <w:noProof/>
                <w:webHidden/>
              </w:rPr>
              <w:instrText xml:space="preserve"> PAGEREF _Toc116820207 \h </w:instrText>
            </w:r>
            <w:r>
              <w:rPr>
                <w:noProof/>
                <w:webHidden/>
              </w:rPr>
            </w:r>
            <w:r>
              <w:rPr>
                <w:noProof/>
                <w:webHidden/>
              </w:rPr>
              <w:fldChar w:fldCharType="separate"/>
            </w:r>
            <w:r w:rsidR="001C699A">
              <w:rPr>
                <w:noProof/>
                <w:webHidden/>
              </w:rPr>
              <w:t>6</w:t>
            </w:r>
            <w:r>
              <w:rPr>
                <w:noProof/>
                <w:webHidden/>
              </w:rPr>
              <w:fldChar w:fldCharType="end"/>
            </w:r>
          </w:hyperlink>
        </w:p>
        <w:p w:rsidR="001C699A" w:rsidRDefault="00091046">
          <w:pPr>
            <w:pStyle w:val="TOC2"/>
            <w:tabs>
              <w:tab w:val="right" w:leader="dot" w:pos="9350"/>
            </w:tabs>
            <w:rPr>
              <w:rFonts w:asciiTheme="minorHAnsi" w:eastAsiaTheme="minorEastAsia" w:hAnsiTheme="minorHAnsi"/>
              <w:noProof/>
              <w:sz w:val="22"/>
              <w:lang w:eastAsia="en-GB"/>
            </w:rPr>
          </w:pPr>
          <w:hyperlink w:anchor="_Toc116820208" w:history="1">
            <w:r w:rsidR="001C699A" w:rsidRPr="001B354E">
              <w:rPr>
                <w:rStyle w:val="Hyperlink"/>
                <w:noProof/>
              </w:rPr>
              <w:t>Strategies to keep employees engaged</w:t>
            </w:r>
            <w:r w:rsidR="001C699A">
              <w:rPr>
                <w:noProof/>
                <w:webHidden/>
              </w:rPr>
              <w:tab/>
            </w:r>
            <w:r>
              <w:rPr>
                <w:noProof/>
                <w:webHidden/>
              </w:rPr>
              <w:fldChar w:fldCharType="begin"/>
            </w:r>
            <w:r w:rsidR="001C699A">
              <w:rPr>
                <w:noProof/>
                <w:webHidden/>
              </w:rPr>
              <w:instrText xml:space="preserve"> PAGEREF _Toc116820208 \h </w:instrText>
            </w:r>
            <w:r>
              <w:rPr>
                <w:noProof/>
                <w:webHidden/>
              </w:rPr>
            </w:r>
            <w:r>
              <w:rPr>
                <w:noProof/>
                <w:webHidden/>
              </w:rPr>
              <w:fldChar w:fldCharType="separate"/>
            </w:r>
            <w:r w:rsidR="001C699A">
              <w:rPr>
                <w:noProof/>
                <w:webHidden/>
              </w:rPr>
              <w:t>9</w:t>
            </w:r>
            <w:r>
              <w:rPr>
                <w:noProof/>
                <w:webHidden/>
              </w:rPr>
              <w:fldChar w:fldCharType="end"/>
            </w:r>
          </w:hyperlink>
        </w:p>
        <w:p w:rsidR="001C699A" w:rsidRDefault="00091046">
          <w:pPr>
            <w:pStyle w:val="TOC2"/>
            <w:tabs>
              <w:tab w:val="right" w:leader="dot" w:pos="9350"/>
            </w:tabs>
            <w:rPr>
              <w:rFonts w:asciiTheme="minorHAnsi" w:eastAsiaTheme="minorEastAsia" w:hAnsiTheme="minorHAnsi"/>
              <w:noProof/>
              <w:sz w:val="22"/>
              <w:lang w:eastAsia="en-GB"/>
            </w:rPr>
          </w:pPr>
          <w:hyperlink w:anchor="_Toc116820209" w:history="1">
            <w:r w:rsidR="001C699A" w:rsidRPr="001B354E">
              <w:rPr>
                <w:rStyle w:val="Hyperlink"/>
                <w:noProof/>
              </w:rPr>
              <w:t>Employee Engagement Model</w:t>
            </w:r>
            <w:r w:rsidR="001C699A">
              <w:rPr>
                <w:noProof/>
                <w:webHidden/>
              </w:rPr>
              <w:tab/>
            </w:r>
            <w:r>
              <w:rPr>
                <w:noProof/>
                <w:webHidden/>
              </w:rPr>
              <w:fldChar w:fldCharType="begin"/>
            </w:r>
            <w:r w:rsidR="001C699A">
              <w:rPr>
                <w:noProof/>
                <w:webHidden/>
              </w:rPr>
              <w:instrText xml:space="preserve"> PAGEREF _Toc116820209 \h </w:instrText>
            </w:r>
            <w:r>
              <w:rPr>
                <w:noProof/>
                <w:webHidden/>
              </w:rPr>
            </w:r>
            <w:r>
              <w:rPr>
                <w:noProof/>
                <w:webHidden/>
              </w:rPr>
              <w:fldChar w:fldCharType="separate"/>
            </w:r>
            <w:r w:rsidR="001C699A">
              <w:rPr>
                <w:noProof/>
                <w:webHidden/>
              </w:rPr>
              <w:t>10</w:t>
            </w:r>
            <w:r>
              <w:rPr>
                <w:noProof/>
                <w:webHidden/>
              </w:rPr>
              <w:fldChar w:fldCharType="end"/>
            </w:r>
          </w:hyperlink>
        </w:p>
        <w:p w:rsidR="001C699A" w:rsidRDefault="00091046">
          <w:pPr>
            <w:pStyle w:val="TOC2"/>
            <w:tabs>
              <w:tab w:val="right" w:leader="dot" w:pos="9350"/>
            </w:tabs>
            <w:rPr>
              <w:rFonts w:asciiTheme="minorHAnsi" w:eastAsiaTheme="minorEastAsia" w:hAnsiTheme="minorHAnsi"/>
              <w:noProof/>
              <w:sz w:val="22"/>
              <w:lang w:eastAsia="en-GB"/>
            </w:rPr>
          </w:pPr>
          <w:hyperlink w:anchor="_Toc116820210" w:history="1">
            <w:r w:rsidR="001C699A" w:rsidRPr="001B354E">
              <w:rPr>
                <w:rStyle w:val="Hyperlink"/>
                <w:noProof/>
              </w:rPr>
              <w:t>Example</w:t>
            </w:r>
            <w:r w:rsidR="001C699A">
              <w:rPr>
                <w:noProof/>
                <w:webHidden/>
              </w:rPr>
              <w:tab/>
            </w:r>
            <w:r>
              <w:rPr>
                <w:noProof/>
                <w:webHidden/>
              </w:rPr>
              <w:fldChar w:fldCharType="begin"/>
            </w:r>
            <w:r w:rsidR="001C699A">
              <w:rPr>
                <w:noProof/>
                <w:webHidden/>
              </w:rPr>
              <w:instrText xml:space="preserve"> PAGEREF _Toc116820210 \h </w:instrText>
            </w:r>
            <w:r>
              <w:rPr>
                <w:noProof/>
                <w:webHidden/>
              </w:rPr>
            </w:r>
            <w:r>
              <w:rPr>
                <w:noProof/>
                <w:webHidden/>
              </w:rPr>
              <w:fldChar w:fldCharType="separate"/>
            </w:r>
            <w:r w:rsidR="001C699A">
              <w:rPr>
                <w:noProof/>
                <w:webHidden/>
              </w:rPr>
              <w:t>12</w:t>
            </w:r>
            <w:r>
              <w:rPr>
                <w:noProof/>
                <w:webHidden/>
              </w:rPr>
              <w:fldChar w:fldCharType="end"/>
            </w:r>
          </w:hyperlink>
        </w:p>
        <w:p w:rsidR="001C699A" w:rsidRDefault="00091046">
          <w:pPr>
            <w:pStyle w:val="TOC2"/>
            <w:tabs>
              <w:tab w:val="right" w:leader="dot" w:pos="9350"/>
            </w:tabs>
            <w:rPr>
              <w:rFonts w:asciiTheme="minorHAnsi" w:eastAsiaTheme="minorEastAsia" w:hAnsiTheme="minorHAnsi"/>
              <w:noProof/>
              <w:sz w:val="22"/>
              <w:lang w:eastAsia="en-GB"/>
            </w:rPr>
          </w:pPr>
          <w:hyperlink w:anchor="_Toc116820211" w:history="1">
            <w:r w:rsidR="001C699A" w:rsidRPr="001B354E">
              <w:rPr>
                <w:rStyle w:val="Hyperlink"/>
                <w:noProof/>
              </w:rPr>
              <w:t>Conclusion</w:t>
            </w:r>
            <w:r w:rsidR="001C699A">
              <w:rPr>
                <w:noProof/>
                <w:webHidden/>
              </w:rPr>
              <w:tab/>
            </w:r>
            <w:r>
              <w:rPr>
                <w:noProof/>
                <w:webHidden/>
              </w:rPr>
              <w:fldChar w:fldCharType="begin"/>
            </w:r>
            <w:r w:rsidR="001C699A">
              <w:rPr>
                <w:noProof/>
                <w:webHidden/>
              </w:rPr>
              <w:instrText xml:space="preserve"> PAGEREF _Toc116820211 \h </w:instrText>
            </w:r>
            <w:r>
              <w:rPr>
                <w:noProof/>
                <w:webHidden/>
              </w:rPr>
            </w:r>
            <w:r>
              <w:rPr>
                <w:noProof/>
                <w:webHidden/>
              </w:rPr>
              <w:fldChar w:fldCharType="separate"/>
            </w:r>
            <w:r w:rsidR="001C699A">
              <w:rPr>
                <w:noProof/>
                <w:webHidden/>
              </w:rPr>
              <w:t>13</w:t>
            </w:r>
            <w:r>
              <w:rPr>
                <w:noProof/>
                <w:webHidden/>
              </w:rPr>
              <w:fldChar w:fldCharType="end"/>
            </w:r>
          </w:hyperlink>
        </w:p>
        <w:p w:rsidR="001C699A" w:rsidRDefault="00091046" w:rsidP="000C0D44">
          <w:pPr>
            <w:pStyle w:val="TOC2"/>
            <w:tabs>
              <w:tab w:val="right" w:leader="dot" w:pos="9350"/>
            </w:tabs>
            <w:rPr>
              <w:rFonts w:asciiTheme="minorHAnsi" w:eastAsiaTheme="minorEastAsia" w:hAnsiTheme="minorHAnsi"/>
              <w:noProof/>
              <w:sz w:val="22"/>
              <w:lang w:eastAsia="en-GB"/>
            </w:rPr>
          </w:pPr>
          <w:hyperlink w:anchor="_Toc116820212" w:history="1">
            <w:r w:rsidR="001C699A" w:rsidRPr="001B354E">
              <w:rPr>
                <w:rStyle w:val="Hyperlink"/>
                <w:noProof/>
              </w:rPr>
              <w:t>References</w:t>
            </w:r>
            <w:r w:rsidR="001C699A">
              <w:rPr>
                <w:noProof/>
                <w:webHidden/>
              </w:rPr>
              <w:tab/>
            </w:r>
            <w:r>
              <w:rPr>
                <w:noProof/>
                <w:webHidden/>
              </w:rPr>
              <w:fldChar w:fldCharType="begin"/>
            </w:r>
            <w:r w:rsidR="001C699A">
              <w:rPr>
                <w:noProof/>
                <w:webHidden/>
              </w:rPr>
              <w:instrText xml:space="preserve"> PAGEREF _Toc116820212 \h </w:instrText>
            </w:r>
            <w:r>
              <w:rPr>
                <w:noProof/>
                <w:webHidden/>
              </w:rPr>
            </w:r>
            <w:r>
              <w:rPr>
                <w:noProof/>
                <w:webHidden/>
              </w:rPr>
              <w:fldChar w:fldCharType="separate"/>
            </w:r>
            <w:r w:rsidR="001C699A">
              <w:rPr>
                <w:noProof/>
                <w:webHidden/>
              </w:rPr>
              <w:t>14</w:t>
            </w:r>
            <w:r>
              <w:rPr>
                <w:noProof/>
                <w:webHidden/>
              </w:rPr>
              <w:fldChar w:fldCharType="end"/>
            </w:r>
          </w:hyperlink>
        </w:p>
        <w:p w:rsidR="001C699A" w:rsidRDefault="00091046">
          <w:r>
            <w:rPr>
              <w:b/>
              <w:bCs/>
              <w:noProof/>
            </w:rPr>
            <w:fldChar w:fldCharType="end"/>
          </w:r>
        </w:p>
      </w:sdtContent>
    </w:sdt>
    <w:p w:rsidR="00A65C32" w:rsidRDefault="00793AAF" w:rsidP="000C0D44">
      <w:pPr>
        <w:spacing w:line="259" w:lineRule="auto"/>
        <w:jc w:val="left"/>
      </w:pPr>
      <w:r>
        <w:br w:type="page"/>
      </w:r>
    </w:p>
    <w:p w:rsidR="00793AAF" w:rsidRDefault="00793AAF" w:rsidP="00A65C32">
      <w:pPr>
        <w:pStyle w:val="Heading2"/>
      </w:pPr>
      <w:bookmarkStart w:id="0" w:name="_Toc116820204"/>
      <w:r>
        <w:lastRenderedPageBreak/>
        <w:t>Introduction</w:t>
      </w:r>
      <w:bookmarkEnd w:id="0"/>
    </w:p>
    <w:p w:rsidR="00D4110F" w:rsidRDefault="005A1FAD" w:rsidP="00D4110F">
      <w:r w:rsidRPr="005A1FAD">
        <w:t>From employee recruitment to employee engagement is a crucial process for a company</w:t>
      </w:r>
      <w:r>
        <w:t xml:space="preserve"> sectioned in human resource management</w:t>
      </w:r>
      <w:r w:rsidRPr="005A1FAD">
        <w:t xml:space="preserve"> to be maintained with. It requires to be nurtured </w:t>
      </w:r>
      <w:r>
        <w:t>effectively</w:t>
      </w:r>
      <w:r w:rsidRPr="005A1FAD">
        <w:t xml:space="preserve"> so that it can benefit the company. In this assignment, it would be discussed how employee engagement </w:t>
      </w:r>
      <w:r>
        <w:t>brings</w:t>
      </w:r>
      <w:r w:rsidRPr="005A1FAD">
        <w:t xml:space="preserve"> effectiveness to the operations of a company. </w:t>
      </w:r>
    </w:p>
    <w:p w:rsidR="00793AAF" w:rsidRDefault="00793AAF" w:rsidP="00D4110F">
      <w:pPr>
        <w:pStyle w:val="Heading2"/>
      </w:pPr>
      <w:r>
        <w:br w:type="page"/>
      </w:r>
      <w:bookmarkStart w:id="1" w:name="_Toc116820205"/>
      <w:r>
        <w:lastRenderedPageBreak/>
        <w:t>Human Resource Management</w:t>
      </w:r>
      <w:bookmarkEnd w:id="1"/>
    </w:p>
    <w:p w:rsidR="009830CD" w:rsidRDefault="009830CD" w:rsidP="002A3463">
      <w:r w:rsidRPr="009830CD">
        <w:t xml:space="preserve">A person who works for a company and gives their knowledge and skills to the operation </w:t>
      </w:r>
      <w:r w:rsidR="00240D25">
        <w:t>to</w:t>
      </w:r>
      <w:r w:rsidRPr="009830CD">
        <w:t xml:space="preserve"> achieve its goals is referred to as a human resource. Anyone willing to trade their time, </w:t>
      </w:r>
      <w:r>
        <w:t>labour</w:t>
      </w:r>
      <w:r w:rsidRPr="009830CD">
        <w:t xml:space="preserve">, or expertise for money in order </w:t>
      </w:r>
      <w:r w:rsidR="00240D25">
        <w:t>to</w:t>
      </w:r>
      <w:r w:rsidRPr="009830CD">
        <w:t xml:space="preserve"> organization succeed is a human resource. Employees must be attracted, motivated, developed, and kept happy with their employment. The human resources division of a business is in charge of managing the company's human resources. Because humans require special management strategies and more management than other resources, it is desirable to have an entire department devoted to them</w:t>
      </w:r>
      <w:r w:rsidR="00A65C32">
        <w:t>(Armstrong and Taylor, 2020)</w:t>
      </w:r>
      <w:r w:rsidRPr="009830CD">
        <w:t xml:space="preserve">. Any problem, including creating a retirement plan and handling </w:t>
      </w:r>
      <w:r>
        <w:t>interpersonal</w:t>
      </w:r>
      <w:r w:rsidRPr="009830CD">
        <w:t xml:space="preserve"> conflicts, can be handled by the human resources department.</w:t>
      </w:r>
    </w:p>
    <w:p w:rsidR="002A3463" w:rsidRDefault="002A3463" w:rsidP="002A3463">
      <w:r>
        <w:t>Utilizing a company's workforce as efficiently as possible is the aim of human resources. Concerns like these might be handled by human resources:</w:t>
      </w:r>
    </w:p>
    <w:p w:rsidR="009830CD" w:rsidRDefault="002A3463" w:rsidP="00873AA6">
      <w:r w:rsidRPr="00576AC5">
        <w:rPr>
          <w:b/>
          <w:bCs/>
        </w:rPr>
        <w:t>Benefits and compensation</w:t>
      </w:r>
      <w:r>
        <w:t xml:space="preserve">: </w:t>
      </w:r>
      <w:r w:rsidR="009830CD" w:rsidRPr="009830CD">
        <w:t>Offering a compensation scheme that employees find difficult to refuse is one of the best tactics in an HR specialist's toolkit for attracting top talent. Compensation and perks play a key role in establishing how content an employee is with their position since they have a direct influence on their performance and work-related motivation (Anderson and Hooks, 2020). The pay and benefits offered to employees must be attractive for an HR department to sustain strong morale. If this is done, employees will know that the company values them and the work that they do. People are, after all, a firm's most precious asset.</w:t>
      </w:r>
    </w:p>
    <w:p w:rsidR="00873AA6" w:rsidRDefault="00576AC5" w:rsidP="00873AA6">
      <w:r w:rsidRPr="00873AA6">
        <w:rPr>
          <w:b/>
          <w:bCs/>
        </w:rPr>
        <w:t>H</w:t>
      </w:r>
      <w:r w:rsidR="002A3463" w:rsidRPr="00873AA6">
        <w:rPr>
          <w:b/>
          <w:bCs/>
        </w:rPr>
        <w:t>iring and recruiting personnel</w:t>
      </w:r>
      <w:r>
        <w:t xml:space="preserve">: </w:t>
      </w:r>
      <w:r w:rsidR="00873AA6">
        <w:t xml:space="preserve">The applicant review, testing, interviewing, reference-checking, and health-check request procedure for hiring that human resource managers utilize. </w:t>
      </w:r>
      <w:r w:rsidR="009830CD" w:rsidRPr="009830CD">
        <w:t>The hiring process includes reviewing applications, selecting the top candidates for interviews, testing candidates, choosing which candidates to hire, and doing various pre-employment tests and inspections</w:t>
      </w:r>
      <w:r w:rsidR="00504A5B" w:rsidRPr="00504A5B">
        <w:t>(Arthur, 2020)</w:t>
      </w:r>
      <w:r w:rsidR="00873AA6">
        <w:t>. The following methods will be used by human resources management during the recruiting process to find the ideal candidate for the position:</w:t>
      </w:r>
    </w:p>
    <w:p w:rsidR="00873AA6" w:rsidRDefault="00873AA6" w:rsidP="00873AA6">
      <w:pPr>
        <w:pStyle w:val="ListParagraph"/>
        <w:numPr>
          <w:ilvl w:val="0"/>
          <w:numId w:val="1"/>
        </w:numPr>
      </w:pPr>
      <w:r>
        <w:t>Examining job applications</w:t>
      </w:r>
    </w:p>
    <w:p w:rsidR="00873AA6" w:rsidRDefault="00873AA6" w:rsidP="00873AA6">
      <w:pPr>
        <w:pStyle w:val="ListParagraph"/>
        <w:numPr>
          <w:ilvl w:val="0"/>
          <w:numId w:val="1"/>
        </w:numPr>
      </w:pPr>
      <w:r>
        <w:lastRenderedPageBreak/>
        <w:t>The test takers</w:t>
      </w:r>
    </w:p>
    <w:p w:rsidR="00873AA6" w:rsidRDefault="00873AA6" w:rsidP="00873AA6">
      <w:pPr>
        <w:pStyle w:val="ListParagraph"/>
        <w:numPr>
          <w:ilvl w:val="0"/>
          <w:numId w:val="1"/>
        </w:numPr>
      </w:pPr>
      <w:r>
        <w:t>Selected candidates are questioned</w:t>
      </w:r>
    </w:p>
    <w:p w:rsidR="00873AA6" w:rsidRDefault="00873AA6" w:rsidP="00873AA6">
      <w:pPr>
        <w:pStyle w:val="ListParagraph"/>
        <w:numPr>
          <w:ilvl w:val="0"/>
          <w:numId w:val="1"/>
        </w:numPr>
      </w:pPr>
      <w:r>
        <w:t>Employ predetermined selection criteria to mak</w:t>
      </w:r>
      <w:r w:rsidR="00240D25">
        <w:t xml:space="preserve">ing </w:t>
      </w:r>
      <w:r>
        <w:t>ch</w:t>
      </w:r>
      <w:r w:rsidR="00240D25">
        <w:t>make</w:t>
      </w:r>
      <w:r>
        <w:t>f candidates.</w:t>
      </w:r>
    </w:p>
    <w:p w:rsidR="00873AA6" w:rsidRDefault="00873AA6" w:rsidP="00873AA6">
      <w:pPr>
        <w:pStyle w:val="ListParagraph"/>
        <w:numPr>
          <w:ilvl w:val="0"/>
          <w:numId w:val="1"/>
        </w:numPr>
      </w:pPr>
      <w:r>
        <w:t>Run references and background checks</w:t>
      </w:r>
    </w:p>
    <w:p w:rsidR="002A3463" w:rsidRDefault="00873AA6" w:rsidP="00873AA6">
      <w:pPr>
        <w:pStyle w:val="ListParagraph"/>
        <w:numPr>
          <w:ilvl w:val="0"/>
          <w:numId w:val="1"/>
        </w:numPr>
      </w:pPr>
      <w:r>
        <w:t>Send chosen applicants for a drug and health check</w:t>
      </w:r>
    </w:p>
    <w:p w:rsidR="00020D06" w:rsidRDefault="002A3463" w:rsidP="002A3463">
      <w:r>
        <w:t xml:space="preserve">Each of these factors has an impact on employee performance and satisfaction. Human resources may assure a highly functional and productive staff by addressing these many issues, which in turn aids the organization in more effectively achieving its goals and objectives.The human resources division also makes sure the business complies with </w:t>
      </w:r>
      <w:r w:rsidR="00AB6812">
        <w:t>labour</w:t>
      </w:r>
      <w:r>
        <w:t xml:space="preserve"> laws and tries to maintain a workplace free of harassment and other barriers to a </w:t>
      </w:r>
      <w:r w:rsidR="006666AE">
        <w:t xml:space="preserve">labour </w:t>
      </w:r>
      <w:r>
        <w:t>workforce</w:t>
      </w:r>
      <w:r w:rsidR="00504A5B" w:rsidRPr="00504A5B">
        <w:t>(Dessler, 2020)</w:t>
      </w:r>
      <w:r>
        <w:t>.</w:t>
      </w:r>
    </w:p>
    <w:p w:rsidR="006666AE" w:rsidRDefault="006666AE" w:rsidP="006666AE">
      <w:r w:rsidRPr="006666AE">
        <w:rPr>
          <w:b/>
          <w:bCs/>
        </w:rPr>
        <w:t>Performance supervision</w:t>
      </w:r>
      <w:r>
        <w:t xml:space="preserve">: </w:t>
      </w:r>
      <w:r w:rsidR="00FE0797" w:rsidRPr="00FE0797">
        <w:t xml:space="preserve">Operations to </w:t>
      </w:r>
      <w:r w:rsidR="00AB6812">
        <w:t>ensure</w:t>
      </w:r>
      <w:r w:rsidR="00FE0797" w:rsidRPr="00FE0797">
        <w:t xml:space="preserve"> that all individuals are productively and efficiently pursuing their departmental goals are an element of employee performance management. This entails setting realistic goals for the employee, making sure they have the tools they need to reach those goals, keeping track of their progress and rewarding them for their achievements or intervening when goals aren't being met on time and in a high-quality manner</w:t>
      </w:r>
      <w:r w:rsidR="00A65C32">
        <w:t>(Torrington, Atkinson &amp; Taylor, 2020)</w:t>
      </w:r>
      <w:r w:rsidR="00FE0797" w:rsidRPr="00FE0797">
        <w:t>.</w:t>
      </w:r>
    </w:p>
    <w:p w:rsidR="006666AE" w:rsidRDefault="006666AE" w:rsidP="00FE0797">
      <w:r w:rsidRPr="00AB6812">
        <w:rPr>
          <w:b/>
          <w:bCs/>
        </w:rPr>
        <w:t>Organizational growth, culture, and training</w:t>
      </w:r>
      <w:r w:rsidR="00FE0797">
        <w:t xml:space="preserve">: </w:t>
      </w:r>
      <w:r w:rsidR="00AB6812">
        <w:t>T</w:t>
      </w:r>
      <w:r w:rsidR="00AB6812" w:rsidRPr="00AB6812">
        <w:t xml:space="preserve">he methodical process of influencing people's knowledge, abilities, and attitudes to increase one's success as an individual, as a team, and as an organization. Organizations can benefit in </w:t>
      </w:r>
      <w:r w:rsidR="00AB6812">
        <w:t>several</w:t>
      </w:r>
      <w:r w:rsidR="00AB6812" w:rsidRPr="00AB6812">
        <w:t xml:space="preserve"> ways from training programs. For instance, </w:t>
      </w:r>
      <w:r w:rsidR="00A65C32">
        <w:t>employers’</w:t>
      </w:r>
      <w:r w:rsidR="00AB6812" w:rsidRPr="00AB6812">
        <w:t xml:space="preserve"> benefit from the increased productivity and higher performance that come along with employee development, while people benefit from both extrinsic and intrinsic benefits connected to skill enhancement and performance improvement</w:t>
      </w:r>
      <w:r w:rsidR="00A65C32">
        <w:t>(Gallagher, 2016)</w:t>
      </w:r>
      <w:r w:rsidR="00AB6812" w:rsidRPr="00AB6812">
        <w:t>. Penetration, sustainability, and speed of the company realizing the positive impact on the global target audience are all ways that effectiveness is evaluated (speed)</w:t>
      </w:r>
      <w:r w:rsidR="00AB6812">
        <w:t>.</w:t>
      </w:r>
    </w:p>
    <w:p w:rsidR="0004696E" w:rsidRDefault="0004696E">
      <w:pPr>
        <w:spacing w:line="259" w:lineRule="auto"/>
        <w:jc w:val="left"/>
      </w:pPr>
      <w:r>
        <w:br w:type="page"/>
      </w:r>
    </w:p>
    <w:p w:rsidR="0004696E" w:rsidRDefault="0004696E" w:rsidP="00A65C32">
      <w:pPr>
        <w:pStyle w:val="Heading2"/>
      </w:pPr>
      <w:bookmarkStart w:id="2" w:name="_Toc116820206"/>
      <w:r>
        <w:lastRenderedPageBreak/>
        <w:t>Advantages of Employee Engagement</w:t>
      </w:r>
      <w:bookmarkEnd w:id="2"/>
    </w:p>
    <w:p w:rsidR="0004696E" w:rsidRDefault="0004696E" w:rsidP="0004696E">
      <w:r>
        <w:t xml:space="preserve">An approach to the workplace that ensures that workers are dedicated to </w:t>
      </w:r>
      <w:r w:rsidR="00240D25">
        <w:t>the</w:t>
      </w:r>
      <w:r>
        <w:t xml:space="preserve"> company's goals and values </w:t>
      </w:r>
      <w:r w:rsidR="00240D25">
        <w:t>is</w:t>
      </w:r>
      <w:r>
        <w:t xml:space="preserve"> calle</w:t>
      </w:r>
      <w:r w:rsidR="00240D25">
        <w:t>d e</w:t>
      </w:r>
      <w:r>
        <w:t xml:space="preserve">mployee engagement. </w:t>
      </w:r>
      <w:r w:rsidR="0017208B">
        <w:t>Integrating</w:t>
      </w:r>
      <w:r>
        <w:t xml:space="preserve"> them into </w:t>
      </w:r>
      <w:r w:rsidR="0017208B">
        <w:t>the</w:t>
      </w:r>
      <w:r>
        <w:t xml:space="preserve"> business will increase their sense of well-being while motivating them to contribute to its success</w:t>
      </w:r>
      <w:r w:rsidR="00504A5B" w:rsidRPr="00504A5B">
        <w:t>(Dummies and Schmidt, 2017)</w:t>
      </w:r>
      <w:r>
        <w:t>. The following corporate advantages can result from correctly implemented employee engagement:</w:t>
      </w:r>
    </w:p>
    <w:p w:rsidR="00F566C8" w:rsidRDefault="00F566C8" w:rsidP="00987508">
      <w:pPr>
        <w:pStyle w:val="ListParagraph"/>
        <w:numPr>
          <w:ilvl w:val="0"/>
          <w:numId w:val="2"/>
        </w:numPr>
      </w:pPr>
      <w:r>
        <w:t>In an organization, e</w:t>
      </w:r>
      <w:r w:rsidR="0004696E">
        <w:t>mployees</w:t>
      </w:r>
      <w:r>
        <w:t xml:space="preserve"> play an important role </w:t>
      </w:r>
      <w:r w:rsidR="00240D25">
        <w:t xml:space="preserve">in </w:t>
      </w:r>
      <w:r>
        <w:t xml:space="preserve">being </w:t>
      </w:r>
      <w:r w:rsidR="00D4110F">
        <w:t>the brand</w:t>
      </w:r>
      <w:r w:rsidR="00240D25">
        <w:t>ambassadors</w:t>
      </w:r>
      <w:r w:rsidR="0004696E">
        <w:t xml:space="preserve"> for the company, </w:t>
      </w:r>
      <w:r>
        <w:t xml:space="preserve">they even </w:t>
      </w:r>
      <w:r w:rsidR="0004696E">
        <w:t>promot</w:t>
      </w:r>
      <w:r>
        <w:t>e the brand</w:t>
      </w:r>
      <w:r w:rsidR="0004696E">
        <w:t xml:space="preserve"> to potential new talent and consumers, </w:t>
      </w:r>
      <w:r w:rsidRPr="00F566C8">
        <w:t>enhancing worker satisfaction and their commitment to giving their organization their best work</w:t>
      </w:r>
      <w:r w:rsidR="00D4110F" w:rsidRPr="00D4110F">
        <w:t>(Yu and Kim, 2020)</w:t>
      </w:r>
      <w:r w:rsidRPr="00F566C8">
        <w:t>.It</w:t>
      </w:r>
      <w:r w:rsidR="00D4110F">
        <w:t xml:space="preserve"> i</w:t>
      </w:r>
      <w:r w:rsidRPr="00F566C8">
        <w:t>s like</w:t>
      </w:r>
      <w:r w:rsidR="00D4110F">
        <w:t xml:space="preserve"> s</w:t>
      </w:r>
      <w:r w:rsidR="00240D25">
        <w:t xml:space="preserve">taff members will </w:t>
      </w:r>
      <w:r w:rsidR="00D4110F">
        <w:t>likely and</w:t>
      </w:r>
      <w:r w:rsidR="00A65C32">
        <w:t>advocate</w:t>
      </w:r>
      <w:r w:rsidRPr="00F566C8">
        <w:t xml:space="preserve"> for </w:t>
      </w:r>
      <w:r w:rsidR="00240D25">
        <w:t>the</w:t>
      </w:r>
      <w:r w:rsidRPr="00F566C8">
        <w:t xml:space="preserve"> business, helping to attract new talent and customers.</w:t>
      </w:r>
    </w:p>
    <w:p w:rsidR="0004696E" w:rsidRDefault="0004696E" w:rsidP="00987508">
      <w:pPr>
        <w:pStyle w:val="ListParagraph"/>
        <w:numPr>
          <w:ilvl w:val="0"/>
          <w:numId w:val="2"/>
        </w:numPr>
      </w:pPr>
      <w:r>
        <w:t>Employees have a greater sense of personal health and feel more engaged, devoted, and productive at work because they feel validated and that their thoughts and feedback contribute to the future vision of the business</w:t>
      </w:r>
      <w:r w:rsidR="00D4110F" w:rsidRPr="00D4110F">
        <w:t>(S and Thomas, 2018)</w:t>
      </w:r>
      <w:r>
        <w:t>.</w:t>
      </w:r>
    </w:p>
    <w:p w:rsidR="0004696E" w:rsidRDefault="0004696E" w:rsidP="0004696E">
      <w:pPr>
        <w:pStyle w:val="ListParagraph"/>
        <w:numPr>
          <w:ilvl w:val="0"/>
          <w:numId w:val="2"/>
        </w:numPr>
      </w:pPr>
      <w:r w:rsidRPr="0004696E">
        <w:t xml:space="preserve">More engagement of the employees </w:t>
      </w:r>
      <w:r w:rsidR="0017208B" w:rsidRPr="0004696E">
        <w:t>maintains</w:t>
      </w:r>
      <w:r>
        <w:t>an</w:t>
      </w:r>
      <w:r w:rsidRPr="0004696E">
        <w:t xml:space="preserve"> effective </w:t>
      </w:r>
      <w:r>
        <w:t xml:space="preserve">workflow bringing </w:t>
      </w:r>
      <w:r w:rsidRPr="0004696E">
        <w:t>revenues for the organisation.</w:t>
      </w:r>
    </w:p>
    <w:p w:rsidR="0004696E" w:rsidRDefault="0004696E" w:rsidP="0017208B">
      <w:pPr>
        <w:pStyle w:val="ListParagraph"/>
        <w:numPr>
          <w:ilvl w:val="0"/>
          <w:numId w:val="2"/>
        </w:numPr>
      </w:pPr>
      <w:r>
        <w:t>Teams that are motivated work better and are stronger when faced with challenges.</w:t>
      </w:r>
      <w:r w:rsidR="0017208B">
        <w:t xml:space="preserve"> Teamwork enhances the possibilities of each employee. </w:t>
      </w:r>
    </w:p>
    <w:p w:rsidR="0004696E" w:rsidRDefault="00D4110F" w:rsidP="0017208B">
      <w:pPr>
        <w:pStyle w:val="ListParagraph"/>
        <w:numPr>
          <w:ilvl w:val="0"/>
          <w:numId w:val="2"/>
        </w:numPr>
      </w:pPr>
      <w:r>
        <w:t xml:space="preserve">Employee engagement increases the </w:t>
      </w:r>
      <w:r w:rsidR="0004696E">
        <w:t>cases of</w:t>
      </w:r>
      <w:r>
        <w:t xml:space="preserve"> employees being tired of work, besides that</w:t>
      </w:r>
      <w:r w:rsidR="0004696E">
        <w:t xml:space="preserve"> illness or absence; more devoted employees</w:t>
      </w:r>
      <w:r>
        <w:t xml:space="preserve"> are ensured </w:t>
      </w:r>
      <w:r w:rsidRPr="00D4110F">
        <w:t>(Hunitie, 2017)</w:t>
      </w:r>
      <w:r w:rsidR="0017208B">
        <w:t xml:space="preserve">. </w:t>
      </w:r>
    </w:p>
    <w:p w:rsidR="0017208B" w:rsidRDefault="0017208B" w:rsidP="0017208B"/>
    <w:p w:rsidR="0017208B" w:rsidRDefault="0017208B" w:rsidP="00A65C32">
      <w:pPr>
        <w:pStyle w:val="Heading2"/>
      </w:pPr>
      <w:bookmarkStart w:id="3" w:name="_Toc116820207"/>
      <w:r>
        <w:t>Employee Engagement</w:t>
      </w:r>
      <w:bookmarkEnd w:id="3"/>
    </w:p>
    <w:p w:rsidR="000C5D54" w:rsidRDefault="00F566C8" w:rsidP="0017208B">
      <w:r w:rsidRPr="00F566C8">
        <w:t xml:space="preserve">The employee life cycle covers the relationship between a person and the company they are employed for as a whole. This begins during the recruitment stage, when people are still beginning to know the company, and seems to last until they graduate from the organization or become what </w:t>
      </w:r>
      <w:r w:rsidR="00240D25">
        <w:t xml:space="preserve">it is </w:t>
      </w:r>
      <w:r w:rsidRPr="00F566C8">
        <w:t xml:space="preserve">like to term "happy leavers," who have left </w:t>
      </w:r>
      <w:r w:rsidRPr="00F566C8">
        <w:lastRenderedPageBreak/>
        <w:t>the company and are no longer employees</w:t>
      </w:r>
      <w:r w:rsidR="00D4110F" w:rsidRPr="00D4110F">
        <w:t>(Carbonara, 2013)</w:t>
      </w:r>
      <w:r w:rsidRPr="00F566C8">
        <w:t>.</w:t>
      </w:r>
      <w:r w:rsidR="000C5D54">
        <w:t xml:space="preserve"> In this ongoing interaction between employees and employers, there are 7 distinct stages that </w:t>
      </w:r>
      <w:r w:rsidR="00240D25">
        <w:t xml:space="preserve">it is </w:t>
      </w:r>
      <w:r w:rsidR="000C5D54">
        <w:t>identified: attraction, recruiting, onboarding, retention, development, offboarding, and happy leavers.</w:t>
      </w:r>
    </w:p>
    <w:p w:rsidR="0017208B" w:rsidRDefault="00240D25" w:rsidP="0017208B">
      <w:r>
        <w:t>R</w:t>
      </w:r>
      <w:r w:rsidR="0017208B" w:rsidRPr="0017208B">
        <w:t>ecruit</w:t>
      </w:r>
      <w:r>
        <w:t>ing</w:t>
      </w:r>
      <w:r w:rsidR="0017208B" w:rsidRPr="0017208B">
        <w:t xml:space="preserve"> the best applicants and </w:t>
      </w:r>
      <w:r w:rsidR="00A65C32">
        <w:t xml:space="preserve">improvingemployee </w:t>
      </w:r>
      <w:r w:rsidR="0017208B" w:rsidRPr="0017208B">
        <w:t>experience by comprehending the employee life cycle and understanding how to engage with workers at each step of the cycle.</w:t>
      </w:r>
      <w:r>
        <w:t xml:space="preserve"> F</w:t>
      </w:r>
      <w:r w:rsidR="0017208B" w:rsidRPr="0017208B">
        <w:t>ocus on the employee life cycle in more detail in this piece</w:t>
      </w:r>
      <w:r w:rsidR="00504A5B" w:rsidRPr="00504A5B">
        <w:t>(Truss, 2014)</w:t>
      </w:r>
      <w:r w:rsidR="0017208B" w:rsidRPr="0017208B">
        <w:t>.</w:t>
      </w:r>
    </w:p>
    <w:p w:rsidR="000C5D54" w:rsidRDefault="00583B84" w:rsidP="000C5D54">
      <w:r w:rsidRPr="00583B84">
        <w:rPr>
          <w:b/>
          <w:bCs/>
        </w:rPr>
        <w:t>Attraction</w:t>
      </w:r>
      <w:r>
        <w:t xml:space="preserve">: </w:t>
      </w:r>
      <w:r w:rsidR="000C5D54">
        <w:t xml:space="preserve">Depending on whether or not individuals are familiar with </w:t>
      </w:r>
      <w:r w:rsidR="00240D25">
        <w:t>the</w:t>
      </w:r>
      <w:r w:rsidR="000C5D54">
        <w:t xml:space="preserve"> organization, the attraction phase can take many various forms. If this is the case, they</w:t>
      </w:r>
      <w:r w:rsidR="00240D25">
        <w:t xml:space="preserve"> wi</w:t>
      </w:r>
      <w:r w:rsidR="000C5D54">
        <w:t xml:space="preserve">ll likely already have an idea of </w:t>
      </w:r>
      <w:r w:rsidR="00240D25">
        <w:t>the</w:t>
      </w:r>
      <w:r w:rsidR="000C5D54">
        <w:t xml:space="preserve"> business in their heads and will seek out additional facts to support that idea. </w:t>
      </w:r>
    </w:p>
    <w:p w:rsidR="00F566C8" w:rsidRDefault="00583B84" w:rsidP="00F566C8">
      <w:r w:rsidRPr="00583B84">
        <w:rPr>
          <w:b/>
          <w:bCs/>
        </w:rPr>
        <w:t>Recruit</w:t>
      </w:r>
      <w:r>
        <w:t xml:space="preserve">: Recruitment is the second stage of the employee life cycle. </w:t>
      </w:r>
      <w:r w:rsidR="00F566C8">
        <w:t>Recruitment is the process of constantly pursuing, locating, and hiring people for a certain position or vocation</w:t>
      </w:r>
      <w:r w:rsidR="00D4110F" w:rsidRPr="00D4110F">
        <w:t>(McCarty, 2012)</w:t>
      </w:r>
      <w:r w:rsidR="00F566C8">
        <w:t>. The phrase "recruitment" refers to the complete hiring process, from the preliminary steps to the new hire's integration into the company. To find the greatest fit, compare various job recruitment software alternatives.</w:t>
      </w:r>
    </w:p>
    <w:p w:rsidR="00F566C8" w:rsidRDefault="00F566C8" w:rsidP="00F566C8">
      <w:r>
        <w:t>Establishing standards and specifications for the ideal job applicant. proactive implementation of extensive onboarding to help new hires integrate keeping up with the newest trends and the most effective recruiting techniques.</w:t>
      </w:r>
    </w:p>
    <w:p w:rsidR="00CD17C7" w:rsidRDefault="00CD17C7" w:rsidP="00F566C8">
      <w:r w:rsidRPr="006666AE">
        <w:rPr>
          <w:b/>
          <w:bCs/>
        </w:rPr>
        <w:t>Onboarding</w:t>
      </w:r>
      <w:r>
        <w:t>: A systematic and intentional process known as employee onboarding turns qualified candidates into high-performing workers</w:t>
      </w:r>
      <w:r w:rsidR="00D4110F" w:rsidRPr="00D4110F">
        <w:t>(Roebuck, 2012)</w:t>
      </w:r>
      <w:r>
        <w:t>. Companies that properly design their onboarding processes provide new hires with the knowledge, contacts, and resources they require to feel at ease and secure enough to perform an excellent job.</w:t>
      </w:r>
    </w:p>
    <w:p w:rsidR="00CD17C7" w:rsidRDefault="00CD17C7" w:rsidP="00CD17C7">
      <w:r w:rsidRPr="00CD17C7">
        <w:rPr>
          <w:b/>
          <w:bCs/>
        </w:rPr>
        <w:t>Retention</w:t>
      </w:r>
      <w:r>
        <w:t xml:space="preserve">: Keeping employees happy is the focus of the fourth stage of the employee life cycle. A program for recognition and incentives is the best method to do this. As part of </w:t>
      </w:r>
      <w:r w:rsidR="00240D25">
        <w:t>the</w:t>
      </w:r>
      <w:r>
        <w:t xml:space="preserve"> efforts to foster employee satisfaction and engagement, make sure </w:t>
      </w:r>
      <w:r w:rsidR="00240D25">
        <w:t xml:space="preserve">it is </w:t>
      </w:r>
      <w:r>
        <w:t>provide</w:t>
      </w:r>
      <w:r w:rsidR="00240D25">
        <w:t>d to</w:t>
      </w:r>
      <w:r>
        <w:t xml:space="preserve"> nurtur</w:t>
      </w:r>
      <w:r w:rsidR="00240D25">
        <w:t xml:space="preserve">ea </w:t>
      </w:r>
      <w:r>
        <w:t>supportive atmosphere</w:t>
      </w:r>
      <w:r w:rsidR="00D4110F">
        <w:t>(Torrington, Atkinson &amp; Taylor, 2020)</w:t>
      </w:r>
      <w:r>
        <w:t>.</w:t>
      </w:r>
    </w:p>
    <w:p w:rsidR="00CD17C7" w:rsidRDefault="00CD17C7" w:rsidP="00240D25">
      <w:pPr>
        <w:pStyle w:val="ListParagraph"/>
        <w:numPr>
          <w:ilvl w:val="0"/>
          <w:numId w:val="3"/>
        </w:numPr>
      </w:pPr>
      <w:r>
        <w:lastRenderedPageBreak/>
        <w:t xml:space="preserve">Put attention toward developing relationships with </w:t>
      </w:r>
      <w:r w:rsidR="00240D25">
        <w:t>the</w:t>
      </w:r>
      <w:r>
        <w:t xml:space="preserve"> staff.</w:t>
      </w:r>
    </w:p>
    <w:p w:rsidR="00CD17C7" w:rsidRDefault="00CD17C7" w:rsidP="00240D25">
      <w:pPr>
        <w:pStyle w:val="ListParagraph"/>
        <w:numPr>
          <w:ilvl w:val="0"/>
          <w:numId w:val="3"/>
        </w:numPr>
      </w:pPr>
      <w:r>
        <w:t>Encourage an environment of fairness and openness.</w:t>
      </w:r>
    </w:p>
    <w:p w:rsidR="00CD17C7" w:rsidRDefault="00CD17C7" w:rsidP="00240D25">
      <w:pPr>
        <w:pStyle w:val="ListParagraph"/>
        <w:numPr>
          <w:ilvl w:val="0"/>
          <w:numId w:val="3"/>
        </w:numPr>
      </w:pPr>
      <w:r>
        <w:t>Encourage free communication among all members of the team.</w:t>
      </w:r>
    </w:p>
    <w:p w:rsidR="00CD17C7" w:rsidRDefault="00CD17C7" w:rsidP="00240D25">
      <w:pPr>
        <w:pStyle w:val="ListParagraph"/>
        <w:numPr>
          <w:ilvl w:val="0"/>
          <w:numId w:val="3"/>
        </w:numPr>
      </w:pPr>
      <w:r>
        <w:t>Frequently assess team morale and solicit employee input.</w:t>
      </w:r>
    </w:p>
    <w:p w:rsidR="00CD17C7" w:rsidRDefault="00CD17C7" w:rsidP="00240D25">
      <w:pPr>
        <w:pStyle w:val="ListParagraph"/>
        <w:numPr>
          <w:ilvl w:val="0"/>
          <w:numId w:val="3"/>
        </w:numPr>
      </w:pPr>
      <w:r>
        <w:t>Recognize the driving forces behind each employee's motivation.</w:t>
      </w:r>
    </w:p>
    <w:p w:rsidR="00A85FAB" w:rsidRDefault="00A85FAB" w:rsidP="00A85FAB">
      <w:r w:rsidRPr="00A85FAB">
        <w:rPr>
          <w:b/>
          <w:bCs/>
        </w:rPr>
        <w:t>Development</w:t>
      </w:r>
      <w:r>
        <w:t xml:space="preserve">: </w:t>
      </w:r>
      <w:r w:rsidR="00F566C8">
        <w:t>A</w:t>
      </w:r>
      <w:r>
        <w:t>ssist</w:t>
      </w:r>
      <w:r w:rsidR="00F566C8">
        <w:t>ing the</w:t>
      </w:r>
      <w:r>
        <w:t xml:space="preserve"> staff in this phase</w:t>
      </w:r>
      <w:r w:rsidR="00C95D44">
        <w:t xml:space="preserve">of </w:t>
      </w:r>
      <w:r w:rsidR="00F566C8">
        <w:t xml:space="preserve">employee </w:t>
      </w:r>
      <w:r>
        <w:t xml:space="preserve">development </w:t>
      </w:r>
      <w:r w:rsidR="00240D25">
        <w:t>based on</w:t>
      </w:r>
      <w:r w:rsidR="00F566C8">
        <w:t xml:space="preserve">skillsin order </w:t>
      </w:r>
      <w:r w:rsidR="00240D25">
        <w:t>to</w:t>
      </w:r>
      <w:r w:rsidR="00F566C8">
        <w:t xml:space="preserve">sh daily tasks </w:t>
      </w:r>
      <w:r w:rsidR="00240D25">
        <w:t>effectively</w:t>
      </w:r>
      <w:r>
        <w:t xml:space="preserve">. </w:t>
      </w:r>
      <w:r w:rsidR="005A1FAD">
        <w:t>To</w:t>
      </w:r>
      <w:r>
        <w:t xml:space="preserve"> prevent them from being persuaded to look for work elsewhere, also want them to feel as though they have a defined career path.</w:t>
      </w:r>
    </w:p>
    <w:p w:rsidR="00A85FAB" w:rsidRPr="00A85FAB" w:rsidRDefault="00A85FAB" w:rsidP="00A85FAB">
      <w:r>
        <w:t xml:space="preserve">Discuss goals </w:t>
      </w:r>
      <w:r w:rsidR="005A1FAD">
        <w:t>regularly</w:t>
      </w:r>
      <w:r>
        <w:t xml:space="preserve"> with staff members. Inspire all of </w:t>
      </w:r>
      <w:r w:rsidR="00240D25">
        <w:t>the</w:t>
      </w:r>
      <w:r>
        <w:t xml:space="preserve"> teams to pursue professional development. All of </w:t>
      </w:r>
      <w:r w:rsidR="00240D25">
        <w:t>the</w:t>
      </w:r>
      <w:r>
        <w:t xml:space="preserve"> staff should have their knowledge and skills evaluated. Give opportunity for frequent training. Encourage outside study, and honour staff that pursue their learning at their own pace. To assist </w:t>
      </w:r>
      <w:r w:rsidR="00240D25">
        <w:t>the</w:t>
      </w:r>
      <w:r>
        <w:t xml:space="preserve"> staff in prioritizing the areas that need more effort, ask </w:t>
      </w:r>
      <w:r w:rsidR="00240D25">
        <w:t>the</w:t>
      </w:r>
      <w:r>
        <w:t xml:space="preserve"> managers to work closely with them. Promote individual responsibility for development among </w:t>
      </w:r>
      <w:r w:rsidR="00240D25">
        <w:t>the</w:t>
      </w:r>
      <w:r>
        <w:t xml:space="preserve"> team members.</w:t>
      </w:r>
    </w:p>
    <w:p w:rsidR="00C95D44" w:rsidRDefault="00A85FAB" w:rsidP="00C95D44">
      <w:r w:rsidRPr="00A85FAB">
        <w:rPr>
          <w:b/>
          <w:bCs/>
        </w:rPr>
        <w:t>Separation</w:t>
      </w:r>
      <w:r>
        <w:t xml:space="preserve">: </w:t>
      </w:r>
      <w:r w:rsidR="00C95D44">
        <w:t xml:space="preserve">Separation is the final stage of the employee life cycle, sometimes known as the offboarding step. When an employee leaves </w:t>
      </w:r>
      <w:r w:rsidR="00240D25">
        <w:t>the</w:t>
      </w:r>
      <w:r w:rsidR="00C95D44">
        <w:t xml:space="preserve"> company, something takes place. Private motives, a job change, or retirement are all potential causes. It also lists any staff members </w:t>
      </w:r>
      <w:r w:rsidR="00240D25">
        <w:t xml:space="preserve">who have been </w:t>
      </w:r>
      <w:r w:rsidR="00C95D44">
        <w:t xml:space="preserve">fired (Reena, 2018). Regardless of the motivation for departing at this point, it's imperative to provide a good experience. A team member leaving has an impact on </w:t>
      </w:r>
      <w:r w:rsidR="00240D25">
        <w:t>the</w:t>
      </w:r>
      <w:r w:rsidR="00C95D44">
        <w:t xml:space="preserve"> other employees in addition to everything else.</w:t>
      </w:r>
    </w:p>
    <w:p w:rsidR="00C95D44" w:rsidRDefault="00C95D44" w:rsidP="00240D25">
      <w:pPr>
        <w:pStyle w:val="ListParagraph"/>
        <w:numPr>
          <w:ilvl w:val="0"/>
          <w:numId w:val="4"/>
        </w:numPr>
      </w:pPr>
      <w:r>
        <w:t>Make every attempt to irritate other employees as little as possible.</w:t>
      </w:r>
    </w:p>
    <w:p w:rsidR="00A85FAB" w:rsidRDefault="00C95D44" w:rsidP="00240D25">
      <w:pPr>
        <w:pStyle w:val="ListParagraph"/>
        <w:numPr>
          <w:ilvl w:val="0"/>
          <w:numId w:val="4"/>
        </w:numPr>
      </w:pPr>
      <w:r>
        <w:t xml:space="preserve">If an employee leaves, speak with them to learn the details of their resignation. This can be used to address any potential weak points in </w:t>
      </w:r>
      <w:r w:rsidR="00240D25">
        <w:t>the</w:t>
      </w:r>
      <w:r>
        <w:t xml:space="preserve"> company.</w:t>
      </w:r>
      <w:r w:rsidR="00A85FAB">
        <w:t xml:space="preserve"> Make careful to terminate an employee </w:t>
      </w:r>
      <w:r w:rsidR="005A1FAD">
        <w:t>legally and ethically</w:t>
      </w:r>
      <w:r w:rsidR="00A85FAB">
        <w:t>.</w:t>
      </w:r>
    </w:p>
    <w:p w:rsidR="00CD17C7" w:rsidRDefault="00A85FAB" w:rsidP="00240D25">
      <w:pPr>
        <w:pStyle w:val="ListParagraph"/>
        <w:numPr>
          <w:ilvl w:val="0"/>
          <w:numId w:val="4"/>
        </w:numPr>
      </w:pPr>
      <w:r>
        <w:t>Ask leaving employees for their candid and transparent opinions. The exit interview is the ideal opportunity to do this.</w:t>
      </w:r>
    </w:p>
    <w:p w:rsidR="00793AAF" w:rsidRDefault="00793AAF" w:rsidP="00020D06">
      <w:r>
        <w:br w:type="page"/>
      </w:r>
    </w:p>
    <w:p w:rsidR="00AB5B40" w:rsidRDefault="00AB5B40"/>
    <w:p w:rsidR="00A65C32" w:rsidRDefault="00A65C32" w:rsidP="00A65C32">
      <w:pPr>
        <w:pStyle w:val="Heading2"/>
      </w:pPr>
      <w:bookmarkStart w:id="4" w:name="_Toc116820208"/>
      <w:r>
        <w:t>Strategies to keep employees engaged</w:t>
      </w:r>
      <w:bookmarkEnd w:id="4"/>
    </w:p>
    <w:p w:rsidR="00AF619D" w:rsidRDefault="00AF619D" w:rsidP="00AF619D">
      <w:r>
        <w:t xml:space="preserve">There are many ways to increase the motivation of </w:t>
      </w:r>
      <w:r w:rsidR="00240D25">
        <w:t>the</w:t>
      </w:r>
      <w:r>
        <w:t xml:space="preserve"> staff, and many of these strategies are simple to use in daily operations.</w:t>
      </w:r>
    </w:p>
    <w:p w:rsidR="00AF619D" w:rsidRPr="00AF619D" w:rsidRDefault="00AF619D" w:rsidP="00AF619D">
      <w:pPr>
        <w:rPr>
          <w:b/>
          <w:bCs/>
        </w:rPr>
      </w:pPr>
      <w:r w:rsidRPr="00AF619D">
        <w:rPr>
          <w:b/>
          <w:bCs/>
        </w:rPr>
        <w:t>Continually engage them with the business</w:t>
      </w:r>
    </w:p>
    <w:p w:rsidR="00AF619D" w:rsidRDefault="00AF619D" w:rsidP="00AF619D">
      <w:r>
        <w:t xml:space="preserve">If intentionally or inadvertently withhold important company information, employees will draw their judgments. Whenever possible, provide </w:t>
      </w:r>
      <w:r w:rsidR="00240D25">
        <w:t>the</w:t>
      </w:r>
      <w:r>
        <w:t xml:space="preserve"> personnel with updates on the organization's financial performance and long- and short-term goals, as well as an explanation of what these details mean for them and their work</w:t>
      </w:r>
      <w:r w:rsidR="00A65C32">
        <w:t>(Johnston, Clark, &amp;Shulver, 2012)</w:t>
      </w:r>
      <w:r>
        <w:t xml:space="preserve">. </w:t>
      </w:r>
      <w:r w:rsidR="00240D25">
        <w:t>The</w:t>
      </w:r>
      <w:r>
        <w:t xml:space="preserve"> employees will feel more </w:t>
      </w:r>
      <w:r w:rsidR="005A1FAD">
        <w:t xml:space="preserve">like </w:t>
      </w:r>
      <w:r>
        <w:t xml:space="preserve">a part of the organization if </w:t>
      </w:r>
      <w:r w:rsidR="00240D25">
        <w:t>one keeps</w:t>
      </w:r>
      <w:r>
        <w:t xml:space="preserve"> them informed.</w:t>
      </w:r>
    </w:p>
    <w:p w:rsidR="00AF619D" w:rsidRDefault="00AF619D" w:rsidP="00AF619D">
      <w:r w:rsidRPr="00AF619D">
        <w:rPr>
          <w:b/>
          <w:bCs/>
        </w:rPr>
        <w:t xml:space="preserve">Set forth </w:t>
      </w:r>
      <w:r w:rsidR="00240D25">
        <w:rPr>
          <w:b/>
          <w:bCs/>
        </w:rPr>
        <w:t xml:space="preserve">the </w:t>
      </w:r>
      <w:r w:rsidRPr="00AF619D">
        <w:rPr>
          <w:b/>
          <w:bCs/>
        </w:rPr>
        <w:t>expectations in detail</w:t>
      </w:r>
    </w:p>
    <w:p w:rsidR="007B6A57" w:rsidRDefault="00C95D44" w:rsidP="007B6A57">
      <w:r w:rsidRPr="00C95D44">
        <w:t>When they are unsure of their responsibilities, people find it difficult to become enthusiastic about a project.</w:t>
      </w:r>
      <w:r w:rsidR="007B6A57">
        <w:t xml:space="preserve">Give as many specifics when giving </w:t>
      </w:r>
      <w:r w:rsidR="00240D25">
        <w:t>the</w:t>
      </w:r>
      <w:r w:rsidR="007B6A57">
        <w:t xml:space="preserve"> personnel a task, and double-check </w:t>
      </w:r>
      <w:r w:rsidR="00240D25">
        <w:t>the</w:t>
      </w:r>
      <w:r w:rsidR="007B6A57">
        <w:t xml:space="preserve"> guidelines and expectations, before giving it to them. Additionally, describe the project's relationship to the company's overarching objectives. Encourage them to ask questions if they require more clarification</w:t>
      </w:r>
      <w:r w:rsidR="00504A5B" w:rsidRPr="00504A5B">
        <w:t>(Reena, 2018)</w:t>
      </w:r>
      <w:r w:rsidR="007B6A57">
        <w:t>.</w:t>
      </w:r>
    </w:p>
    <w:p w:rsidR="007B6A57" w:rsidRDefault="007B6A57" w:rsidP="007B6A57">
      <w:r w:rsidRPr="007B6A57">
        <w:rPr>
          <w:b/>
          <w:bCs/>
        </w:rPr>
        <w:t>Be honest about difficult projects</w:t>
      </w:r>
    </w:p>
    <w:p w:rsidR="007B6A57" w:rsidRDefault="007B6A57" w:rsidP="007B6A57">
      <w:r>
        <w:t xml:space="preserve">Employees may occasionally be required to work on unglamorous or interesting initiatives. Be clear about the nature of the assignment when giving out these tasks. Throwing an </w:t>
      </w:r>
      <w:r w:rsidR="00240D25">
        <w:t>employee,</w:t>
      </w:r>
      <w:r>
        <w:t xml:space="preserve"> a curveball or coming across as untruthful is the last thing </w:t>
      </w:r>
      <w:r w:rsidR="00240D25">
        <w:t>onewants</w:t>
      </w:r>
      <w:r>
        <w:t xml:space="preserve"> to do.</w:t>
      </w:r>
    </w:p>
    <w:p w:rsidR="007B6A57" w:rsidRPr="007B6A57" w:rsidRDefault="007B6A57" w:rsidP="007B6A57">
      <w:pPr>
        <w:rPr>
          <w:b/>
          <w:bCs/>
        </w:rPr>
      </w:pPr>
      <w:r w:rsidRPr="007B6A57">
        <w:rPr>
          <w:b/>
          <w:bCs/>
        </w:rPr>
        <w:t>Be dependable</w:t>
      </w:r>
    </w:p>
    <w:p w:rsidR="007B6A57" w:rsidRDefault="007A6B43" w:rsidP="007B6A57">
      <w:r>
        <w:t>E</w:t>
      </w:r>
      <w:r w:rsidR="007B6A57">
        <w:t xml:space="preserve">ach person needs to be treated as an individual, and </w:t>
      </w:r>
      <w:r>
        <w:t>the</w:t>
      </w:r>
      <w:r w:rsidR="007B6A57">
        <w:t xml:space="preserve"> strategy should be adapted to fit their needs. On the other hand, don't admonish one office worker for taking too long to file the travel expense paperwork while allowing another to finish a </w:t>
      </w:r>
      <w:r w:rsidR="008346EC">
        <w:t>project day</w:t>
      </w:r>
      <w:r w:rsidR="007B6A57">
        <w:t xml:space="preserve"> </w:t>
      </w:r>
      <w:r w:rsidR="007B6A57">
        <w:lastRenderedPageBreak/>
        <w:t xml:space="preserve">over its due date. Working under a manager that consistently </w:t>
      </w:r>
      <w:r w:rsidR="008346EC">
        <w:t>favours</w:t>
      </w:r>
      <w:r w:rsidR="007B6A57">
        <w:t xml:space="preserve"> their </w:t>
      </w:r>
      <w:r w:rsidR="008346EC">
        <w:t>favourites</w:t>
      </w:r>
      <w:r w:rsidR="007B6A57">
        <w:t xml:space="preserve"> is not appealing to anyone.</w:t>
      </w:r>
    </w:p>
    <w:p w:rsidR="007B6A57" w:rsidRPr="007B6A57" w:rsidRDefault="007B6A57" w:rsidP="007B6A57">
      <w:pPr>
        <w:rPr>
          <w:b/>
          <w:bCs/>
        </w:rPr>
      </w:pPr>
      <w:r w:rsidRPr="007B6A57">
        <w:rPr>
          <w:b/>
          <w:bCs/>
        </w:rPr>
        <w:t>Encourage creativity</w:t>
      </w:r>
    </w:p>
    <w:p w:rsidR="00AF619D" w:rsidRDefault="007B6A57" w:rsidP="007B6A57">
      <w:r>
        <w:t>Let support personnel know it's okay to think of new ideas and implement them; in fact, it's encouraged</w:t>
      </w:r>
      <w:r w:rsidR="00A65C32">
        <w:t>(Marchington and Wilkinson, 2016)</w:t>
      </w:r>
      <w:r>
        <w:t xml:space="preserve">. </w:t>
      </w:r>
      <w:r w:rsidR="00240D25">
        <w:t>C</w:t>
      </w:r>
      <w:r>
        <w:t xml:space="preserve">ommunicate to </w:t>
      </w:r>
      <w:r w:rsidR="00240D25">
        <w:t>the</w:t>
      </w:r>
      <w:r>
        <w:t xml:space="preserve"> teams how much respect their input. If they</w:t>
      </w:r>
      <w:r w:rsidR="00240D25">
        <w:t xml:space="preserve"> a</w:t>
      </w:r>
      <w:r>
        <w:t>re working on something they came up with, they'll also be more invested and engaged. Do</w:t>
      </w:r>
      <w:r w:rsidR="008346EC">
        <w:t xml:space="preserve"> no</w:t>
      </w:r>
      <w:r>
        <w:t>t get offended or criticize someone if their solution to simplify the new vendor approval procedure doesn't turn out as expected.</w:t>
      </w:r>
    </w:p>
    <w:p w:rsidR="008864A7" w:rsidRDefault="008864A7" w:rsidP="007B6A57"/>
    <w:p w:rsidR="008864A7" w:rsidRDefault="008864A7" w:rsidP="00A65C32">
      <w:pPr>
        <w:pStyle w:val="Heading2"/>
      </w:pPr>
      <w:bookmarkStart w:id="5" w:name="_Toc116820209"/>
      <w:r>
        <w:t>Employee Engagement Model</w:t>
      </w:r>
      <w:bookmarkEnd w:id="5"/>
    </w:p>
    <w:p w:rsidR="008864A7" w:rsidRPr="008864A7" w:rsidRDefault="008864A7" w:rsidP="008864A7">
      <w:pPr>
        <w:rPr>
          <w:b/>
          <w:bCs/>
        </w:rPr>
      </w:pPr>
      <w:r w:rsidRPr="008864A7">
        <w:rPr>
          <w:b/>
          <w:bCs/>
        </w:rPr>
        <w:t>Schmidt's Employee Engagement Model</w:t>
      </w:r>
    </w:p>
    <w:p w:rsidR="00C95D44" w:rsidRDefault="00C95D44" w:rsidP="00504A5B">
      <w:r w:rsidRPr="00C95D44">
        <w:t>The Schmidt model</w:t>
      </w:r>
      <w:r>
        <w:t xml:space="preserve"> was discovered</w:t>
      </w:r>
      <w:r w:rsidRPr="00C95D44">
        <w:t xml:space="preserve"> in 2004, </w:t>
      </w:r>
      <w:r>
        <w:t xml:space="preserve">for </w:t>
      </w:r>
      <w:r w:rsidRPr="00C95D44">
        <w:t>emphasiz</w:t>
      </w:r>
      <w:r>
        <w:t>ing</w:t>
      </w:r>
      <w:r w:rsidRPr="00C95D44">
        <w:t xml:space="preserve"> the value of attracting and retaining workers who would fit the company's culture and its people. The model accounts for the fact that a company's work environment improves if it hires the right people with the necessary expertise and skills (Dummies and Schmidt, 2017). As a result, people are more likely to feel committed and carry out </w:t>
      </w:r>
      <w:r>
        <w:t xml:space="preserve">the </w:t>
      </w:r>
      <w:r w:rsidRPr="00C95D44">
        <w:t>important job.</w:t>
      </w:r>
    </w:p>
    <w:p w:rsidR="008864A7" w:rsidRDefault="008864A7" w:rsidP="00504A5B">
      <w:r>
        <w:rPr>
          <w:noProof/>
          <w:lang w:eastAsia="en-GB"/>
        </w:rPr>
        <w:lastRenderedPageBreak/>
        <w:drawing>
          <wp:inline distT="0" distB="0" distL="0" distR="0">
            <wp:extent cx="5943600" cy="4168140"/>
            <wp:effectExtent l="0" t="0" r="0" b="3810"/>
            <wp:docPr id="1" name="Picture 1" descr="Employee engagement models - Tuto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ployee engagement models - Tutorial"/>
                    <pic:cNvPicPr>
                      <a:picLocks noChangeAspect="1" noChangeArrowheads="1"/>
                    </pic:cNvPicPr>
                  </pic:nvPicPr>
                  <pic:blipFill rotWithShape="1">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pic:blipFill>
                  <pic:spPr bwMode="auto">
                    <a:xfrm>
                      <a:off x="0" y="0"/>
                      <a:ext cx="5943600" cy="416814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8864A7" w:rsidRDefault="008864A7" w:rsidP="008864A7">
      <w:pPr>
        <w:jc w:val="center"/>
      </w:pPr>
      <w:r>
        <w:t>Figure:</w:t>
      </w:r>
      <w:r w:rsidR="00A65C32" w:rsidRPr="00A65C32">
        <w:t>Schmidt's Employee Engagement Model</w:t>
      </w:r>
    </w:p>
    <w:p w:rsidR="008864A7" w:rsidRDefault="008864A7" w:rsidP="008864A7">
      <w:pPr>
        <w:jc w:val="center"/>
      </w:pPr>
      <w:r>
        <w:t xml:space="preserve">(Source: </w:t>
      </w:r>
      <w:r w:rsidR="00A65C32" w:rsidRPr="00C95D44">
        <w:t>Dummies and Schmidt, 2017</w:t>
      </w:r>
      <w:r>
        <w:t>)</w:t>
      </w:r>
    </w:p>
    <w:p w:rsidR="008864A7" w:rsidRDefault="008864A7" w:rsidP="008864A7">
      <w:r w:rsidRPr="008864A7">
        <w:t xml:space="preserve">The Schmidt Model of Employee Engagement is predicated on the notion that carefully selecting and retaining workers who best fit the company culture is the best method to raise employee engagement. If this approach is to generate the desired results, a lot of attention must be paid to the organization's recruitment phase; in particular, care must be given to </w:t>
      </w:r>
      <w:r w:rsidR="005A1FAD">
        <w:t>finding</w:t>
      </w:r>
      <w:r w:rsidRPr="008864A7">
        <w:t xml:space="preserve"> the most qualified candidates for the position. Employers who place a high value on building a certain work environment, which includes a safe environment and a network of amiable co</w:t>
      </w:r>
      <w:r w:rsidR="005A1FAD">
        <w:t>-</w:t>
      </w:r>
      <w:r w:rsidRPr="008864A7">
        <w:t>workers, are best suited to use this type of employee engagement strategy</w:t>
      </w:r>
      <w:r w:rsidR="00DD760F" w:rsidRPr="00DD760F">
        <w:t>(Griffin et al., 2014)</w:t>
      </w:r>
      <w:r w:rsidRPr="008864A7">
        <w:t>.</w:t>
      </w:r>
    </w:p>
    <w:p w:rsidR="005A1FAD" w:rsidRDefault="005A1FAD" w:rsidP="008864A7"/>
    <w:p w:rsidR="005A1FAD" w:rsidRDefault="005A1FAD" w:rsidP="00A65C32">
      <w:pPr>
        <w:pStyle w:val="Heading2"/>
      </w:pPr>
      <w:bookmarkStart w:id="6" w:name="_Toc116820210"/>
      <w:r>
        <w:lastRenderedPageBreak/>
        <w:t>Example</w:t>
      </w:r>
      <w:bookmarkEnd w:id="6"/>
    </w:p>
    <w:p w:rsidR="005A1FAD" w:rsidRDefault="005A1FAD" w:rsidP="008864A7">
      <w:r w:rsidRPr="005A1FAD">
        <w:t xml:space="preserve">Travelodge is patient and kind to the employees of the company. Travelodge tends to attract employees using </w:t>
      </w:r>
      <w:r>
        <w:t>its</w:t>
      </w:r>
      <w:r w:rsidRPr="005A1FAD">
        <w:t xml:space="preserve"> strategy. From recruiting to motivating the employees, Travelodge is very active to be involved with them. Travelodge even manages the market changes for keeping up with the employees and </w:t>
      </w:r>
      <w:r>
        <w:t>interacting</w:t>
      </w:r>
      <w:r w:rsidRPr="005A1FAD">
        <w:t xml:space="preserve"> with them. The company understands the employees, </w:t>
      </w:r>
      <w:r>
        <w:t>fulfils</w:t>
      </w:r>
      <w:r w:rsidRPr="005A1FAD">
        <w:t xml:space="preserve"> the requirements, </w:t>
      </w:r>
      <w:r>
        <w:t>motivates</w:t>
      </w:r>
      <w:r w:rsidRPr="005A1FAD">
        <w:t xml:space="preserve"> them, </w:t>
      </w:r>
      <w:r>
        <w:t>and makes</w:t>
      </w:r>
      <w:r w:rsidRPr="005A1FAD">
        <w:t xml:space="preserve"> them able to engage more in </w:t>
      </w:r>
      <w:r>
        <w:t>wor</w:t>
      </w:r>
      <w:r w:rsidR="00DD760F">
        <w:t>k</w:t>
      </w:r>
      <w:r w:rsidRPr="005A1FAD">
        <w:t>. Travelodge even provides equal importance to the stakeholders.</w:t>
      </w:r>
    </w:p>
    <w:p w:rsidR="005A1FAD" w:rsidRDefault="005A1FAD">
      <w:pPr>
        <w:spacing w:line="259" w:lineRule="auto"/>
        <w:jc w:val="left"/>
      </w:pPr>
      <w:r>
        <w:br w:type="page"/>
      </w:r>
    </w:p>
    <w:p w:rsidR="008864A7" w:rsidRDefault="005A1FAD" w:rsidP="00A65C32">
      <w:pPr>
        <w:pStyle w:val="Heading2"/>
      </w:pPr>
      <w:bookmarkStart w:id="7" w:name="_Toc116820211"/>
      <w:r>
        <w:lastRenderedPageBreak/>
        <w:t>Conclusion</w:t>
      </w:r>
      <w:bookmarkEnd w:id="7"/>
    </w:p>
    <w:p w:rsidR="005A1FAD" w:rsidRDefault="005A1FAD" w:rsidP="005A1FAD">
      <w:r w:rsidRPr="005A1FAD">
        <w:t xml:space="preserve">In the end, employees are the active part of an organisation where they can move forward by working and by proper action, they can increase the engagement the company required </w:t>
      </w:r>
      <w:r>
        <w:t>tohave</w:t>
      </w:r>
      <w:r w:rsidRPr="005A1FAD">
        <w:t xml:space="preserve"> the goals achieved. </w:t>
      </w:r>
      <w:r>
        <w:br w:type="page"/>
      </w:r>
    </w:p>
    <w:p w:rsidR="005A1FAD" w:rsidRDefault="005A1FAD" w:rsidP="00A65C32">
      <w:pPr>
        <w:pStyle w:val="Heading2"/>
      </w:pPr>
      <w:bookmarkStart w:id="8" w:name="_Toc116820212"/>
      <w:r>
        <w:lastRenderedPageBreak/>
        <w:t>References</w:t>
      </w:r>
      <w:bookmarkEnd w:id="8"/>
    </w:p>
    <w:p w:rsidR="00DD760F" w:rsidRDefault="00DD760F" w:rsidP="00DD760F">
      <w:pPr>
        <w:pStyle w:val="NormalWeb"/>
        <w:spacing w:before="0" w:beforeAutospacing="0" w:after="240" w:afterAutospacing="0" w:line="360" w:lineRule="auto"/>
      </w:pPr>
      <w:r>
        <w:t xml:space="preserve">Anderson, D.L. and Hooks, T. (2020). Academic Reality Check: A Fast, Free, Practical Tool for Freshmen Retention. </w:t>
      </w:r>
      <w:r>
        <w:rPr>
          <w:i/>
          <w:iCs/>
        </w:rPr>
        <w:t>Journal of College Student Retention: Research, Theory &amp; Practice</w:t>
      </w:r>
      <w:r>
        <w:t>, p.152102512092117. doi:10.1177/1521025120921178.</w:t>
      </w:r>
    </w:p>
    <w:p w:rsidR="00DD760F" w:rsidRDefault="00DD760F" w:rsidP="00DD760F">
      <w:pPr>
        <w:jc w:val="left"/>
      </w:pPr>
      <w:r>
        <w:t xml:space="preserve">Armstrong, M. and Taylor, S. (2020) </w:t>
      </w:r>
      <w:r w:rsidRPr="00A65C32">
        <w:rPr>
          <w:i/>
          <w:iCs/>
        </w:rPr>
        <w:t>Armstrong’s handbook of human resource management practice</w:t>
      </w:r>
      <w:r>
        <w:t>. 15th edition. London, United Kingdom ;: KoganPage.</w:t>
      </w:r>
    </w:p>
    <w:p w:rsidR="00DD760F" w:rsidRDefault="00DD760F" w:rsidP="00DD760F">
      <w:pPr>
        <w:pStyle w:val="NormalWeb"/>
        <w:spacing w:before="0" w:beforeAutospacing="0" w:after="240" w:afterAutospacing="0" w:line="360" w:lineRule="auto"/>
      </w:pPr>
      <w:r>
        <w:t xml:space="preserve">Arthur, D. (2020). </w:t>
      </w:r>
      <w:r>
        <w:rPr>
          <w:i/>
          <w:iCs/>
        </w:rPr>
        <w:t>Recruiting, Interviewing, Selecting, And Orienting New Employees.</w:t>
      </w:r>
      <w:r>
        <w:t xml:space="preserve"> New York: Harpercollins Leadership.</w:t>
      </w:r>
    </w:p>
    <w:p w:rsidR="00DD760F" w:rsidRDefault="00DD760F" w:rsidP="00DD760F">
      <w:pPr>
        <w:pStyle w:val="NormalWeb"/>
        <w:spacing w:before="0" w:beforeAutospacing="0" w:after="240" w:afterAutospacing="0" w:line="360" w:lineRule="auto"/>
      </w:pPr>
      <w:r>
        <w:t xml:space="preserve">Belton, A. (2014). </w:t>
      </w:r>
      <w:r>
        <w:rPr>
          <w:i/>
          <w:iCs/>
        </w:rPr>
        <w:t>Social networking in recruitment</w:t>
      </w:r>
      <w:r>
        <w:t>. Birmingham, UK: Impact Pub.</w:t>
      </w:r>
    </w:p>
    <w:p w:rsidR="00DD760F" w:rsidRDefault="00DD760F" w:rsidP="00DD760F">
      <w:pPr>
        <w:jc w:val="left"/>
        <w:rPr>
          <w:shd w:val="clear" w:color="auto" w:fill="FFFFFF"/>
        </w:rPr>
      </w:pPr>
      <w:r>
        <w:rPr>
          <w:shd w:val="clear" w:color="auto" w:fill="FFFFFF"/>
        </w:rPr>
        <w:t>Carbonara, S., 2013. </w:t>
      </w:r>
      <w:r>
        <w:rPr>
          <w:i/>
          <w:iCs/>
          <w:shd w:val="clear" w:color="auto" w:fill="FFFFFF"/>
        </w:rPr>
        <w:t>Manager's Guide to Employee Engagement</w:t>
      </w:r>
      <w:r>
        <w:rPr>
          <w:shd w:val="clear" w:color="auto" w:fill="FFFFFF"/>
        </w:rPr>
        <w:t>. New York: McGraw-Hill.</w:t>
      </w:r>
    </w:p>
    <w:p w:rsidR="00DD760F" w:rsidRDefault="00DD760F" w:rsidP="00DD760F">
      <w:pPr>
        <w:pStyle w:val="NormalWeb"/>
        <w:spacing w:before="0" w:beforeAutospacing="0" w:after="240" w:afterAutospacing="0" w:line="360" w:lineRule="auto"/>
      </w:pPr>
      <w:r>
        <w:t xml:space="preserve">Dessler, G. (2020). </w:t>
      </w:r>
      <w:r>
        <w:rPr>
          <w:i/>
          <w:iCs/>
        </w:rPr>
        <w:t>Human resource management</w:t>
      </w:r>
      <w:r>
        <w:t>. 16th ed. New York: Pearson.</w:t>
      </w:r>
    </w:p>
    <w:p w:rsidR="00DD760F" w:rsidRDefault="00DD760F" w:rsidP="00DD760F">
      <w:pPr>
        <w:pStyle w:val="NormalWeb"/>
        <w:spacing w:before="0" w:beforeAutospacing="0" w:after="240" w:afterAutospacing="0" w:line="360" w:lineRule="auto"/>
      </w:pPr>
      <w:r>
        <w:t xml:space="preserve">Dummies, C. and Schmidt, L. (2017). </w:t>
      </w:r>
      <w:r>
        <w:rPr>
          <w:i/>
          <w:iCs/>
        </w:rPr>
        <w:t>Employer Branding for Dummies</w:t>
      </w:r>
      <w:r>
        <w:t>. Somerset: John Wiley &amp; Sons, Incorporated.</w:t>
      </w:r>
    </w:p>
    <w:p w:rsidR="00DD760F" w:rsidRDefault="00DD760F" w:rsidP="00DD760F">
      <w:pPr>
        <w:jc w:val="left"/>
      </w:pPr>
      <w:r>
        <w:t xml:space="preserve">Gallagher, K. (2016), </w:t>
      </w:r>
      <w:r w:rsidRPr="00A65C32">
        <w:rPr>
          <w:i/>
          <w:iCs/>
        </w:rPr>
        <w:t>Essential study and employment skills for business and management students</w:t>
      </w:r>
      <w:r>
        <w:t>. Oxford: Oxford University Press.</w:t>
      </w:r>
    </w:p>
    <w:p w:rsidR="00DD760F" w:rsidRDefault="00DD760F" w:rsidP="00DD760F">
      <w:pPr>
        <w:jc w:val="left"/>
      </w:pPr>
      <w:r>
        <w:rPr>
          <w:shd w:val="clear" w:color="auto" w:fill="FFFFFF"/>
        </w:rPr>
        <w:t>Griffin, R., Ebert, R., Starke, F., Dracopoulos, G. and Lang, M., 2014. </w:t>
      </w:r>
      <w:r>
        <w:rPr>
          <w:i/>
          <w:iCs/>
          <w:shd w:val="clear" w:color="auto" w:fill="FFFFFF"/>
        </w:rPr>
        <w:t>Business</w:t>
      </w:r>
      <w:r>
        <w:rPr>
          <w:shd w:val="clear" w:color="auto" w:fill="FFFFFF"/>
        </w:rPr>
        <w:t>. Toronto: Pearson Canada.</w:t>
      </w:r>
    </w:p>
    <w:p w:rsidR="00DD760F" w:rsidRDefault="00DD760F" w:rsidP="00DD760F">
      <w:pPr>
        <w:jc w:val="left"/>
        <w:rPr>
          <w:shd w:val="clear" w:color="auto" w:fill="FFFFFF"/>
        </w:rPr>
      </w:pPr>
      <w:r>
        <w:rPr>
          <w:shd w:val="clear" w:color="auto" w:fill="FFFFFF"/>
        </w:rPr>
        <w:t>Hunitie, M., 2017. THE IMPACT OF SERVANT LEADERSHIP STYLE ON EMPLOYEE SERVICE QUALITY, EMPLOYEE CREATIVITY, EMPLOYEE COMMITMENT AND EMPLOYEE PERFORMANCE. </w:t>
      </w:r>
      <w:r>
        <w:rPr>
          <w:i/>
          <w:iCs/>
          <w:shd w:val="clear" w:color="auto" w:fill="FFFFFF"/>
        </w:rPr>
        <w:t>International Journal of Business Research</w:t>
      </w:r>
      <w:r>
        <w:rPr>
          <w:shd w:val="clear" w:color="auto" w:fill="FFFFFF"/>
        </w:rPr>
        <w:t>, 17(1), pp.43-50.</w:t>
      </w:r>
    </w:p>
    <w:p w:rsidR="00DD760F" w:rsidRDefault="00DD760F" w:rsidP="00DD760F">
      <w:pPr>
        <w:jc w:val="left"/>
      </w:pPr>
      <w:r>
        <w:t xml:space="preserve">Johnston, R. Clark, G. Shulver, M (2012), </w:t>
      </w:r>
      <w:r w:rsidRPr="00A65C32">
        <w:rPr>
          <w:i/>
          <w:iCs/>
        </w:rPr>
        <w:t>Service Operations Management ,Pearson</w:t>
      </w:r>
      <w:r>
        <w:t>, London</w:t>
      </w:r>
    </w:p>
    <w:p w:rsidR="00DD760F" w:rsidRDefault="00DD760F" w:rsidP="00DD760F">
      <w:pPr>
        <w:jc w:val="left"/>
      </w:pPr>
      <w:r>
        <w:t xml:space="preserve">Marchington, M. and Wilkinson, A. (2016) </w:t>
      </w:r>
      <w:r w:rsidRPr="00A65C32">
        <w:rPr>
          <w:i/>
          <w:iCs/>
        </w:rPr>
        <w:t>Human resource management at work</w:t>
      </w:r>
      <w:r>
        <w:t>. 6th ed. London: Chartered Institute of Personnel and Development.</w:t>
      </w:r>
    </w:p>
    <w:p w:rsidR="00DD760F" w:rsidRDefault="00DD760F" w:rsidP="00DD760F">
      <w:pPr>
        <w:jc w:val="left"/>
        <w:rPr>
          <w:shd w:val="clear" w:color="auto" w:fill="FFFFFF"/>
        </w:rPr>
      </w:pPr>
      <w:r>
        <w:rPr>
          <w:shd w:val="clear" w:color="auto" w:fill="FFFFFF"/>
        </w:rPr>
        <w:lastRenderedPageBreak/>
        <w:t>McCarty, M., 2012. </w:t>
      </w:r>
      <w:r>
        <w:rPr>
          <w:i/>
          <w:iCs/>
          <w:shd w:val="clear" w:color="auto" w:fill="FFFFFF"/>
        </w:rPr>
        <w:t>The recruit</w:t>
      </w:r>
      <w:r>
        <w:rPr>
          <w:shd w:val="clear" w:color="auto" w:fill="FFFFFF"/>
        </w:rPr>
        <w:t>. New York: Random House Publishing Group.</w:t>
      </w:r>
    </w:p>
    <w:p w:rsidR="00DD760F" w:rsidRDefault="00DD760F" w:rsidP="00DD760F">
      <w:pPr>
        <w:pStyle w:val="NormalWeb"/>
        <w:spacing w:before="0" w:beforeAutospacing="0" w:after="240" w:afterAutospacing="0" w:line="360" w:lineRule="auto"/>
      </w:pPr>
      <w:r>
        <w:t xml:space="preserve">Reena (2018). Impact of Employees’ Empowerment on their Performance. </w:t>
      </w:r>
      <w:r>
        <w:rPr>
          <w:i/>
          <w:iCs/>
        </w:rPr>
        <w:t>Journal of National Development</w:t>
      </w:r>
      <w:r>
        <w:t>, 31(2), pp.178–186. doi:10.29070/31/58297.</w:t>
      </w:r>
    </w:p>
    <w:p w:rsidR="00DD760F" w:rsidRDefault="00DD760F" w:rsidP="00DD760F">
      <w:pPr>
        <w:jc w:val="left"/>
        <w:rPr>
          <w:shd w:val="clear" w:color="auto" w:fill="FFFFFF"/>
        </w:rPr>
      </w:pPr>
      <w:r>
        <w:rPr>
          <w:shd w:val="clear" w:color="auto" w:fill="FFFFFF"/>
        </w:rPr>
        <w:t>Roebuck, K., 2012. </w:t>
      </w:r>
      <w:r>
        <w:rPr>
          <w:i/>
          <w:iCs/>
          <w:shd w:val="clear" w:color="auto" w:fill="FFFFFF"/>
        </w:rPr>
        <w:t>Onboarding</w:t>
      </w:r>
      <w:r>
        <w:rPr>
          <w:shd w:val="clear" w:color="auto" w:fill="FFFFFF"/>
        </w:rPr>
        <w:t>. [Newstead, Australia?]: [Emereo Pub.?].</w:t>
      </w:r>
    </w:p>
    <w:p w:rsidR="00DD760F" w:rsidRDefault="00DD760F" w:rsidP="00DD760F">
      <w:pPr>
        <w:jc w:val="left"/>
        <w:rPr>
          <w:shd w:val="clear" w:color="auto" w:fill="FFFFFF"/>
        </w:rPr>
      </w:pPr>
      <w:r>
        <w:rPr>
          <w:shd w:val="clear" w:color="auto" w:fill="FFFFFF"/>
        </w:rPr>
        <w:t>S, N. and Thomas, P., 2018. The Impact of Employee Engagement on Employee Loyalty. </w:t>
      </w:r>
      <w:r>
        <w:rPr>
          <w:i/>
          <w:iCs/>
          <w:shd w:val="clear" w:color="auto" w:fill="FFFFFF"/>
        </w:rPr>
        <w:t>International Journal of Trend in Scientific Research and Development</w:t>
      </w:r>
      <w:r>
        <w:rPr>
          <w:shd w:val="clear" w:color="auto" w:fill="FFFFFF"/>
        </w:rPr>
        <w:t>, Volume-2(Issue-3), pp.324-331.</w:t>
      </w:r>
    </w:p>
    <w:p w:rsidR="00DD760F" w:rsidRDefault="00DD760F" w:rsidP="00DD760F">
      <w:pPr>
        <w:jc w:val="left"/>
      </w:pPr>
      <w:r>
        <w:t xml:space="preserve">Torrington, D, Hall, L, Atkinson, C, &amp; Taylor, S 2020, </w:t>
      </w:r>
      <w:r w:rsidRPr="00A65C32">
        <w:rPr>
          <w:i/>
          <w:iCs/>
        </w:rPr>
        <w:t>Human Resource Management PDF EBook</w:t>
      </w:r>
      <w:r>
        <w:t>, Pearson Education, Limited, Harlow. Available from: ProQuest Ebook Central.</w:t>
      </w:r>
    </w:p>
    <w:p w:rsidR="00DD760F" w:rsidRDefault="00DD760F" w:rsidP="00DD760F">
      <w:pPr>
        <w:pStyle w:val="NormalWeb"/>
        <w:spacing w:before="0" w:beforeAutospacing="0" w:after="240" w:afterAutospacing="0" w:line="360" w:lineRule="auto"/>
      </w:pPr>
      <w:r>
        <w:t xml:space="preserve">Truss, C. (2014). </w:t>
      </w:r>
      <w:r>
        <w:rPr>
          <w:i/>
          <w:iCs/>
        </w:rPr>
        <w:t>Employee engagement in theory and practice</w:t>
      </w:r>
      <w:r>
        <w:t>. London; New York: Routledge, Taylor &amp; Francis Group.</w:t>
      </w:r>
    </w:p>
    <w:p w:rsidR="00DD760F" w:rsidRDefault="00DD760F" w:rsidP="00DD760F">
      <w:pPr>
        <w:pStyle w:val="NormalWeb"/>
        <w:spacing w:before="0" w:beforeAutospacing="0" w:after="240" w:afterAutospacing="0" w:line="360" w:lineRule="auto"/>
      </w:pPr>
      <w:r>
        <w:t xml:space="preserve">United States. Congress. House. Committee On Veterans' Affairs (2014). </w:t>
      </w:r>
      <w:r>
        <w:rPr>
          <w:i/>
          <w:iCs/>
        </w:rPr>
        <w:t>Focusing on people : a review of VA’s plans for employee training, accountability, and workload management to improve disability claims processing : hearing before the Committee on Veterans’ Affairs, U.S. House of Representatives, One Hundred Thirteenth Congress, first session, Wednesday, March 20, 2013.</w:t>
      </w:r>
      <w:r>
        <w:t xml:space="preserve"> Washington: U.S. Government Printing Office, Washington, Dc.</w:t>
      </w:r>
    </w:p>
    <w:p w:rsidR="00DD760F" w:rsidRDefault="00DD760F" w:rsidP="00DD760F">
      <w:pPr>
        <w:jc w:val="left"/>
        <w:rPr>
          <w:shd w:val="clear" w:color="auto" w:fill="FFFFFF"/>
        </w:rPr>
      </w:pPr>
      <w:r>
        <w:rPr>
          <w:shd w:val="clear" w:color="auto" w:fill="FFFFFF"/>
        </w:rPr>
        <w:t>Yu, E. and Kim, J., 2020. The Relationship between Self-City Brand Connection, City Brand Experience, and City Brand Ambassadors. </w:t>
      </w:r>
      <w:r>
        <w:rPr>
          <w:i/>
          <w:iCs/>
          <w:shd w:val="clear" w:color="auto" w:fill="FFFFFF"/>
        </w:rPr>
        <w:t>Sustainability</w:t>
      </w:r>
      <w:r>
        <w:rPr>
          <w:shd w:val="clear" w:color="auto" w:fill="FFFFFF"/>
        </w:rPr>
        <w:t>, 12(3), p.982.</w:t>
      </w:r>
    </w:p>
    <w:p w:rsidR="00504A5B" w:rsidRDefault="00504A5B" w:rsidP="0080678B">
      <w:pPr>
        <w:pStyle w:val="Heading1"/>
        <w:rPr>
          <w:rFonts w:eastAsia="Times New Roman" w:cs="Times New Roman"/>
          <w:szCs w:val="24"/>
          <w:lang w:eastAsia="en-GB"/>
        </w:rPr>
      </w:pPr>
    </w:p>
    <w:sectPr w:rsidR="00504A5B" w:rsidSect="007A56ED">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42D2" w:rsidRDefault="008242D2" w:rsidP="00A85FAB">
      <w:pPr>
        <w:spacing w:after="0" w:line="240" w:lineRule="auto"/>
      </w:pPr>
      <w:r>
        <w:separator/>
      </w:r>
    </w:p>
  </w:endnote>
  <w:endnote w:type="continuationSeparator" w:id="1">
    <w:p w:rsidR="008242D2" w:rsidRDefault="008242D2" w:rsidP="00A85FA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0722100"/>
      <w:docPartObj>
        <w:docPartGallery w:val="Page Numbers (Bottom of Page)"/>
        <w:docPartUnique/>
      </w:docPartObj>
    </w:sdtPr>
    <w:sdtEndPr>
      <w:rPr>
        <w:noProof/>
      </w:rPr>
    </w:sdtEndPr>
    <w:sdtContent>
      <w:p w:rsidR="003C365D" w:rsidRDefault="00091046">
        <w:pPr>
          <w:pStyle w:val="Footer"/>
          <w:jc w:val="right"/>
        </w:pPr>
        <w:r>
          <w:fldChar w:fldCharType="begin"/>
        </w:r>
        <w:r w:rsidR="003C365D">
          <w:instrText xml:space="preserve"> PAGE   \* MERGEFORMAT </w:instrText>
        </w:r>
        <w:r>
          <w:fldChar w:fldCharType="separate"/>
        </w:r>
        <w:r w:rsidR="00FF58D8">
          <w:rPr>
            <w:noProof/>
          </w:rPr>
          <w:t>14</w:t>
        </w:r>
        <w:r>
          <w:rPr>
            <w:noProof/>
          </w:rPr>
          <w:fldChar w:fldCharType="end"/>
        </w:r>
      </w:p>
    </w:sdtContent>
  </w:sdt>
  <w:p w:rsidR="003C365D" w:rsidRDefault="003C365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42D2" w:rsidRDefault="008242D2" w:rsidP="00A85FAB">
      <w:pPr>
        <w:spacing w:after="0" w:line="240" w:lineRule="auto"/>
      </w:pPr>
      <w:r>
        <w:separator/>
      </w:r>
    </w:p>
  </w:footnote>
  <w:footnote w:type="continuationSeparator" w:id="1">
    <w:p w:rsidR="008242D2" w:rsidRDefault="008242D2" w:rsidP="00A85FA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0928FB"/>
    <w:multiLevelType w:val="hybridMultilevel"/>
    <w:tmpl w:val="9A16EC46"/>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872203B"/>
    <w:multiLevelType w:val="hybridMultilevel"/>
    <w:tmpl w:val="78E8F3BC"/>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AE27D21"/>
    <w:multiLevelType w:val="hybridMultilevel"/>
    <w:tmpl w:val="72000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8BC7D73"/>
    <w:multiLevelType w:val="hybridMultilevel"/>
    <w:tmpl w:val="EE5E2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removePersonalInformation/>
  <w:removeDateAndTime/>
  <w:defaultTabStop w:val="720"/>
  <w:characterSpacingControl w:val="doNotCompress"/>
  <w:hdrShapeDefaults>
    <o:shapedefaults v:ext="edit" spidmax="8194"/>
  </w:hdrShapeDefaults>
  <w:footnotePr>
    <w:footnote w:id="0"/>
    <w:footnote w:id="1"/>
  </w:footnotePr>
  <w:endnotePr>
    <w:endnote w:id="0"/>
    <w:endnote w:id="1"/>
  </w:endnotePr>
  <w:compat/>
  <w:rsids>
    <w:rsidRoot w:val="00F7327B"/>
    <w:rsid w:val="00020D06"/>
    <w:rsid w:val="0004674C"/>
    <w:rsid w:val="0004696E"/>
    <w:rsid w:val="00091046"/>
    <w:rsid w:val="000C0D44"/>
    <w:rsid w:val="000C5D54"/>
    <w:rsid w:val="000D5CED"/>
    <w:rsid w:val="001147EC"/>
    <w:rsid w:val="00114C98"/>
    <w:rsid w:val="001225EE"/>
    <w:rsid w:val="00147966"/>
    <w:rsid w:val="001649E9"/>
    <w:rsid w:val="0017208B"/>
    <w:rsid w:val="00176605"/>
    <w:rsid w:val="001C699A"/>
    <w:rsid w:val="00240D25"/>
    <w:rsid w:val="00254BEB"/>
    <w:rsid w:val="00275551"/>
    <w:rsid w:val="002A3463"/>
    <w:rsid w:val="002A61F6"/>
    <w:rsid w:val="002E439D"/>
    <w:rsid w:val="0036057D"/>
    <w:rsid w:val="00371C7D"/>
    <w:rsid w:val="003C307A"/>
    <w:rsid w:val="003C365D"/>
    <w:rsid w:val="004365E7"/>
    <w:rsid w:val="0044697A"/>
    <w:rsid w:val="0048305F"/>
    <w:rsid w:val="00504A5B"/>
    <w:rsid w:val="00544175"/>
    <w:rsid w:val="00576AC5"/>
    <w:rsid w:val="00583B84"/>
    <w:rsid w:val="005A1FAD"/>
    <w:rsid w:val="005A6A91"/>
    <w:rsid w:val="006258D0"/>
    <w:rsid w:val="006511CD"/>
    <w:rsid w:val="006604B1"/>
    <w:rsid w:val="006666AE"/>
    <w:rsid w:val="0069297A"/>
    <w:rsid w:val="006957BD"/>
    <w:rsid w:val="006D5389"/>
    <w:rsid w:val="0076347D"/>
    <w:rsid w:val="00775356"/>
    <w:rsid w:val="00793AAF"/>
    <w:rsid w:val="007A56ED"/>
    <w:rsid w:val="007A6B43"/>
    <w:rsid w:val="007B6A57"/>
    <w:rsid w:val="0080678B"/>
    <w:rsid w:val="008242D2"/>
    <w:rsid w:val="008346EC"/>
    <w:rsid w:val="00873AA6"/>
    <w:rsid w:val="008864A7"/>
    <w:rsid w:val="008F1D3B"/>
    <w:rsid w:val="008F271F"/>
    <w:rsid w:val="009830CD"/>
    <w:rsid w:val="00A65C32"/>
    <w:rsid w:val="00A85FAB"/>
    <w:rsid w:val="00AB5B40"/>
    <w:rsid w:val="00AB6812"/>
    <w:rsid w:val="00AF619D"/>
    <w:rsid w:val="00AF63EE"/>
    <w:rsid w:val="00B72C2B"/>
    <w:rsid w:val="00B80D58"/>
    <w:rsid w:val="00C31986"/>
    <w:rsid w:val="00C95D44"/>
    <w:rsid w:val="00CD17C7"/>
    <w:rsid w:val="00D4110F"/>
    <w:rsid w:val="00DD760F"/>
    <w:rsid w:val="00E37A5A"/>
    <w:rsid w:val="00E56212"/>
    <w:rsid w:val="00E60F75"/>
    <w:rsid w:val="00E7073A"/>
    <w:rsid w:val="00EE654F"/>
    <w:rsid w:val="00F37A60"/>
    <w:rsid w:val="00F566C8"/>
    <w:rsid w:val="00F7327B"/>
    <w:rsid w:val="00FC6C40"/>
    <w:rsid w:val="00FE0797"/>
    <w:rsid w:val="00FF58D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47D"/>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0D5CED"/>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0D5CED"/>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1147EC"/>
    <w:pPr>
      <w:keepNext/>
      <w:keepLines/>
      <w:spacing w:before="40" w:after="0"/>
      <w:jc w:val="center"/>
      <w:outlineLvl w:val="2"/>
    </w:pPr>
    <w:rPr>
      <w:rFonts w:eastAsiaTheme="majorEastAsia" w:cstheme="majorBidi"/>
      <w:b/>
      <w:color w:val="000000" w:themeColor="text1"/>
      <w:sz w:val="22"/>
      <w:szCs w:val="24"/>
    </w:rPr>
  </w:style>
  <w:style w:type="paragraph" w:styleId="Heading4">
    <w:name w:val="heading 4"/>
    <w:basedOn w:val="Normal"/>
    <w:next w:val="Normal"/>
    <w:link w:val="Heading4Char"/>
    <w:uiPriority w:val="9"/>
    <w:unhideWhenUsed/>
    <w:qFormat/>
    <w:rsid w:val="0004674C"/>
    <w:pPr>
      <w:keepNext/>
      <w:keepLines/>
      <w:spacing w:before="40" w:after="0"/>
      <w:outlineLvl w:val="3"/>
    </w:pPr>
    <w:rPr>
      <w:rFonts w:eastAsiaTheme="majorEastAsia" w:cstheme="majorBidi"/>
      <w:b/>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CED"/>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0D5CED"/>
    <w:rPr>
      <w:rFonts w:ascii="Times New Roman" w:eastAsiaTheme="majorEastAsia" w:hAnsi="Times New Roman" w:cstheme="majorBidi"/>
      <w:b/>
      <w:color w:val="000000" w:themeColor="text1"/>
      <w:sz w:val="28"/>
      <w:szCs w:val="26"/>
      <w:lang w:val="en-GB"/>
    </w:rPr>
  </w:style>
  <w:style w:type="character" w:customStyle="1" w:styleId="Heading3Char">
    <w:name w:val="Heading 3 Char"/>
    <w:basedOn w:val="DefaultParagraphFont"/>
    <w:link w:val="Heading3"/>
    <w:uiPriority w:val="9"/>
    <w:rsid w:val="001147EC"/>
    <w:rPr>
      <w:rFonts w:ascii="Times New Roman" w:eastAsiaTheme="majorEastAsia" w:hAnsi="Times New Roman" w:cstheme="majorBidi"/>
      <w:b/>
      <w:color w:val="000000" w:themeColor="text1"/>
      <w:szCs w:val="24"/>
      <w:lang w:val="en-GB"/>
    </w:rPr>
  </w:style>
  <w:style w:type="character" w:customStyle="1" w:styleId="Heading4Char">
    <w:name w:val="Heading 4 Char"/>
    <w:basedOn w:val="DefaultParagraphFont"/>
    <w:link w:val="Heading4"/>
    <w:uiPriority w:val="9"/>
    <w:rsid w:val="0004674C"/>
    <w:rPr>
      <w:rFonts w:ascii="Times New Roman" w:eastAsiaTheme="majorEastAsia" w:hAnsi="Times New Roman" w:cstheme="majorBidi"/>
      <w:b/>
      <w:iCs/>
      <w:color w:val="000000" w:themeColor="text1"/>
      <w:sz w:val="24"/>
      <w:lang w:val="en-GB"/>
    </w:rPr>
  </w:style>
  <w:style w:type="paragraph" w:styleId="ListParagraph">
    <w:name w:val="List Paragraph"/>
    <w:basedOn w:val="Normal"/>
    <w:uiPriority w:val="34"/>
    <w:qFormat/>
    <w:rsid w:val="00873AA6"/>
    <w:pPr>
      <w:ind w:left="720"/>
      <w:contextualSpacing/>
    </w:pPr>
  </w:style>
  <w:style w:type="paragraph" w:styleId="Header">
    <w:name w:val="header"/>
    <w:basedOn w:val="Normal"/>
    <w:link w:val="HeaderChar"/>
    <w:uiPriority w:val="99"/>
    <w:unhideWhenUsed/>
    <w:rsid w:val="00A85F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5FAB"/>
    <w:rPr>
      <w:rFonts w:ascii="Times New Roman" w:hAnsi="Times New Roman"/>
      <w:sz w:val="24"/>
      <w:lang w:val="en-GB"/>
    </w:rPr>
  </w:style>
  <w:style w:type="paragraph" w:styleId="Footer">
    <w:name w:val="footer"/>
    <w:basedOn w:val="Normal"/>
    <w:link w:val="FooterChar"/>
    <w:uiPriority w:val="99"/>
    <w:unhideWhenUsed/>
    <w:rsid w:val="00A85F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5FAB"/>
    <w:rPr>
      <w:rFonts w:ascii="Times New Roman" w:hAnsi="Times New Roman"/>
      <w:sz w:val="24"/>
      <w:lang w:val="en-GB"/>
    </w:rPr>
  </w:style>
  <w:style w:type="character" w:styleId="Hyperlink">
    <w:name w:val="Hyperlink"/>
    <w:basedOn w:val="DefaultParagraphFont"/>
    <w:uiPriority w:val="99"/>
    <w:unhideWhenUsed/>
    <w:rsid w:val="00275551"/>
    <w:rPr>
      <w:color w:val="0563C1" w:themeColor="hyperlink"/>
      <w:u w:val="single"/>
    </w:rPr>
  </w:style>
  <w:style w:type="character" w:customStyle="1" w:styleId="UnresolvedMention">
    <w:name w:val="Unresolved Mention"/>
    <w:basedOn w:val="DefaultParagraphFont"/>
    <w:uiPriority w:val="99"/>
    <w:semiHidden/>
    <w:unhideWhenUsed/>
    <w:rsid w:val="00275551"/>
    <w:rPr>
      <w:color w:val="605E5C"/>
      <w:shd w:val="clear" w:color="auto" w:fill="E1DFDD"/>
    </w:rPr>
  </w:style>
  <w:style w:type="paragraph" w:styleId="NormalWeb">
    <w:name w:val="Normal (Web)"/>
    <w:basedOn w:val="Normal"/>
    <w:uiPriority w:val="99"/>
    <w:semiHidden/>
    <w:unhideWhenUsed/>
    <w:rsid w:val="008F1D3B"/>
    <w:pPr>
      <w:spacing w:before="100" w:beforeAutospacing="1" w:after="100" w:afterAutospacing="1" w:line="240" w:lineRule="auto"/>
      <w:jc w:val="left"/>
    </w:pPr>
    <w:rPr>
      <w:rFonts w:eastAsia="Times New Roman" w:cs="Times New Roman"/>
      <w:szCs w:val="24"/>
      <w:lang w:eastAsia="en-GB"/>
    </w:rPr>
  </w:style>
  <w:style w:type="paragraph" w:styleId="TOCHeading">
    <w:name w:val="TOC Heading"/>
    <w:basedOn w:val="Heading1"/>
    <w:next w:val="Normal"/>
    <w:uiPriority w:val="39"/>
    <w:unhideWhenUsed/>
    <w:qFormat/>
    <w:rsid w:val="00E56212"/>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E56212"/>
    <w:pPr>
      <w:spacing w:after="100"/>
    </w:pPr>
  </w:style>
  <w:style w:type="paragraph" w:styleId="TOC2">
    <w:name w:val="toc 2"/>
    <w:basedOn w:val="Normal"/>
    <w:next w:val="Normal"/>
    <w:autoRedefine/>
    <w:uiPriority w:val="39"/>
    <w:unhideWhenUsed/>
    <w:rsid w:val="001C699A"/>
    <w:pPr>
      <w:spacing w:after="100"/>
      <w:ind w:left="240"/>
    </w:pPr>
  </w:style>
  <w:style w:type="paragraph" w:styleId="BalloonText">
    <w:name w:val="Balloon Text"/>
    <w:basedOn w:val="Normal"/>
    <w:link w:val="BalloonTextChar"/>
    <w:uiPriority w:val="99"/>
    <w:semiHidden/>
    <w:unhideWhenUsed/>
    <w:rsid w:val="008067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678B"/>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232131604">
      <w:bodyDiv w:val="1"/>
      <w:marLeft w:val="0"/>
      <w:marRight w:val="0"/>
      <w:marTop w:val="0"/>
      <w:marBottom w:val="0"/>
      <w:divBdr>
        <w:top w:val="none" w:sz="0" w:space="0" w:color="auto"/>
        <w:left w:val="none" w:sz="0" w:space="0" w:color="auto"/>
        <w:bottom w:val="none" w:sz="0" w:space="0" w:color="auto"/>
        <w:right w:val="none" w:sz="0" w:space="0" w:color="auto"/>
      </w:divBdr>
      <w:divsChild>
        <w:div w:id="1385790353">
          <w:marLeft w:val="0"/>
          <w:marRight w:val="0"/>
          <w:marTop w:val="0"/>
          <w:marBottom w:val="0"/>
          <w:divBdr>
            <w:top w:val="none" w:sz="0" w:space="0" w:color="auto"/>
            <w:left w:val="none" w:sz="0" w:space="0" w:color="auto"/>
            <w:bottom w:val="none" w:sz="0" w:space="0" w:color="auto"/>
            <w:right w:val="none" w:sz="0" w:space="0" w:color="auto"/>
          </w:divBdr>
        </w:div>
      </w:divsChild>
    </w:div>
    <w:div w:id="301812366">
      <w:bodyDiv w:val="1"/>
      <w:marLeft w:val="0"/>
      <w:marRight w:val="0"/>
      <w:marTop w:val="0"/>
      <w:marBottom w:val="0"/>
      <w:divBdr>
        <w:top w:val="none" w:sz="0" w:space="0" w:color="auto"/>
        <w:left w:val="none" w:sz="0" w:space="0" w:color="auto"/>
        <w:bottom w:val="none" w:sz="0" w:space="0" w:color="auto"/>
        <w:right w:val="none" w:sz="0" w:space="0" w:color="auto"/>
      </w:divBdr>
      <w:divsChild>
        <w:div w:id="616565978">
          <w:marLeft w:val="0"/>
          <w:marRight w:val="0"/>
          <w:marTop w:val="0"/>
          <w:marBottom w:val="0"/>
          <w:divBdr>
            <w:top w:val="none" w:sz="0" w:space="0" w:color="auto"/>
            <w:left w:val="none" w:sz="0" w:space="0" w:color="auto"/>
            <w:bottom w:val="none" w:sz="0" w:space="0" w:color="auto"/>
            <w:right w:val="none" w:sz="0" w:space="0" w:color="auto"/>
          </w:divBdr>
        </w:div>
      </w:divsChild>
    </w:div>
    <w:div w:id="347832109">
      <w:bodyDiv w:val="1"/>
      <w:marLeft w:val="0"/>
      <w:marRight w:val="0"/>
      <w:marTop w:val="0"/>
      <w:marBottom w:val="0"/>
      <w:divBdr>
        <w:top w:val="none" w:sz="0" w:space="0" w:color="auto"/>
        <w:left w:val="none" w:sz="0" w:space="0" w:color="auto"/>
        <w:bottom w:val="none" w:sz="0" w:space="0" w:color="auto"/>
        <w:right w:val="none" w:sz="0" w:space="0" w:color="auto"/>
      </w:divBdr>
    </w:div>
    <w:div w:id="446587566">
      <w:bodyDiv w:val="1"/>
      <w:marLeft w:val="0"/>
      <w:marRight w:val="0"/>
      <w:marTop w:val="0"/>
      <w:marBottom w:val="0"/>
      <w:divBdr>
        <w:top w:val="none" w:sz="0" w:space="0" w:color="auto"/>
        <w:left w:val="none" w:sz="0" w:space="0" w:color="auto"/>
        <w:bottom w:val="none" w:sz="0" w:space="0" w:color="auto"/>
        <w:right w:val="none" w:sz="0" w:space="0" w:color="auto"/>
      </w:divBdr>
      <w:divsChild>
        <w:div w:id="20401235">
          <w:marLeft w:val="0"/>
          <w:marRight w:val="0"/>
          <w:marTop w:val="0"/>
          <w:marBottom w:val="0"/>
          <w:divBdr>
            <w:top w:val="none" w:sz="0" w:space="0" w:color="auto"/>
            <w:left w:val="none" w:sz="0" w:space="0" w:color="auto"/>
            <w:bottom w:val="none" w:sz="0" w:space="0" w:color="auto"/>
            <w:right w:val="none" w:sz="0" w:space="0" w:color="auto"/>
          </w:divBdr>
        </w:div>
      </w:divsChild>
    </w:div>
    <w:div w:id="568426000">
      <w:bodyDiv w:val="1"/>
      <w:marLeft w:val="0"/>
      <w:marRight w:val="0"/>
      <w:marTop w:val="0"/>
      <w:marBottom w:val="0"/>
      <w:divBdr>
        <w:top w:val="none" w:sz="0" w:space="0" w:color="auto"/>
        <w:left w:val="none" w:sz="0" w:space="0" w:color="auto"/>
        <w:bottom w:val="none" w:sz="0" w:space="0" w:color="auto"/>
        <w:right w:val="none" w:sz="0" w:space="0" w:color="auto"/>
      </w:divBdr>
    </w:div>
    <w:div w:id="645626514">
      <w:bodyDiv w:val="1"/>
      <w:marLeft w:val="0"/>
      <w:marRight w:val="0"/>
      <w:marTop w:val="0"/>
      <w:marBottom w:val="0"/>
      <w:divBdr>
        <w:top w:val="none" w:sz="0" w:space="0" w:color="auto"/>
        <w:left w:val="none" w:sz="0" w:space="0" w:color="auto"/>
        <w:bottom w:val="none" w:sz="0" w:space="0" w:color="auto"/>
        <w:right w:val="none" w:sz="0" w:space="0" w:color="auto"/>
      </w:divBdr>
    </w:div>
    <w:div w:id="680202832">
      <w:bodyDiv w:val="1"/>
      <w:marLeft w:val="0"/>
      <w:marRight w:val="0"/>
      <w:marTop w:val="0"/>
      <w:marBottom w:val="0"/>
      <w:divBdr>
        <w:top w:val="none" w:sz="0" w:space="0" w:color="auto"/>
        <w:left w:val="none" w:sz="0" w:space="0" w:color="auto"/>
        <w:bottom w:val="none" w:sz="0" w:space="0" w:color="auto"/>
        <w:right w:val="none" w:sz="0" w:space="0" w:color="auto"/>
      </w:divBdr>
      <w:divsChild>
        <w:div w:id="938411103">
          <w:marLeft w:val="0"/>
          <w:marRight w:val="0"/>
          <w:marTop w:val="0"/>
          <w:marBottom w:val="0"/>
          <w:divBdr>
            <w:top w:val="none" w:sz="0" w:space="0" w:color="auto"/>
            <w:left w:val="none" w:sz="0" w:space="0" w:color="auto"/>
            <w:bottom w:val="none" w:sz="0" w:space="0" w:color="auto"/>
            <w:right w:val="none" w:sz="0" w:space="0" w:color="auto"/>
          </w:divBdr>
        </w:div>
      </w:divsChild>
    </w:div>
    <w:div w:id="820541260">
      <w:bodyDiv w:val="1"/>
      <w:marLeft w:val="0"/>
      <w:marRight w:val="0"/>
      <w:marTop w:val="0"/>
      <w:marBottom w:val="0"/>
      <w:divBdr>
        <w:top w:val="none" w:sz="0" w:space="0" w:color="auto"/>
        <w:left w:val="none" w:sz="0" w:space="0" w:color="auto"/>
        <w:bottom w:val="none" w:sz="0" w:space="0" w:color="auto"/>
        <w:right w:val="none" w:sz="0" w:space="0" w:color="auto"/>
      </w:divBdr>
      <w:divsChild>
        <w:div w:id="405109933">
          <w:marLeft w:val="0"/>
          <w:marRight w:val="0"/>
          <w:marTop w:val="0"/>
          <w:marBottom w:val="0"/>
          <w:divBdr>
            <w:top w:val="none" w:sz="0" w:space="0" w:color="auto"/>
            <w:left w:val="none" w:sz="0" w:space="0" w:color="auto"/>
            <w:bottom w:val="none" w:sz="0" w:space="0" w:color="auto"/>
            <w:right w:val="none" w:sz="0" w:space="0" w:color="auto"/>
          </w:divBdr>
        </w:div>
      </w:divsChild>
    </w:div>
    <w:div w:id="1144812511">
      <w:bodyDiv w:val="1"/>
      <w:marLeft w:val="0"/>
      <w:marRight w:val="0"/>
      <w:marTop w:val="0"/>
      <w:marBottom w:val="0"/>
      <w:divBdr>
        <w:top w:val="none" w:sz="0" w:space="0" w:color="auto"/>
        <w:left w:val="none" w:sz="0" w:space="0" w:color="auto"/>
        <w:bottom w:val="none" w:sz="0" w:space="0" w:color="auto"/>
        <w:right w:val="none" w:sz="0" w:space="0" w:color="auto"/>
      </w:divBdr>
    </w:div>
    <w:div w:id="1211380353">
      <w:bodyDiv w:val="1"/>
      <w:marLeft w:val="0"/>
      <w:marRight w:val="0"/>
      <w:marTop w:val="0"/>
      <w:marBottom w:val="0"/>
      <w:divBdr>
        <w:top w:val="none" w:sz="0" w:space="0" w:color="auto"/>
        <w:left w:val="none" w:sz="0" w:space="0" w:color="auto"/>
        <w:bottom w:val="none" w:sz="0" w:space="0" w:color="auto"/>
        <w:right w:val="none" w:sz="0" w:space="0" w:color="auto"/>
      </w:divBdr>
    </w:div>
    <w:div w:id="1536624027">
      <w:bodyDiv w:val="1"/>
      <w:marLeft w:val="0"/>
      <w:marRight w:val="0"/>
      <w:marTop w:val="0"/>
      <w:marBottom w:val="0"/>
      <w:divBdr>
        <w:top w:val="none" w:sz="0" w:space="0" w:color="auto"/>
        <w:left w:val="none" w:sz="0" w:space="0" w:color="auto"/>
        <w:bottom w:val="none" w:sz="0" w:space="0" w:color="auto"/>
        <w:right w:val="none" w:sz="0" w:space="0" w:color="auto"/>
      </w:divBdr>
      <w:divsChild>
        <w:div w:id="1922058834">
          <w:marLeft w:val="0"/>
          <w:marRight w:val="0"/>
          <w:marTop w:val="0"/>
          <w:marBottom w:val="0"/>
          <w:divBdr>
            <w:top w:val="none" w:sz="0" w:space="0" w:color="auto"/>
            <w:left w:val="none" w:sz="0" w:space="0" w:color="auto"/>
            <w:bottom w:val="none" w:sz="0" w:space="0" w:color="auto"/>
            <w:right w:val="none" w:sz="0" w:space="0" w:color="auto"/>
          </w:divBdr>
        </w:div>
      </w:divsChild>
    </w:div>
    <w:div w:id="1606689094">
      <w:bodyDiv w:val="1"/>
      <w:marLeft w:val="0"/>
      <w:marRight w:val="0"/>
      <w:marTop w:val="0"/>
      <w:marBottom w:val="0"/>
      <w:divBdr>
        <w:top w:val="none" w:sz="0" w:space="0" w:color="auto"/>
        <w:left w:val="none" w:sz="0" w:space="0" w:color="auto"/>
        <w:bottom w:val="none" w:sz="0" w:space="0" w:color="auto"/>
        <w:right w:val="none" w:sz="0" w:space="0" w:color="auto"/>
      </w:divBdr>
      <w:divsChild>
        <w:div w:id="1300650346">
          <w:marLeft w:val="0"/>
          <w:marRight w:val="0"/>
          <w:marTop w:val="0"/>
          <w:marBottom w:val="0"/>
          <w:divBdr>
            <w:top w:val="none" w:sz="0" w:space="0" w:color="auto"/>
            <w:left w:val="none" w:sz="0" w:space="0" w:color="auto"/>
            <w:bottom w:val="none" w:sz="0" w:space="0" w:color="auto"/>
            <w:right w:val="none" w:sz="0" w:space="0" w:color="auto"/>
          </w:divBdr>
        </w:div>
      </w:divsChild>
    </w:div>
    <w:div w:id="1974827248">
      <w:bodyDiv w:val="1"/>
      <w:marLeft w:val="0"/>
      <w:marRight w:val="0"/>
      <w:marTop w:val="0"/>
      <w:marBottom w:val="0"/>
      <w:divBdr>
        <w:top w:val="none" w:sz="0" w:space="0" w:color="auto"/>
        <w:left w:val="none" w:sz="0" w:space="0" w:color="auto"/>
        <w:bottom w:val="none" w:sz="0" w:space="0" w:color="auto"/>
        <w:right w:val="none" w:sz="0" w:space="0" w:color="auto"/>
      </w:divBdr>
      <w:divsChild>
        <w:div w:id="908344197">
          <w:marLeft w:val="0"/>
          <w:marRight w:val="0"/>
          <w:marTop w:val="0"/>
          <w:marBottom w:val="0"/>
          <w:divBdr>
            <w:top w:val="none" w:sz="0" w:space="0" w:color="auto"/>
            <w:left w:val="none" w:sz="0" w:space="0" w:color="auto"/>
            <w:bottom w:val="none" w:sz="0" w:space="0" w:color="auto"/>
            <w:right w:val="none" w:sz="0" w:space="0" w:color="auto"/>
          </w:divBdr>
        </w:div>
      </w:divsChild>
    </w:div>
    <w:div w:id="1981180067">
      <w:bodyDiv w:val="1"/>
      <w:marLeft w:val="0"/>
      <w:marRight w:val="0"/>
      <w:marTop w:val="0"/>
      <w:marBottom w:val="0"/>
      <w:divBdr>
        <w:top w:val="none" w:sz="0" w:space="0" w:color="auto"/>
        <w:left w:val="none" w:sz="0" w:space="0" w:color="auto"/>
        <w:bottom w:val="none" w:sz="0" w:space="0" w:color="auto"/>
        <w:right w:val="none" w:sz="0" w:space="0" w:color="auto"/>
      </w:divBdr>
    </w:div>
    <w:div w:id="2065912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9A237-0FC8-4E21-9A92-BA9116B88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2815</Words>
  <Characters>16046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2022-10-21T22:51:00Z</dcterms:created>
  <dcterms:modified xsi:type="dcterms:W3CDTF">2022-10-21T22:55:00Z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e8d7446a0bf84223b9374be08974449b30812a73c25857b9d753f69b4f78c9da</vt:lpwstr>
  </property>
</Properties>
</file>