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id w:val="-1503576333"/>
        <w:docPartObj>
          <w:docPartGallery w:val="Cover Pages"/>
          <w:docPartUnique/>
        </w:docPartObj>
      </w:sdtPr>
      <w:sdtContent>
        <w:p w14:paraId="71B535DC" w14:textId="273AFD73" w:rsidR="00503654" w:rsidRDefault="00503654">
          <w:r>
            <w:rPr>
              <w:noProof/>
            </w:rPr>
            <mc:AlternateContent>
              <mc:Choice Requires="wpg">
                <w:drawing>
                  <wp:anchor distT="0" distB="0" distL="114300" distR="114300" simplePos="0" relativeHeight="251662336" behindDoc="0" locked="0" layoutInCell="1" allowOverlap="1" wp14:anchorId="4FE03527" wp14:editId="6763F92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C54A5B4" id="Group 1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15A1ACC" wp14:editId="78C2BE7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21"/>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063B673" w14:textId="75E0EBC2" w:rsidR="00503654" w:rsidRDefault="00503654">
                                    <w:pPr>
                                      <w:pStyle w:val="NoSpacing"/>
                                      <w:jc w:val="right"/>
                                      <w:rPr>
                                        <w:color w:val="595959" w:themeColor="text1" w:themeTint="A6"/>
                                        <w:sz w:val="28"/>
                                        <w:szCs w:val="28"/>
                                      </w:rPr>
                                    </w:pPr>
                                    <w:r>
                                      <w:rPr>
                                        <w:color w:val="595959" w:themeColor="text1" w:themeTint="A6"/>
                                        <w:sz w:val="28"/>
                                        <w:szCs w:val="28"/>
                                      </w:rPr>
                                      <w:t>Sarah Ismail</w:t>
                                    </w:r>
                                  </w:p>
                                </w:sdtContent>
                              </w:sdt>
                              <w:p w14:paraId="3C5B5423" w14:textId="2501C164" w:rsidR="0050365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503654">
                                      <w:rPr>
                                        <w:color w:val="595959" w:themeColor="text1" w:themeTint="A6"/>
                                        <w:sz w:val="18"/>
                                        <w:szCs w:val="18"/>
                                      </w:rPr>
                                      <w:t>2312694</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15A1ACC" id="_x0000_t202" coordsize="21600,21600" o:spt="202" path="m,l,21600r21600,l21600,xe">
                    <v:stroke joinstyle="miter"/>
                    <v:path gradientshapeok="t" o:connecttype="rect"/>
                  </v:shapetype>
                  <v:shape id="Text Box 21"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063B673" w14:textId="75E0EBC2" w:rsidR="00503654" w:rsidRDefault="00503654">
                              <w:pPr>
                                <w:pStyle w:val="NoSpacing"/>
                                <w:jc w:val="right"/>
                                <w:rPr>
                                  <w:color w:val="595959" w:themeColor="text1" w:themeTint="A6"/>
                                  <w:sz w:val="28"/>
                                  <w:szCs w:val="28"/>
                                </w:rPr>
                              </w:pPr>
                              <w:r>
                                <w:rPr>
                                  <w:color w:val="595959" w:themeColor="text1" w:themeTint="A6"/>
                                  <w:sz w:val="28"/>
                                  <w:szCs w:val="28"/>
                                </w:rPr>
                                <w:t>Sarah Ismail</w:t>
                              </w:r>
                            </w:p>
                          </w:sdtContent>
                        </w:sdt>
                        <w:p w14:paraId="3C5B5423" w14:textId="2501C164" w:rsidR="0050365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503654">
                                <w:rPr>
                                  <w:color w:val="595959" w:themeColor="text1" w:themeTint="A6"/>
                                  <w:sz w:val="18"/>
                                  <w:szCs w:val="18"/>
                                </w:rPr>
                                <w:t>2312694</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B318044" wp14:editId="35EBB40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25"/>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150B0B" w14:textId="3E5CB840" w:rsidR="0050365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03654">
                                      <w:rPr>
                                        <w:caps/>
                                        <w:color w:val="4472C4" w:themeColor="accent1"/>
                                        <w:sz w:val="64"/>
                                        <w:szCs w:val="64"/>
                                      </w:rPr>
                                      <w:t xml:space="preserve">DATA SECURITY AND </w:t>
                                    </w:r>
                                    <w:r w:rsidR="00666CCA">
                                      <w:rPr>
                                        <w:caps/>
                                        <w:color w:val="4472C4" w:themeColor="accent1"/>
                                        <w:sz w:val="64"/>
                                        <w:szCs w:val="64"/>
                                      </w:rPr>
                                      <w:t>COMPLIANCE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55578B1" w14:textId="61D791AD" w:rsidR="00503654" w:rsidRDefault="00503654">
                                    <w:pPr>
                                      <w:jc w:val="right"/>
                                      <w:rPr>
                                        <w:smallCaps/>
                                        <w:color w:val="404040" w:themeColor="text1" w:themeTint="BF"/>
                                        <w:sz w:val="36"/>
                                        <w:szCs w:val="36"/>
                                      </w:rPr>
                                    </w:pPr>
                                    <w:r>
                                      <w:rPr>
                                        <w:color w:val="404040" w:themeColor="text1" w:themeTint="BF"/>
                                        <w:sz w:val="36"/>
                                        <w:szCs w:val="36"/>
                                      </w:rPr>
                                      <w:t xml:space="preserve">RESEARCH AND REPORT ON DATA AND </w:t>
                                    </w:r>
                                    <w:r w:rsidR="00AC015C">
                                      <w:rPr>
                                        <w:color w:val="404040" w:themeColor="text1" w:themeTint="BF"/>
                                        <w:sz w:val="36"/>
                                        <w:szCs w:val="36"/>
                                      </w:rPr>
                                      <w:t>COMPLIANCE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B318044" id="Text Box 25" o:spid="_x0000_s1027"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2F150B0B" w14:textId="3E5CB840" w:rsidR="0050365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03654">
                                <w:rPr>
                                  <w:caps/>
                                  <w:color w:val="4472C4" w:themeColor="accent1"/>
                                  <w:sz w:val="64"/>
                                  <w:szCs w:val="64"/>
                                </w:rPr>
                                <w:t xml:space="preserve">DATA SECURITY AND </w:t>
                              </w:r>
                              <w:r w:rsidR="00666CCA">
                                <w:rPr>
                                  <w:caps/>
                                  <w:color w:val="4472C4" w:themeColor="accent1"/>
                                  <w:sz w:val="64"/>
                                  <w:szCs w:val="64"/>
                                </w:rPr>
                                <w:t>COMPLIANCE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55578B1" w14:textId="61D791AD" w:rsidR="00503654" w:rsidRDefault="00503654">
                              <w:pPr>
                                <w:jc w:val="right"/>
                                <w:rPr>
                                  <w:smallCaps/>
                                  <w:color w:val="404040" w:themeColor="text1" w:themeTint="BF"/>
                                  <w:sz w:val="36"/>
                                  <w:szCs w:val="36"/>
                                </w:rPr>
                              </w:pPr>
                              <w:r>
                                <w:rPr>
                                  <w:color w:val="404040" w:themeColor="text1" w:themeTint="BF"/>
                                  <w:sz w:val="36"/>
                                  <w:szCs w:val="36"/>
                                </w:rPr>
                                <w:t xml:space="preserve">RESEARCH AND REPORT ON DATA AND </w:t>
                              </w:r>
                              <w:r w:rsidR="00AC015C">
                                <w:rPr>
                                  <w:color w:val="404040" w:themeColor="text1" w:themeTint="BF"/>
                                  <w:sz w:val="36"/>
                                  <w:szCs w:val="36"/>
                                </w:rPr>
                                <w:t>COMPLIANCE</w:t>
                              </w:r>
                            </w:p>
                          </w:sdtContent>
                        </w:sdt>
                      </w:txbxContent>
                    </v:textbox>
                    <w10:wrap type="square" anchorx="page" anchory="page"/>
                  </v:shape>
                </w:pict>
              </mc:Fallback>
            </mc:AlternateContent>
          </w:r>
        </w:p>
        <w:p w14:paraId="61A282D1" w14:textId="36D94CC2" w:rsidR="00503654" w:rsidRDefault="00000000" w:rsidP="00503654">
          <w:pPr>
            <w:jc w:val="left"/>
          </w:pPr>
        </w:p>
      </w:sdtContent>
    </w:sdt>
    <w:p w14:paraId="21838B13" w14:textId="61324C35" w:rsidR="00C25599" w:rsidRDefault="006831A7" w:rsidP="00503654">
      <w:pPr>
        <w:jc w:val="left"/>
      </w:pPr>
      <w:r>
        <w:br w:type="page"/>
      </w:r>
    </w:p>
    <w:sdt>
      <w:sdtPr>
        <w:rPr>
          <w:lang w:val="en-GB"/>
        </w:rPr>
        <w:id w:val="-2095004479"/>
        <w:docPartObj>
          <w:docPartGallery w:val="Table of Contents"/>
          <w:docPartUnique/>
        </w:docPartObj>
      </w:sdtPr>
      <w:sdtEndPr>
        <w:rPr>
          <w:rFonts w:eastAsiaTheme="minorEastAsia"/>
          <w:noProof/>
          <w:color w:val="auto"/>
          <w:sz w:val="24"/>
        </w:rPr>
      </w:sdtEndPr>
      <w:sdtContent>
        <w:p w14:paraId="213E684B" w14:textId="03F10554" w:rsidR="00A06973" w:rsidRDefault="00A06973" w:rsidP="00851247">
          <w:pPr>
            <w:pStyle w:val="TOCHeading"/>
          </w:pPr>
          <w:r>
            <w:t>Contents</w:t>
          </w:r>
        </w:p>
        <w:p w14:paraId="2FB0BC15" w14:textId="77777777" w:rsidR="00AC015C" w:rsidRDefault="00AC015C">
          <w:pPr>
            <w:pStyle w:val="TOC1"/>
            <w:tabs>
              <w:tab w:val="right" w:leader="dot" w:pos="9016"/>
            </w:tabs>
            <w:rPr>
              <w:rFonts w:cstheme="minorBidi"/>
              <w:b w:val="0"/>
              <w:bCs w:val="0"/>
              <w:i w:val="0"/>
              <w:iCs w:val="0"/>
              <w:noProof/>
              <w:kern w:val="2"/>
              <w:szCs w:val="24"/>
              <w:lang w:eastAsia="en-GB"/>
              <w14:ligatures w14:val="standardContextual"/>
            </w:rPr>
          </w:pPr>
          <w:r>
            <w:rPr>
              <w:i w:val="0"/>
              <w:iCs w:val="0"/>
            </w:rPr>
            <w:fldChar w:fldCharType="begin"/>
          </w:r>
          <w:r>
            <w:rPr>
              <w:i w:val="0"/>
              <w:iCs w:val="0"/>
            </w:rPr>
            <w:instrText xml:space="preserve"> TOC \o "1-3" \n \h \z \u </w:instrText>
          </w:r>
          <w:r>
            <w:rPr>
              <w:i w:val="0"/>
              <w:iCs w:val="0"/>
            </w:rPr>
            <w:fldChar w:fldCharType="separate"/>
          </w:r>
          <w:hyperlink w:anchor="_Toc236065647" w:history="1">
            <w:r w:rsidRPr="00D42692">
              <w:rPr>
                <w:rStyle w:val="Hyperlink"/>
                <w:noProof/>
              </w:rPr>
              <w:t>List of Figures</w:t>
            </w:r>
          </w:hyperlink>
        </w:p>
        <w:p w14:paraId="2A2C4B65" w14:textId="77777777" w:rsidR="00AC015C" w:rsidRDefault="00AC015C">
          <w:pPr>
            <w:pStyle w:val="TOC1"/>
            <w:tabs>
              <w:tab w:val="right" w:leader="dot" w:pos="9016"/>
            </w:tabs>
            <w:rPr>
              <w:rFonts w:cstheme="minorBidi"/>
              <w:b w:val="0"/>
              <w:bCs w:val="0"/>
              <w:i w:val="0"/>
              <w:iCs w:val="0"/>
              <w:noProof/>
              <w:kern w:val="2"/>
              <w:szCs w:val="24"/>
              <w:lang w:eastAsia="en-GB"/>
              <w14:ligatures w14:val="standardContextual"/>
            </w:rPr>
          </w:pPr>
          <w:hyperlink w:anchor="_Toc236065648" w:history="1">
            <w:r w:rsidRPr="00D42692">
              <w:rPr>
                <w:rStyle w:val="Hyperlink"/>
                <w:noProof/>
              </w:rPr>
              <w:t>List of T</w:t>
            </w:r>
            <w:r w:rsidRPr="00D42692">
              <w:rPr>
                <w:rStyle w:val="Hyperlink"/>
                <w:noProof/>
              </w:rPr>
              <w:t>a</w:t>
            </w:r>
            <w:r w:rsidRPr="00D42692">
              <w:rPr>
                <w:rStyle w:val="Hyperlink"/>
                <w:noProof/>
              </w:rPr>
              <w:t>bles</w:t>
            </w:r>
          </w:hyperlink>
        </w:p>
        <w:p w14:paraId="00552C66" w14:textId="77777777" w:rsidR="00AC015C" w:rsidRDefault="00AC015C">
          <w:pPr>
            <w:pStyle w:val="TOC2"/>
            <w:tabs>
              <w:tab w:val="right" w:leader="dot" w:pos="9016"/>
            </w:tabs>
            <w:rPr>
              <w:rFonts w:cstheme="minorBidi"/>
              <w:b w:val="0"/>
              <w:bCs w:val="0"/>
              <w:noProof/>
              <w:kern w:val="2"/>
              <w:sz w:val="24"/>
              <w:szCs w:val="24"/>
              <w:lang w:eastAsia="en-GB"/>
              <w14:ligatures w14:val="standardContextual"/>
            </w:rPr>
          </w:pPr>
          <w:hyperlink w:anchor="_Toc236065649" w:history="1">
            <w:r w:rsidRPr="00D42692">
              <w:rPr>
                <w:rStyle w:val="Hyperlink"/>
                <w:i/>
                <w:iCs/>
                <w:noProof/>
                <w:spacing w:val="5"/>
              </w:rPr>
              <w:t>Acronyms</w:t>
            </w:r>
          </w:hyperlink>
        </w:p>
        <w:p w14:paraId="5E94FC33" w14:textId="77777777" w:rsidR="00AC015C" w:rsidRDefault="00AC015C">
          <w:pPr>
            <w:pStyle w:val="TOC1"/>
            <w:tabs>
              <w:tab w:val="right" w:leader="dot" w:pos="9016"/>
            </w:tabs>
            <w:rPr>
              <w:rFonts w:cstheme="minorBidi"/>
              <w:b w:val="0"/>
              <w:bCs w:val="0"/>
              <w:i w:val="0"/>
              <w:iCs w:val="0"/>
              <w:noProof/>
              <w:kern w:val="2"/>
              <w:szCs w:val="24"/>
              <w:lang w:eastAsia="en-GB"/>
              <w14:ligatures w14:val="standardContextual"/>
            </w:rPr>
          </w:pPr>
          <w:hyperlink w:anchor="_Toc236065650" w:history="1">
            <w:r w:rsidRPr="00D42692">
              <w:rPr>
                <w:rStyle w:val="Hyperlink"/>
                <w:noProof/>
              </w:rPr>
              <w:t>SECURING THE MODERN ENTERPRISE: FROM ZERO TRUST TO AI GOVERNANCE</w:t>
            </w:r>
          </w:hyperlink>
        </w:p>
        <w:p w14:paraId="149C24BF" w14:textId="77777777" w:rsidR="00AC015C" w:rsidRDefault="00AC015C">
          <w:pPr>
            <w:pStyle w:val="TOC1"/>
            <w:tabs>
              <w:tab w:val="right" w:leader="dot" w:pos="9016"/>
            </w:tabs>
            <w:rPr>
              <w:rFonts w:cstheme="minorBidi"/>
              <w:b w:val="0"/>
              <w:bCs w:val="0"/>
              <w:i w:val="0"/>
              <w:iCs w:val="0"/>
              <w:noProof/>
              <w:kern w:val="2"/>
              <w:szCs w:val="24"/>
              <w:lang w:eastAsia="en-GB"/>
              <w14:ligatures w14:val="standardContextual"/>
            </w:rPr>
          </w:pPr>
          <w:hyperlink w:anchor="_Toc236065651" w:history="1">
            <w:r w:rsidRPr="00D42692">
              <w:rPr>
                <w:rStyle w:val="Hyperlink"/>
                <w:noProof/>
              </w:rPr>
              <w:t>Task 1</w:t>
            </w:r>
          </w:hyperlink>
        </w:p>
        <w:p w14:paraId="453A6AAF" w14:textId="77777777" w:rsidR="00AC015C" w:rsidRDefault="00AC015C">
          <w:pPr>
            <w:pStyle w:val="TOC2"/>
            <w:tabs>
              <w:tab w:val="right" w:leader="dot" w:pos="9016"/>
            </w:tabs>
            <w:rPr>
              <w:rFonts w:cstheme="minorBidi"/>
              <w:b w:val="0"/>
              <w:bCs w:val="0"/>
              <w:noProof/>
              <w:kern w:val="2"/>
              <w:sz w:val="24"/>
              <w:szCs w:val="24"/>
              <w:lang w:eastAsia="en-GB"/>
              <w14:ligatures w14:val="standardContextual"/>
            </w:rPr>
          </w:pPr>
          <w:hyperlink w:anchor="_Toc236065652" w:history="1">
            <w:r w:rsidRPr="00D42692">
              <w:rPr>
                <w:rStyle w:val="Hyperlink"/>
                <w:i/>
                <w:iCs/>
                <w:noProof/>
                <w:spacing w:val="5"/>
              </w:rPr>
              <w:t>I. INTRODUCTION</w:t>
            </w:r>
          </w:hyperlink>
        </w:p>
        <w:p w14:paraId="6D1B975C" w14:textId="77777777" w:rsidR="00AC015C" w:rsidRDefault="00AC015C">
          <w:pPr>
            <w:pStyle w:val="TOC2"/>
            <w:tabs>
              <w:tab w:val="right" w:leader="dot" w:pos="9016"/>
            </w:tabs>
            <w:rPr>
              <w:rFonts w:cstheme="minorBidi"/>
              <w:b w:val="0"/>
              <w:bCs w:val="0"/>
              <w:noProof/>
              <w:kern w:val="2"/>
              <w:sz w:val="24"/>
              <w:szCs w:val="24"/>
              <w:lang w:eastAsia="en-GB"/>
              <w14:ligatures w14:val="standardContextual"/>
            </w:rPr>
          </w:pPr>
          <w:hyperlink w:anchor="_Toc236065653" w:history="1">
            <w:r w:rsidRPr="00D42692">
              <w:rPr>
                <w:rStyle w:val="Hyperlink"/>
                <w:i/>
                <w:iCs/>
                <w:noProof/>
                <w:spacing w:val="5"/>
              </w:rPr>
              <w:t>II. IMPORTANCE OF ZERO TRUST ARCHITECTURE</w:t>
            </w:r>
          </w:hyperlink>
        </w:p>
        <w:p w14:paraId="568A91D1" w14:textId="77777777" w:rsidR="00AC015C" w:rsidRDefault="00AC015C">
          <w:pPr>
            <w:pStyle w:val="TOC2"/>
            <w:tabs>
              <w:tab w:val="right" w:leader="dot" w:pos="9016"/>
            </w:tabs>
            <w:rPr>
              <w:rFonts w:cstheme="minorBidi"/>
              <w:b w:val="0"/>
              <w:bCs w:val="0"/>
              <w:noProof/>
              <w:kern w:val="2"/>
              <w:sz w:val="24"/>
              <w:szCs w:val="24"/>
              <w:lang w:eastAsia="en-GB"/>
              <w14:ligatures w14:val="standardContextual"/>
            </w:rPr>
          </w:pPr>
          <w:hyperlink w:anchor="_Toc236065654" w:history="1">
            <w:r w:rsidRPr="00D42692">
              <w:rPr>
                <w:rStyle w:val="Hyperlink"/>
                <w:i/>
                <w:iCs/>
                <w:noProof/>
                <w:spacing w:val="5"/>
              </w:rPr>
              <w:t>III. FRAMEWORKS RELEVANT TO ZERO TRUST</w:t>
            </w:r>
          </w:hyperlink>
        </w:p>
        <w:p w14:paraId="1D08E043" w14:textId="77777777" w:rsidR="00AC015C" w:rsidRDefault="00AC015C">
          <w:pPr>
            <w:pStyle w:val="TOC2"/>
            <w:tabs>
              <w:tab w:val="right" w:leader="dot" w:pos="9016"/>
            </w:tabs>
            <w:rPr>
              <w:rFonts w:cstheme="minorBidi"/>
              <w:b w:val="0"/>
              <w:bCs w:val="0"/>
              <w:noProof/>
              <w:kern w:val="2"/>
              <w:sz w:val="24"/>
              <w:szCs w:val="24"/>
              <w:lang w:eastAsia="en-GB"/>
              <w14:ligatures w14:val="standardContextual"/>
            </w:rPr>
          </w:pPr>
          <w:hyperlink w:anchor="_Toc236065655" w:history="1">
            <w:r w:rsidRPr="00D42692">
              <w:rPr>
                <w:rStyle w:val="Hyperlink"/>
                <w:i/>
                <w:iCs/>
                <w:noProof/>
                <w:spacing w:val="5"/>
              </w:rPr>
              <w:t>IV. ZERO TRUST TECHNOLOGIES</w:t>
            </w:r>
          </w:hyperlink>
        </w:p>
        <w:p w14:paraId="78901BF0" w14:textId="77777777" w:rsidR="00AC015C" w:rsidRDefault="00AC015C">
          <w:pPr>
            <w:pStyle w:val="TOC2"/>
            <w:tabs>
              <w:tab w:val="right" w:leader="dot" w:pos="9016"/>
            </w:tabs>
            <w:rPr>
              <w:rFonts w:cstheme="minorBidi"/>
              <w:b w:val="0"/>
              <w:bCs w:val="0"/>
              <w:noProof/>
              <w:kern w:val="2"/>
              <w:sz w:val="24"/>
              <w:szCs w:val="24"/>
              <w:lang w:eastAsia="en-GB"/>
              <w14:ligatures w14:val="standardContextual"/>
            </w:rPr>
          </w:pPr>
          <w:hyperlink w:anchor="_Toc236065656" w:history="1">
            <w:r w:rsidRPr="00D42692">
              <w:rPr>
                <w:rStyle w:val="Hyperlink"/>
                <w:i/>
                <w:iCs/>
                <w:noProof/>
                <w:spacing w:val="5"/>
              </w:rPr>
              <w:t>V. IMPLEMENTATION STRATEGIES FOR ZERO TRUST</w:t>
            </w:r>
          </w:hyperlink>
        </w:p>
        <w:p w14:paraId="4B8CCFD5" w14:textId="77777777" w:rsidR="00AC015C" w:rsidRDefault="00AC015C">
          <w:pPr>
            <w:pStyle w:val="TOC2"/>
            <w:tabs>
              <w:tab w:val="right" w:leader="dot" w:pos="9016"/>
            </w:tabs>
            <w:rPr>
              <w:rFonts w:cstheme="minorBidi"/>
              <w:b w:val="0"/>
              <w:bCs w:val="0"/>
              <w:noProof/>
              <w:kern w:val="2"/>
              <w:sz w:val="24"/>
              <w:szCs w:val="24"/>
              <w:lang w:eastAsia="en-GB"/>
              <w14:ligatures w14:val="standardContextual"/>
            </w:rPr>
          </w:pPr>
          <w:hyperlink w:anchor="_Toc236065657" w:history="1">
            <w:r w:rsidRPr="00D42692">
              <w:rPr>
                <w:rStyle w:val="Hyperlink"/>
                <w:i/>
                <w:iCs/>
                <w:noProof/>
                <w:spacing w:val="5"/>
              </w:rPr>
              <w:t>VI. CASE STUDY – MICROSOFT MIDNIGHT BLIZZARD</w:t>
            </w:r>
          </w:hyperlink>
        </w:p>
        <w:p w14:paraId="740DEBC7" w14:textId="77777777" w:rsidR="00AC015C" w:rsidRDefault="00AC015C">
          <w:pPr>
            <w:pStyle w:val="TOC2"/>
            <w:tabs>
              <w:tab w:val="right" w:leader="dot" w:pos="9016"/>
            </w:tabs>
            <w:rPr>
              <w:rFonts w:cstheme="minorBidi"/>
              <w:b w:val="0"/>
              <w:bCs w:val="0"/>
              <w:noProof/>
              <w:kern w:val="2"/>
              <w:sz w:val="24"/>
              <w:szCs w:val="24"/>
              <w:lang w:eastAsia="en-GB"/>
              <w14:ligatures w14:val="standardContextual"/>
            </w:rPr>
          </w:pPr>
          <w:hyperlink w:anchor="_Toc236065658" w:history="1">
            <w:r w:rsidRPr="00D42692">
              <w:rPr>
                <w:rStyle w:val="Hyperlink"/>
                <w:i/>
                <w:iCs/>
                <w:noProof/>
                <w:spacing w:val="5"/>
              </w:rPr>
              <w:t>VII. CHALLENGES AND FUTURE TRENDS</w:t>
            </w:r>
          </w:hyperlink>
        </w:p>
        <w:p w14:paraId="551B237C" w14:textId="77777777" w:rsidR="00AC015C" w:rsidRDefault="00AC015C">
          <w:pPr>
            <w:pStyle w:val="TOC2"/>
            <w:tabs>
              <w:tab w:val="right" w:leader="dot" w:pos="9016"/>
            </w:tabs>
            <w:rPr>
              <w:rFonts w:cstheme="minorBidi"/>
              <w:b w:val="0"/>
              <w:bCs w:val="0"/>
              <w:noProof/>
              <w:kern w:val="2"/>
              <w:sz w:val="24"/>
              <w:szCs w:val="24"/>
              <w:lang w:eastAsia="en-GB"/>
              <w14:ligatures w14:val="standardContextual"/>
            </w:rPr>
          </w:pPr>
          <w:hyperlink w:anchor="_Toc236065659" w:history="1">
            <w:r w:rsidRPr="00D42692">
              <w:rPr>
                <w:rStyle w:val="Hyperlink"/>
                <w:i/>
                <w:iCs/>
                <w:noProof/>
                <w:spacing w:val="5"/>
              </w:rPr>
              <w:t>IX. REFERENCES</w:t>
            </w:r>
          </w:hyperlink>
        </w:p>
        <w:p w14:paraId="0D2D1EFF" w14:textId="77777777" w:rsidR="00AC015C" w:rsidRDefault="00AC015C">
          <w:pPr>
            <w:pStyle w:val="TOC2"/>
            <w:tabs>
              <w:tab w:val="right" w:leader="dot" w:pos="9016"/>
            </w:tabs>
            <w:rPr>
              <w:rFonts w:cstheme="minorBidi"/>
              <w:b w:val="0"/>
              <w:bCs w:val="0"/>
              <w:noProof/>
              <w:kern w:val="2"/>
              <w:sz w:val="24"/>
              <w:szCs w:val="24"/>
              <w:lang w:eastAsia="en-GB"/>
              <w14:ligatures w14:val="standardContextual"/>
            </w:rPr>
          </w:pPr>
          <w:hyperlink w:anchor="_Toc236065660" w:history="1">
            <w:r w:rsidRPr="00D42692">
              <w:rPr>
                <w:rStyle w:val="Hyperlink"/>
                <w:i/>
                <w:iCs/>
                <w:noProof/>
                <w:spacing w:val="5"/>
              </w:rPr>
              <w:t>Report on AEGIS FINTECH INNOVATIONS LTD</w:t>
            </w:r>
          </w:hyperlink>
        </w:p>
        <w:p w14:paraId="170AD30A" w14:textId="77777777" w:rsidR="00AC015C" w:rsidRDefault="00AC015C">
          <w:pPr>
            <w:pStyle w:val="TOC2"/>
            <w:tabs>
              <w:tab w:val="right" w:leader="dot" w:pos="9016"/>
            </w:tabs>
            <w:rPr>
              <w:rFonts w:cstheme="minorBidi"/>
              <w:b w:val="0"/>
              <w:bCs w:val="0"/>
              <w:noProof/>
              <w:kern w:val="2"/>
              <w:sz w:val="24"/>
              <w:szCs w:val="24"/>
              <w:lang w:eastAsia="en-GB"/>
              <w14:ligatures w14:val="standardContextual"/>
            </w:rPr>
          </w:pPr>
          <w:hyperlink w:anchor="_Toc236065661" w:history="1">
            <w:r w:rsidRPr="00D42692">
              <w:rPr>
                <w:rStyle w:val="Hyperlink"/>
                <w:i/>
                <w:iCs/>
                <w:noProof/>
                <w:spacing w:val="5"/>
              </w:rPr>
              <w:t>Executive Summary</w:t>
            </w:r>
          </w:hyperlink>
        </w:p>
        <w:p w14:paraId="154ED52B" w14:textId="77777777" w:rsidR="00AC015C" w:rsidRDefault="00AC015C">
          <w:pPr>
            <w:pStyle w:val="TOC1"/>
            <w:tabs>
              <w:tab w:val="right" w:leader="dot" w:pos="9016"/>
            </w:tabs>
            <w:rPr>
              <w:rFonts w:cstheme="minorBidi"/>
              <w:b w:val="0"/>
              <w:bCs w:val="0"/>
              <w:i w:val="0"/>
              <w:iCs w:val="0"/>
              <w:noProof/>
              <w:kern w:val="2"/>
              <w:szCs w:val="24"/>
              <w:lang w:eastAsia="en-GB"/>
              <w14:ligatures w14:val="standardContextual"/>
            </w:rPr>
          </w:pPr>
          <w:hyperlink w:anchor="_Toc236065662" w:history="1">
            <w:r w:rsidRPr="00D42692">
              <w:rPr>
                <w:rStyle w:val="Hyperlink"/>
                <w:noProof/>
              </w:rPr>
              <w:t xml:space="preserve">1. </w:t>
            </w:r>
            <w:r w:rsidRPr="00D42692">
              <w:rPr>
                <w:rStyle w:val="Hyperlink"/>
                <w:noProof/>
                <w:spacing w:val="5"/>
              </w:rPr>
              <w:t>Introduction and Design Principles</w:t>
            </w:r>
          </w:hyperlink>
        </w:p>
        <w:p w14:paraId="0C547E62" w14:textId="4B3D9852" w:rsidR="00AC015C" w:rsidRDefault="00AC015C">
          <w:pPr>
            <w:pStyle w:val="TOC1"/>
            <w:tabs>
              <w:tab w:val="right" w:leader="dot" w:pos="9016"/>
            </w:tabs>
            <w:rPr>
              <w:rFonts w:cstheme="minorBidi"/>
              <w:b w:val="0"/>
              <w:bCs w:val="0"/>
              <w:i w:val="0"/>
              <w:iCs w:val="0"/>
              <w:noProof/>
              <w:kern w:val="2"/>
              <w:szCs w:val="24"/>
              <w:lang w:eastAsia="en-GB"/>
              <w14:ligatures w14:val="standardContextual"/>
            </w:rPr>
          </w:pPr>
          <w:hyperlink w:anchor="_Toc236065663" w:history="1">
            <w:r w:rsidRPr="00D42692">
              <w:rPr>
                <w:rStyle w:val="Hyperlink"/>
                <w:noProof/>
              </w:rPr>
              <w:t>2. Work</w:t>
            </w:r>
            <w:r w:rsidR="002674BA">
              <w:rPr>
                <w:rStyle w:val="Hyperlink"/>
                <w:noProof/>
              </w:rPr>
              <w:t>-</w:t>
            </w:r>
            <w:r w:rsidRPr="00D42692">
              <w:rPr>
                <w:rStyle w:val="Hyperlink"/>
                <w:noProof/>
              </w:rPr>
              <w:t>Stream 1: Organisational Design and Resourcing</w:t>
            </w:r>
          </w:hyperlink>
        </w:p>
        <w:p w14:paraId="20812C14" w14:textId="23C21904" w:rsidR="00AC015C" w:rsidRDefault="00AC015C">
          <w:pPr>
            <w:pStyle w:val="TOC1"/>
            <w:tabs>
              <w:tab w:val="right" w:leader="dot" w:pos="9016"/>
            </w:tabs>
            <w:rPr>
              <w:rFonts w:cstheme="minorBidi"/>
              <w:b w:val="0"/>
              <w:bCs w:val="0"/>
              <w:i w:val="0"/>
              <w:iCs w:val="0"/>
              <w:noProof/>
              <w:kern w:val="2"/>
              <w:szCs w:val="24"/>
              <w:lang w:eastAsia="en-GB"/>
              <w14:ligatures w14:val="standardContextual"/>
            </w:rPr>
          </w:pPr>
          <w:hyperlink w:anchor="_Toc236065664" w:history="1">
            <w:r w:rsidRPr="00D42692">
              <w:rPr>
                <w:rStyle w:val="Hyperlink"/>
                <w:noProof/>
              </w:rPr>
              <w:t>3. Work</w:t>
            </w:r>
            <w:r w:rsidR="002674BA">
              <w:rPr>
                <w:rStyle w:val="Hyperlink"/>
                <w:noProof/>
              </w:rPr>
              <w:t>-</w:t>
            </w:r>
            <w:r w:rsidRPr="00D42692">
              <w:rPr>
                <w:rStyle w:val="Hyperlink"/>
                <w:noProof/>
              </w:rPr>
              <w:t>Stream 2: Policy Framework Development</w:t>
            </w:r>
          </w:hyperlink>
        </w:p>
        <w:p w14:paraId="1684B0C4" w14:textId="77777777" w:rsidR="00AC015C" w:rsidRDefault="00AC015C">
          <w:pPr>
            <w:pStyle w:val="TOC2"/>
            <w:tabs>
              <w:tab w:val="right" w:leader="dot" w:pos="9016"/>
            </w:tabs>
            <w:rPr>
              <w:rFonts w:cstheme="minorBidi"/>
              <w:b w:val="0"/>
              <w:bCs w:val="0"/>
              <w:noProof/>
              <w:kern w:val="2"/>
              <w:sz w:val="24"/>
              <w:szCs w:val="24"/>
              <w:lang w:eastAsia="en-GB"/>
              <w14:ligatures w14:val="standardContextual"/>
            </w:rPr>
          </w:pPr>
          <w:hyperlink w:anchor="_Toc236065665" w:history="1">
            <w:r w:rsidRPr="00D42692">
              <w:rPr>
                <w:rStyle w:val="Hyperlink"/>
                <w:i/>
                <w:iCs/>
                <w:noProof/>
                <w:spacing w:val="5"/>
              </w:rPr>
              <w:t>3.1 Acceptable Use Policy for AI and Cloud Services</w:t>
            </w:r>
          </w:hyperlink>
        </w:p>
        <w:p w14:paraId="7B7E1D33" w14:textId="77777777" w:rsidR="00AC015C" w:rsidRDefault="00AC015C">
          <w:pPr>
            <w:pStyle w:val="TOC2"/>
            <w:tabs>
              <w:tab w:val="right" w:leader="dot" w:pos="9016"/>
            </w:tabs>
            <w:rPr>
              <w:rFonts w:cstheme="minorBidi"/>
              <w:b w:val="0"/>
              <w:bCs w:val="0"/>
              <w:noProof/>
              <w:kern w:val="2"/>
              <w:sz w:val="24"/>
              <w:szCs w:val="24"/>
              <w:lang w:eastAsia="en-GB"/>
              <w14:ligatures w14:val="standardContextual"/>
            </w:rPr>
          </w:pPr>
          <w:hyperlink w:anchor="_Toc236065666" w:history="1">
            <w:r w:rsidRPr="00D42692">
              <w:rPr>
                <w:rStyle w:val="Hyperlink"/>
                <w:i/>
                <w:iCs/>
                <w:noProof/>
                <w:spacing w:val="5"/>
              </w:rPr>
              <w:t>3.2 Hybrid Work and Remote Access Security Policy</w:t>
            </w:r>
          </w:hyperlink>
        </w:p>
        <w:p w14:paraId="3033311A" w14:textId="706C8A84" w:rsidR="00AC015C" w:rsidRDefault="00AC015C">
          <w:pPr>
            <w:pStyle w:val="TOC2"/>
            <w:tabs>
              <w:tab w:val="right" w:leader="dot" w:pos="9016"/>
            </w:tabs>
            <w:rPr>
              <w:rFonts w:cstheme="minorBidi"/>
              <w:b w:val="0"/>
              <w:bCs w:val="0"/>
              <w:noProof/>
              <w:kern w:val="2"/>
              <w:sz w:val="24"/>
              <w:szCs w:val="24"/>
              <w:lang w:eastAsia="en-GB"/>
              <w14:ligatures w14:val="standardContextual"/>
            </w:rPr>
          </w:pPr>
          <w:hyperlink w:anchor="_Toc236065667" w:history="1">
            <w:r w:rsidRPr="00D42692">
              <w:rPr>
                <w:rStyle w:val="Hyperlink"/>
                <w:i/>
                <w:iCs/>
                <w:noProof/>
                <w:spacing w:val="5"/>
              </w:rPr>
              <w:t>3.3 Third</w:t>
            </w:r>
            <w:r w:rsidR="002674BA">
              <w:rPr>
                <w:rStyle w:val="Hyperlink"/>
                <w:i/>
                <w:iCs/>
                <w:noProof/>
                <w:spacing w:val="5"/>
              </w:rPr>
              <w:t>-</w:t>
            </w:r>
            <w:r w:rsidRPr="00D42692">
              <w:rPr>
                <w:rStyle w:val="Hyperlink"/>
                <w:i/>
                <w:iCs/>
                <w:noProof/>
                <w:spacing w:val="5"/>
              </w:rPr>
              <w:t>Party and Cloud Vendor Risk Management Policy</w:t>
            </w:r>
          </w:hyperlink>
        </w:p>
        <w:p w14:paraId="36EF8AC9" w14:textId="2FE87C2A" w:rsidR="00AC015C" w:rsidRDefault="00AC015C">
          <w:pPr>
            <w:pStyle w:val="TOC1"/>
            <w:tabs>
              <w:tab w:val="right" w:leader="dot" w:pos="9016"/>
            </w:tabs>
            <w:rPr>
              <w:rFonts w:cstheme="minorBidi"/>
              <w:b w:val="0"/>
              <w:bCs w:val="0"/>
              <w:i w:val="0"/>
              <w:iCs w:val="0"/>
              <w:noProof/>
              <w:kern w:val="2"/>
              <w:szCs w:val="24"/>
              <w:lang w:eastAsia="en-GB"/>
              <w14:ligatures w14:val="standardContextual"/>
            </w:rPr>
          </w:pPr>
          <w:hyperlink w:anchor="_Toc236065668" w:history="1">
            <w:r w:rsidRPr="00D42692">
              <w:rPr>
                <w:rStyle w:val="Hyperlink"/>
                <w:noProof/>
              </w:rPr>
              <w:t>4. Work</w:t>
            </w:r>
            <w:r w:rsidR="002674BA">
              <w:rPr>
                <w:rStyle w:val="Hyperlink"/>
                <w:noProof/>
              </w:rPr>
              <w:t>-</w:t>
            </w:r>
            <w:r w:rsidRPr="00D42692">
              <w:rPr>
                <w:rStyle w:val="Hyperlink"/>
                <w:noProof/>
              </w:rPr>
              <w:t>Stream 3: GDPR and DORA Compliance Strategy</w:t>
            </w:r>
          </w:hyperlink>
        </w:p>
        <w:p w14:paraId="1EAC20C8" w14:textId="0956EEC6" w:rsidR="00AC015C" w:rsidRDefault="00AC015C">
          <w:pPr>
            <w:pStyle w:val="TOC1"/>
            <w:tabs>
              <w:tab w:val="right" w:leader="dot" w:pos="9016"/>
            </w:tabs>
            <w:rPr>
              <w:rFonts w:cstheme="minorBidi"/>
              <w:b w:val="0"/>
              <w:bCs w:val="0"/>
              <w:i w:val="0"/>
              <w:iCs w:val="0"/>
              <w:noProof/>
              <w:kern w:val="2"/>
              <w:szCs w:val="24"/>
              <w:lang w:eastAsia="en-GB"/>
              <w14:ligatures w14:val="standardContextual"/>
            </w:rPr>
          </w:pPr>
          <w:hyperlink w:anchor="_Toc236065669" w:history="1">
            <w:r w:rsidRPr="00D42692">
              <w:rPr>
                <w:rStyle w:val="Hyperlink"/>
                <w:noProof/>
              </w:rPr>
              <w:t>5. Work</w:t>
            </w:r>
            <w:r w:rsidR="002674BA">
              <w:rPr>
                <w:rStyle w:val="Hyperlink"/>
                <w:noProof/>
              </w:rPr>
              <w:t>-</w:t>
            </w:r>
            <w:r w:rsidRPr="00D42692">
              <w:rPr>
                <w:rStyle w:val="Hyperlink"/>
                <w:noProof/>
              </w:rPr>
              <w:t>Stream 4: Technical Standards and Architecture</w:t>
            </w:r>
          </w:hyperlink>
        </w:p>
        <w:p w14:paraId="4C725160" w14:textId="56D9FC3D" w:rsidR="00AC015C" w:rsidRDefault="00AC015C">
          <w:pPr>
            <w:pStyle w:val="TOC1"/>
            <w:tabs>
              <w:tab w:val="right" w:leader="dot" w:pos="9016"/>
            </w:tabs>
            <w:rPr>
              <w:rFonts w:cstheme="minorBidi"/>
              <w:b w:val="0"/>
              <w:bCs w:val="0"/>
              <w:i w:val="0"/>
              <w:iCs w:val="0"/>
              <w:noProof/>
              <w:kern w:val="2"/>
              <w:szCs w:val="24"/>
              <w:lang w:eastAsia="en-GB"/>
              <w14:ligatures w14:val="standardContextual"/>
            </w:rPr>
          </w:pPr>
          <w:hyperlink w:anchor="_Toc236065670" w:history="1">
            <w:r w:rsidRPr="00D42692">
              <w:rPr>
                <w:rStyle w:val="Hyperlink"/>
                <w:noProof/>
              </w:rPr>
              <w:t>6. Work</w:t>
            </w:r>
            <w:r w:rsidR="002674BA">
              <w:rPr>
                <w:rStyle w:val="Hyperlink"/>
                <w:noProof/>
              </w:rPr>
              <w:t>-</w:t>
            </w:r>
            <w:r w:rsidRPr="00D42692">
              <w:rPr>
                <w:rStyle w:val="Hyperlink"/>
                <w:noProof/>
              </w:rPr>
              <w:t>Stream 5: Strategic Risk Assessment</w:t>
            </w:r>
          </w:hyperlink>
        </w:p>
        <w:p w14:paraId="58A8BCF8" w14:textId="5C60B79B" w:rsidR="00AC015C" w:rsidRDefault="00AC015C">
          <w:pPr>
            <w:pStyle w:val="TOC1"/>
            <w:tabs>
              <w:tab w:val="right" w:leader="dot" w:pos="9016"/>
            </w:tabs>
            <w:rPr>
              <w:rFonts w:cstheme="minorBidi"/>
              <w:b w:val="0"/>
              <w:bCs w:val="0"/>
              <w:i w:val="0"/>
              <w:iCs w:val="0"/>
              <w:noProof/>
              <w:kern w:val="2"/>
              <w:szCs w:val="24"/>
              <w:lang w:eastAsia="en-GB"/>
              <w14:ligatures w14:val="standardContextual"/>
            </w:rPr>
          </w:pPr>
          <w:hyperlink w:anchor="_Toc236065671" w:history="1">
            <w:r w:rsidRPr="00D42692">
              <w:rPr>
                <w:rStyle w:val="Hyperlink"/>
                <w:noProof/>
              </w:rPr>
              <w:t>7. Work</w:t>
            </w:r>
            <w:r w:rsidR="002674BA">
              <w:rPr>
                <w:rStyle w:val="Hyperlink"/>
                <w:noProof/>
              </w:rPr>
              <w:t>-</w:t>
            </w:r>
            <w:r w:rsidRPr="00D42692">
              <w:rPr>
                <w:rStyle w:val="Hyperlink"/>
                <w:noProof/>
              </w:rPr>
              <w:t>Stream 6: Ransomware Response and Business Continuity</w:t>
            </w:r>
          </w:hyperlink>
        </w:p>
        <w:p w14:paraId="5C6661EA" w14:textId="4E15E99A" w:rsidR="00AC015C" w:rsidRDefault="00AC015C">
          <w:pPr>
            <w:pStyle w:val="TOC1"/>
            <w:tabs>
              <w:tab w:val="right" w:leader="dot" w:pos="9016"/>
            </w:tabs>
            <w:rPr>
              <w:rFonts w:cstheme="minorBidi"/>
              <w:b w:val="0"/>
              <w:bCs w:val="0"/>
              <w:i w:val="0"/>
              <w:iCs w:val="0"/>
              <w:noProof/>
              <w:kern w:val="2"/>
              <w:szCs w:val="24"/>
              <w:lang w:eastAsia="en-GB"/>
              <w14:ligatures w14:val="standardContextual"/>
            </w:rPr>
          </w:pPr>
          <w:hyperlink w:anchor="_Toc236065672" w:history="1">
            <w:r w:rsidRPr="00D42692">
              <w:rPr>
                <w:rStyle w:val="Hyperlink"/>
                <w:noProof/>
              </w:rPr>
              <w:t>8. Work</w:t>
            </w:r>
            <w:r w:rsidR="002674BA">
              <w:rPr>
                <w:rStyle w:val="Hyperlink"/>
                <w:noProof/>
              </w:rPr>
              <w:t>-</w:t>
            </w:r>
            <w:r w:rsidRPr="00D42692">
              <w:rPr>
                <w:rStyle w:val="Hyperlink"/>
                <w:noProof/>
              </w:rPr>
              <w:t>Stream 7: Governance and Strategic Roadmap</w:t>
            </w:r>
          </w:hyperlink>
        </w:p>
        <w:p w14:paraId="5EC73675" w14:textId="77777777" w:rsidR="00AC015C" w:rsidRDefault="00AC015C">
          <w:pPr>
            <w:pStyle w:val="TOC2"/>
            <w:tabs>
              <w:tab w:val="right" w:leader="dot" w:pos="9016"/>
            </w:tabs>
            <w:rPr>
              <w:rFonts w:cstheme="minorBidi"/>
              <w:b w:val="0"/>
              <w:bCs w:val="0"/>
              <w:noProof/>
              <w:kern w:val="2"/>
              <w:sz w:val="24"/>
              <w:szCs w:val="24"/>
              <w:lang w:eastAsia="en-GB"/>
              <w14:ligatures w14:val="standardContextual"/>
            </w:rPr>
          </w:pPr>
          <w:hyperlink w:anchor="_Toc236065673" w:history="1">
            <w:r w:rsidRPr="00D42692">
              <w:rPr>
                <w:rStyle w:val="Hyperlink"/>
                <w:i/>
                <w:iCs/>
                <w:noProof/>
                <w:spacing w:val="5"/>
              </w:rPr>
              <w:t>8.1 Cyber Security Steering Committee</w:t>
            </w:r>
          </w:hyperlink>
        </w:p>
        <w:p w14:paraId="1B81084A" w14:textId="1DF86DB4" w:rsidR="00AC015C" w:rsidRDefault="00AC015C">
          <w:pPr>
            <w:pStyle w:val="TOC2"/>
            <w:tabs>
              <w:tab w:val="right" w:leader="dot" w:pos="9016"/>
            </w:tabs>
            <w:rPr>
              <w:rFonts w:cstheme="minorBidi"/>
              <w:b w:val="0"/>
              <w:bCs w:val="0"/>
              <w:noProof/>
              <w:kern w:val="2"/>
              <w:sz w:val="24"/>
              <w:szCs w:val="24"/>
              <w:lang w:eastAsia="en-GB"/>
              <w14:ligatures w14:val="standardContextual"/>
            </w:rPr>
          </w:pPr>
          <w:hyperlink w:anchor="_Toc236065674" w:history="1">
            <w:r w:rsidRPr="00D42692">
              <w:rPr>
                <w:rStyle w:val="Hyperlink"/>
                <w:i/>
                <w:iCs/>
                <w:noProof/>
                <w:spacing w:val="5"/>
              </w:rPr>
              <w:t>8.2 Twelve</w:t>
            </w:r>
            <w:r w:rsidR="002674BA">
              <w:rPr>
                <w:rStyle w:val="Hyperlink"/>
                <w:i/>
                <w:iCs/>
                <w:noProof/>
                <w:spacing w:val="5"/>
              </w:rPr>
              <w:t>-</w:t>
            </w:r>
            <w:r w:rsidRPr="00D42692">
              <w:rPr>
                <w:rStyle w:val="Hyperlink"/>
                <w:i/>
                <w:iCs/>
                <w:noProof/>
                <w:spacing w:val="5"/>
              </w:rPr>
              <w:t>Month Roadmap</w:t>
            </w:r>
          </w:hyperlink>
        </w:p>
        <w:p w14:paraId="4027B3EF" w14:textId="77777777" w:rsidR="00AC015C" w:rsidRDefault="00AC015C">
          <w:pPr>
            <w:pStyle w:val="TOC1"/>
            <w:tabs>
              <w:tab w:val="right" w:leader="dot" w:pos="9016"/>
            </w:tabs>
            <w:rPr>
              <w:rFonts w:cstheme="minorBidi"/>
              <w:b w:val="0"/>
              <w:bCs w:val="0"/>
              <w:i w:val="0"/>
              <w:iCs w:val="0"/>
              <w:noProof/>
              <w:kern w:val="2"/>
              <w:szCs w:val="24"/>
              <w:lang w:eastAsia="en-GB"/>
              <w14:ligatures w14:val="standardContextual"/>
            </w:rPr>
          </w:pPr>
          <w:hyperlink w:anchor="_Toc236065675" w:history="1">
            <w:r w:rsidRPr="00D42692">
              <w:rPr>
                <w:rStyle w:val="Hyperlink"/>
                <w:noProof/>
              </w:rPr>
              <w:t>9. Conclusion and Recommendations</w:t>
            </w:r>
          </w:hyperlink>
        </w:p>
        <w:p w14:paraId="4E2EA261" w14:textId="77777777" w:rsidR="00AC015C" w:rsidRDefault="00AC015C">
          <w:pPr>
            <w:pStyle w:val="TOC1"/>
            <w:tabs>
              <w:tab w:val="right" w:leader="dot" w:pos="9016"/>
            </w:tabs>
            <w:rPr>
              <w:rFonts w:cstheme="minorBidi"/>
              <w:b w:val="0"/>
              <w:bCs w:val="0"/>
              <w:i w:val="0"/>
              <w:iCs w:val="0"/>
              <w:noProof/>
              <w:kern w:val="2"/>
              <w:szCs w:val="24"/>
              <w:lang w:eastAsia="en-GB"/>
              <w14:ligatures w14:val="standardContextual"/>
            </w:rPr>
          </w:pPr>
          <w:hyperlink w:anchor="_Toc236065676" w:history="1">
            <w:r w:rsidRPr="00D42692">
              <w:rPr>
                <w:rStyle w:val="Hyperlink"/>
                <w:noProof/>
              </w:rPr>
              <w:t>Refer</w:t>
            </w:r>
            <w:r w:rsidRPr="00D42692">
              <w:rPr>
                <w:rStyle w:val="Hyperlink"/>
                <w:noProof/>
              </w:rPr>
              <w:t>e</w:t>
            </w:r>
            <w:r w:rsidRPr="00D42692">
              <w:rPr>
                <w:rStyle w:val="Hyperlink"/>
                <w:noProof/>
              </w:rPr>
              <w:t>nces</w:t>
            </w:r>
          </w:hyperlink>
        </w:p>
        <w:p w14:paraId="7233D15F" w14:textId="6E1832CF" w:rsidR="00A06973" w:rsidRDefault="00AC015C">
          <w:r>
            <w:rPr>
              <w:rFonts w:asciiTheme="minorHAnsi" w:hAnsiTheme="minorHAnsi" w:cstheme="minorHAnsi"/>
              <w:i/>
              <w:iCs/>
              <w:szCs w:val="28"/>
            </w:rPr>
            <w:fldChar w:fldCharType="end"/>
          </w:r>
        </w:p>
      </w:sdtContent>
    </w:sdt>
    <w:p w14:paraId="605CE7E7" w14:textId="77777777" w:rsidR="00503654" w:rsidRDefault="00503654" w:rsidP="00851247">
      <w:pPr>
        <w:pStyle w:val="Heading1"/>
        <w:rPr>
          <w:rStyle w:val="s1"/>
        </w:rPr>
      </w:pPr>
    </w:p>
    <w:p w14:paraId="4B98A894" w14:textId="49626F84" w:rsidR="000369CD" w:rsidRPr="00AC015C" w:rsidRDefault="000369CD" w:rsidP="00851247">
      <w:pPr>
        <w:pStyle w:val="Heading1"/>
      </w:pPr>
      <w:bookmarkStart w:id="0" w:name="_Toc236065647"/>
      <w:r w:rsidRPr="00AC015C">
        <w:rPr>
          <w:rStyle w:val="s1"/>
        </w:rPr>
        <w:lastRenderedPageBreak/>
        <w:t>List of Figures</w:t>
      </w:r>
      <w:bookmarkEnd w:id="0"/>
    </w:p>
    <w:p w14:paraId="3A881899" w14:textId="353A8B9D" w:rsidR="000369CD" w:rsidRDefault="000369CD" w:rsidP="000369CD">
      <w:pPr>
        <w:pStyle w:val="p2"/>
      </w:pPr>
      <w:r>
        <w:rPr>
          <w:b/>
          <w:bCs/>
        </w:rPr>
        <w:t>Figure 1.</w:t>
      </w:r>
      <w:r>
        <w:t xml:space="preserve"> General Zero Trust Architecture reference architecture </w:t>
      </w:r>
      <w:r>
        <w:br/>
      </w:r>
      <w:r>
        <w:rPr>
          <w:rStyle w:val="s1"/>
          <w:b/>
          <w:bCs/>
        </w:rPr>
        <w:t>Figure 2.</w:t>
      </w:r>
      <w:r>
        <w:t xml:space="preserve"> Proposed Information Security Unit organisational structure </w:t>
      </w:r>
      <w:r>
        <w:br/>
      </w:r>
      <w:r>
        <w:rPr>
          <w:rStyle w:val="s1"/>
          <w:b/>
          <w:bCs/>
        </w:rPr>
        <w:t>Figure 3.</w:t>
      </w:r>
      <w:r>
        <w:t xml:space="preserve"> High</w:t>
      </w:r>
      <w:r w:rsidR="002674BA">
        <w:t>-</w:t>
      </w:r>
      <w:r>
        <w:t xml:space="preserve">level Zero Trust security architecture </w:t>
      </w:r>
    </w:p>
    <w:p w14:paraId="12246F77" w14:textId="77777777" w:rsidR="000369CD" w:rsidRPr="00AC015C" w:rsidRDefault="000369CD" w:rsidP="00851247">
      <w:pPr>
        <w:pStyle w:val="Heading1"/>
        <w:rPr>
          <w:rStyle w:val="BookTitle"/>
          <w:b/>
          <w:bCs/>
          <w:i w:val="0"/>
          <w:iCs w:val="0"/>
          <w:spacing w:val="0"/>
        </w:rPr>
      </w:pPr>
      <w:bookmarkStart w:id="1" w:name="_Toc236065648"/>
      <w:r w:rsidRPr="00AC015C">
        <w:rPr>
          <w:rStyle w:val="BookTitle"/>
          <w:b/>
          <w:bCs/>
          <w:i w:val="0"/>
          <w:iCs w:val="0"/>
          <w:spacing w:val="0"/>
        </w:rPr>
        <w:t>List of Tables</w:t>
      </w:r>
      <w:bookmarkEnd w:id="1"/>
    </w:p>
    <w:p w14:paraId="39FB9D88" w14:textId="652FE8C3" w:rsidR="00AC015C" w:rsidRDefault="00AC015C" w:rsidP="002674BA">
      <w:pPr>
        <w:pStyle w:val="p1"/>
        <w:rPr>
          <w:rStyle w:val="apple-converted-space"/>
        </w:rPr>
      </w:pPr>
      <w:r>
        <w:rPr>
          <w:b/>
          <w:bCs/>
        </w:rPr>
        <w:t>Table 1.</w:t>
      </w:r>
      <w:r>
        <w:t xml:space="preserve"> Proposed Information Security Unit organisational structure </w:t>
      </w:r>
      <w:r>
        <w:br/>
      </w:r>
      <w:r>
        <w:rPr>
          <w:rStyle w:val="s1"/>
          <w:b/>
          <w:bCs/>
        </w:rPr>
        <w:t>Table 2.</w:t>
      </w:r>
      <w:r>
        <w:t xml:space="preserve"> GDPR and DORA compliance roadmap </w:t>
      </w:r>
      <w:r>
        <w:br/>
      </w:r>
      <w:r>
        <w:rPr>
          <w:rStyle w:val="s1"/>
          <w:b/>
          <w:bCs/>
        </w:rPr>
        <w:t>Table 3.</w:t>
      </w:r>
      <w:r>
        <w:t xml:space="preserve"> High</w:t>
      </w:r>
      <w:r w:rsidR="002674BA">
        <w:t>-</w:t>
      </w:r>
      <w:r>
        <w:t>level Zero Trust security architecture</w:t>
      </w:r>
      <w:r>
        <w:br/>
      </w:r>
      <w:r>
        <w:rPr>
          <w:rStyle w:val="s1"/>
          <w:b/>
          <w:bCs/>
        </w:rPr>
        <w:t>Table 4.</w:t>
      </w:r>
      <w:r>
        <w:t xml:space="preserve"> Strategic risk register </w:t>
      </w:r>
      <w:r>
        <w:br/>
      </w:r>
      <w:r>
        <w:rPr>
          <w:rStyle w:val="s1"/>
          <w:b/>
          <w:bCs/>
        </w:rPr>
        <w:t>Table 5.</w:t>
      </w:r>
      <w:r>
        <w:t xml:space="preserve"> </w:t>
      </w:r>
      <w:r w:rsidR="002674BA">
        <w:t>Twelve-month</w:t>
      </w:r>
      <w:r>
        <w:t xml:space="preserve"> implementation roadmap and KPIs</w:t>
      </w:r>
    </w:p>
    <w:p w14:paraId="4C31444F" w14:textId="77777777" w:rsidR="000369CD" w:rsidRPr="00AC015C" w:rsidRDefault="000369CD" w:rsidP="00851247">
      <w:pPr>
        <w:pStyle w:val="Heading1"/>
        <w:rPr>
          <w:rStyle w:val="BookTitle"/>
          <w:b/>
          <w:bCs/>
          <w:i w:val="0"/>
          <w:iCs w:val="0"/>
          <w:spacing w:val="0"/>
        </w:rPr>
      </w:pPr>
      <w:bookmarkStart w:id="2" w:name="_Toc236065649"/>
      <w:r w:rsidRPr="00AC015C">
        <w:rPr>
          <w:rStyle w:val="BookTitle"/>
          <w:b/>
          <w:bCs/>
          <w:i w:val="0"/>
          <w:iCs w:val="0"/>
          <w:spacing w:val="0"/>
        </w:rPr>
        <w:t>Acronyms</w:t>
      </w:r>
      <w:bookmarkEnd w:id="2"/>
    </w:p>
    <w:tbl>
      <w:tblPr>
        <w:tblStyle w:val="TableGrid"/>
        <w:tblW w:w="0" w:type="auto"/>
        <w:jc w:val="center"/>
        <w:tblLook w:val="04A0" w:firstRow="1" w:lastRow="0" w:firstColumn="1" w:lastColumn="0" w:noHBand="0" w:noVBand="1"/>
      </w:tblPr>
      <w:tblGrid>
        <w:gridCol w:w="1511"/>
        <w:gridCol w:w="7505"/>
      </w:tblGrid>
      <w:tr w:rsidR="000369CD" w14:paraId="2819196A" w14:textId="77777777" w:rsidTr="009F145F">
        <w:trPr>
          <w:tblHeader/>
          <w:jc w:val="center"/>
        </w:trPr>
        <w:tc>
          <w:tcPr>
            <w:tcW w:w="1584" w:type="dxa"/>
            <w:shd w:val="clear" w:color="auto" w:fill="1F4E79"/>
            <w:tcMar>
              <w:top w:w="70" w:type="dxa"/>
              <w:left w:w="70" w:type="dxa"/>
              <w:bottom w:w="70" w:type="dxa"/>
              <w:right w:w="70" w:type="dxa"/>
            </w:tcMar>
            <w:vAlign w:val="center"/>
          </w:tcPr>
          <w:p w14:paraId="1916630B" w14:textId="77777777" w:rsidR="000369CD" w:rsidRDefault="000369CD" w:rsidP="009F145F">
            <w:pPr>
              <w:jc w:val="center"/>
            </w:pPr>
            <w:r>
              <w:rPr>
                <w:rFonts w:eastAsia="Times New Roman"/>
                <w:b/>
                <w:sz w:val="19"/>
              </w:rPr>
              <w:t>Acronym</w:t>
            </w:r>
          </w:p>
        </w:tc>
        <w:tc>
          <w:tcPr>
            <w:tcW w:w="8352" w:type="dxa"/>
            <w:shd w:val="clear" w:color="auto" w:fill="1F4E79"/>
            <w:tcMar>
              <w:top w:w="70" w:type="dxa"/>
              <w:left w:w="70" w:type="dxa"/>
              <w:bottom w:w="70" w:type="dxa"/>
              <w:right w:w="70" w:type="dxa"/>
            </w:tcMar>
            <w:vAlign w:val="center"/>
          </w:tcPr>
          <w:p w14:paraId="0AE25665" w14:textId="77777777" w:rsidR="000369CD" w:rsidRDefault="000369CD" w:rsidP="009F145F">
            <w:pPr>
              <w:jc w:val="center"/>
            </w:pPr>
            <w:r>
              <w:rPr>
                <w:rFonts w:eastAsia="Times New Roman"/>
                <w:b/>
                <w:sz w:val="19"/>
              </w:rPr>
              <w:t>Meaning</w:t>
            </w:r>
          </w:p>
        </w:tc>
      </w:tr>
      <w:tr w:rsidR="000369CD" w14:paraId="40BB26A2" w14:textId="77777777" w:rsidTr="009F145F">
        <w:trPr>
          <w:jc w:val="center"/>
        </w:trPr>
        <w:tc>
          <w:tcPr>
            <w:tcW w:w="1584" w:type="dxa"/>
            <w:tcMar>
              <w:top w:w="70" w:type="dxa"/>
              <w:left w:w="70" w:type="dxa"/>
              <w:bottom w:w="70" w:type="dxa"/>
              <w:right w:w="70" w:type="dxa"/>
            </w:tcMar>
          </w:tcPr>
          <w:p w14:paraId="65F0BE3D" w14:textId="77777777" w:rsidR="000369CD" w:rsidRDefault="000369CD" w:rsidP="009F145F">
            <w:r>
              <w:rPr>
                <w:rFonts w:eastAsia="Times New Roman"/>
                <w:sz w:val="19"/>
              </w:rPr>
              <w:t>CSPM</w:t>
            </w:r>
          </w:p>
        </w:tc>
        <w:tc>
          <w:tcPr>
            <w:tcW w:w="8352" w:type="dxa"/>
            <w:tcMar>
              <w:top w:w="70" w:type="dxa"/>
              <w:left w:w="70" w:type="dxa"/>
              <w:bottom w:w="70" w:type="dxa"/>
              <w:right w:w="70" w:type="dxa"/>
            </w:tcMar>
          </w:tcPr>
          <w:p w14:paraId="5FBF15FB" w14:textId="77777777" w:rsidR="000369CD" w:rsidRDefault="000369CD" w:rsidP="009F145F">
            <w:r>
              <w:rPr>
                <w:rFonts w:eastAsia="Times New Roman"/>
                <w:sz w:val="19"/>
              </w:rPr>
              <w:t>Cloud Security Posture Management</w:t>
            </w:r>
          </w:p>
        </w:tc>
      </w:tr>
      <w:tr w:rsidR="000369CD" w14:paraId="5CAC7B41" w14:textId="77777777" w:rsidTr="009F145F">
        <w:trPr>
          <w:jc w:val="center"/>
        </w:trPr>
        <w:tc>
          <w:tcPr>
            <w:tcW w:w="1584" w:type="dxa"/>
            <w:tcMar>
              <w:top w:w="70" w:type="dxa"/>
              <w:left w:w="70" w:type="dxa"/>
              <w:bottom w:w="70" w:type="dxa"/>
              <w:right w:w="70" w:type="dxa"/>
            </w:tcMar>
          </w:tcPr>
          <w:p w14:paraId="66C5F6A2" w14:textId="77777777" w:rsidR="000369CD" w:rsidRDefault="000369CD" w:rsidP="009F145F">
            <w:r>
              <w:rPr>
                <w:rFonts w:eastAsia="Times New Roman"/>
                <w:sz w:val="19"/>
              </w:rPr>
              <w:t>DORA</w:t>
            </w:r>
          </w:p>
        </w:tc>
        <w:tc>
          <w:tcPr>
            <w:tcW w:w="8352" w:type="dxa"/>
            <w:tcMar>
              <w:top w:w="70" w:type="dxa"/>
              <w:left w:w="70" w:type="dxa"/>
              <w:bottom w:w="70" w:type="dxa"/>
              <w:right w:w="70" w:type="dxa"/>
            </w:tcMar>
          </w:tcPr>
          <w:p w14:paraId="53938043" w14:textId="77777777" w:rsidR="000369CD" w:rsidRDefault="000369CD" w:rsidP="009F145F">
            <w:r>
              <w:rPr>
                <w:rFonts w:eastAsia="Times New Roman"/>
                <w:sz w:val="19"/>
              </w:rPr>
              <w:t>Digital Operational Resilience Act</w:t>
            </w:r>
          </w:p>
        </w:tc>
      </w:tr>
      <w:tr w:rsidR="000369CD" w14:paraId="05899EF4" w14:textId="77777777" w:rsidTr="009F145F">
        <w:trPr>
          <w:jc w:val="center"/>
        </w:trPr>
        <w:tc>
          <w:tcPr>
            <w:tcW w:w="1584" w:type="dxa"/>
            <w:tcMar>
              <w:top w:w="70" w:type="dxa"/>
              <w:left w:w="70" w:type="dxa"/>
              <w:bottom w:w="70" w:type="dxa"/>
              <w:right w:w="70" w:type="dxa"/>
            </w:tcMar>
          </w:tcPr>
          <w:p w14:paraId="6001628C" w14:textId="77777777" w:rsidR="000369CD" w:rsidRDefault="000369CD" w:rsidP="009F145F">
            <w:r>
              <w:rPr>
                <w:rFonts w:eastAsia="Times New Roman"/>
                <w:sz w:val="19"/>
              </w:rPr>
              <w:t>DPO</w:t>
            </w:r>
          </w:p>
        </w:tc>
        <w:tc>
          <w:tcPr>
            <w:tcW w:w="8352" w:type="dxa"/>
            <w:tcMar>
              <w:top w:w="70" w:type="dxa"/>
              <w:left w:w="70" w:type="dxa"/>
              <w:bottom w:w="70" w:type="dxa"/>
              <w:right w:w="70" w:type="dxa"/>
            </w:tcMar>
          </w:tcPr>
          <w:p w14:paraId="302E9151" w14:textId="77777777" w:rsidR="000369CD" w:rsidRDefault="000369CD" w:rsidP="009F145F">
            <w:r>
              <w:rPr>
                <w:rFonts w:eastAsia="Times New Roman"/>
                <w:sz w:val="19"/>
              </w:rPr>
              <w:t>Data Protection Officer</w:t>
            </w:r>
          </w:p>
        </w:tc>
      </w:tr>
      <w:tr w:rsidR="000369CD" w14:paraId="12EB6050" w14:textId="77777777" w:rsidTr="009F145F">
        <w:trPr>
          <w:jc w:val="center"/>
        </w:trPr>
        <w:tc>
          <w:tcPr>
            <w:tcW w:w="1584" w:type="dxa"/>
            <w:tcMar>
              <w:top w:w="70" w:type="dxa"/>
              <w:left w:w="70" w:type="dxa"/>
              <w:bottom w:w="70" w:type="dxa"/>
              <w:right w:w="70" w:type="dxa"/>
            </w:tcMar>
          </w:tcPr>
          <w:p w14:paraId="0BA3B7E8" w14:textId="77777777" w:rsidR="000369CD" w:rsidRDefault="000369CD" w:rsidP="009F145F">
            <w:r>
              <w:rPr>
                <w:rFonts w:eastAsia="Times New Roman"/>
                <w:sz w:val="19"/>
              </w:rPr>
              <w:t>EDR/XDR</w:t>
            </w:r>
          </w:p>
        </w:tc>
        <w:tc>
          <w:tcPr>
            <w:tcW w:w="8352" w:type="dxa"/>
            <w:tcMar>
              <w:top w:w="70" w:type="dxa"/>
              <w:left w:w="70" w:type="dxa"/>
              <w:bottom w:w="70" w:type="dxa"/>
              <w:right w:w="70" w:type="dxa"/>
            </w:tcMar>
          </w:tcPr>
          <w:p w14:paraId="22D2FAC7" w14:textId="77777777" w:rsidR="000369CD" w:rsidRDefault="000369CD" w:rsidP="009F145F">
            <w:r>
              <w:rPr>
                <w:rFonts w:eastAsia="Times New Roman"/>
                <w:sz w:val="19"/>
              </w:rPr>
              <w:t>Endpoint / Extended Detection and Response</w:t>
            </w:r>
          </w:p>
        </w:tc>
      </w:tr>
      <w:tr w:rsidR="000369CD" w14:paraId="1CB291A4" w14:textId="77777777" w:rsidTr="009F145F">
        <w:trPr>
          <w:jc w:val="center"/>
        </w:trPr>
        <w:tc>
          <w:tcPr>
            <w:tcW w:w="1584" w:type="dxa"/>
            <w:tcMar>
              <w:top w:w="70" w:type="dxa"/>
              <w:left w:w="70" w:type="dxa"/>
              <w:bottom w:w="70" w:type="dxa"/>
              <w:right w:w="70" w:type="dxa"/>
            </w:tcMar>
          </w:tcPr>
          <w:p w14:paraId="6ADAA37E" w14:textId="77777777" w:rsidR="000369CD" w:rsidRDefault="000369CD" w:rsidP="009F145F">
            <w:r>
              <w:rPr>
                <w:rFonts w:eastAsia="Times New Roman"/>
                <w:sz w:val="19"/>
              </w:rPr>
              <w:t>IAM</w:t>
            </w:r>
          </w:p>
        </w:tc>
        <w:tc>
          <w:tcPr>
            <w:tcW w:w="8352" w:type="dxa"/>
            <w:tcMar>
              <w:top w:w="70" w:type="dxa"/>
              <w:left w:w="70" w:type="dxa"/>
              <w:bottom w:w="70" w:type="dxa"/>
              <w:right w:w="70" w:type="dxa"/>
            </w:tcMar>
          </w:tcPr>
          <w:p w14:paraId="60BF0F15" w14:textId="77777777" w:rsidR="000369CD" w:rsidRDefault="000369CD" w:rsidP="009F145F">
            <w:r>
              <w:rPr>
                <w:rFonts w:eastAsia="Times New Roman"/>
                <w:sz w:val="19"/>
              </w:rPr>
              <w:t>Identity and Access Management</w:t>
            </w:r>
          </w:p>
        </w:tc>
      </w:tr>
      <w:tr w:rsidR="000369CD" w14:paraId="24018C4C" w14:textId="77777777" w:rsidTr="009F145F">
        <w:trPr>
          <w:jc w:val="center"/>
        </w:trPr>
        <w:tc>
          <w:tcPr>
            <w:tcW w:w="1584" w:type="dxa"/>
            <w:tcMar>
              <w:top w:w="70" w:type="dxa"/>
              <w:left w:w="70" w:type="dxa"/>
              <w:bottom w:w="70" w:type="dxa"/>
              <w:right w:w="70" w:type="dxa"/>
            </w:tcMar>
          </w:tcPr>
          <w:p w14:paraId="098A0178" w14:textId="77777777" w:rsidR="000369CD" w:rsidRDefault="000369CD" w:rsidP="009F145F">
            <w:r>
              <w:rPr>
                <w:rFonts w:eastAsia="Times New Roman"/>
                <w:sz w:val="19"/>
              </w:rPr>
              <w:t>MFA</w:t>
            </w:r>
          </w:p>
        </w:tc>
        <w:tc>
          <w:tcPr>
            <w:tcW w:w="8352" w:type="dxa"/>
            <w:tcMar>
              <w:top w:w="70" w:type="dxa"/>
              <w:left w:w="70" w:type="dxa"/>
              <w:bottom w:w="70" w:type="dxa"/>
              <w:right w:w="70" w:type="dxa"/>
            </w:tcMar>
          </w:tcPr>
          <w:p w14:paraId="0E67179D" w14:textId="77777777" w:rsidR="000369CD" w:rsidRDefault="000369CD" w:rsidP="009F145F">
            <w:r>
              <w:rPr>
                <w:rFonts w:eastAsia="Times New Roman"/>
                <w:sz w:val="19"/>
              </w:rPr>
              <w:t>Multifactor Authentication</w:t>
            </w:r>
          </w:p>
        </w:tc>
      </w:tr>
      <w:tr w:rsidR="000369CD" w14:paraId="1051F639" w14:textId="77777777" w:rsidTr="009F145F">
        <w:trPr>
          <w:jc w:val="center"/>
        </w:trPr>
        <w:tc>
          <w:tcPr>
            <w:tcW w:w="1584" w:type="dxa"/>
            <w:tcMar>
              <w:top w:w="70" w:type="dxa"/>
              <w:left w:w="70" w:type="dxa"/>
              <w:bottom w:w="70" w:type="dxa"/>
              <w:right w:w="70" w:type="dxa"/>
            </w:tcMar>
          </w:tcPr>
          <w:p w14:paraId="6A70042B" w14:textId="77777777" w:rsidR="000369CD" w:rsidRDefault="000369CD" w:rsidP="009F145F">
            <w:r>
              <w:rPr>
                <w:rFonts w:eastAsia="Times New Roman"/>
                <w:sz w:val="19"/>
              </w:rPr>
              <w:t>PAM</w:t>
            </w:r>
          </w:p>
        </w:tc>
        <w:tc>
          <w:tcPr>
            <w:tcW w:w="8352" w:type="dxa"/>
            <w:tcMar>
              <w:top w:w="70" w:type="dxa"/>
              <w:left w:w="70" w:type="dxa"/>
              <w:bottom w:w="70" w:type="dxa"/>
              <w:right w:w="70" w:type="dxa"/>
            </w:tcMar>
          </w:tcPr>
          <w:p w14:paraId="665CC72D" w14:textId="77777777" w:rsidR="000369CD" w:rsidRDefault="000369CD" w:rsidP="009F145F">
            <w:r>
              <w:rPr>
                <w:rFonts w:eastAsia="Times New Roman"/>
                <w:sz w:val="19"/>
              </w:rPr>
              <w:t>Privileged Access Management</w:t>
            </w:r>
          </w:p>
        </w:tc>
      </w:tr>
      <w:tr w:rsidR="000369CD" w14:paraId="678BBF0A" w14:textId="77777777" w:rsidTr="009F145F">
        <w:trPr>
          <w:jc w:val="center"/>
        </w:trPr>
        <w:tc>
          <w:tcPr>
            <w:tcW w:w="1584" w:type="dxa"/>
            <w:tcMar>
              <w:top w:w="70" w:type="dxa"/>
              <w:left w:w="70" w:type="dxa"/>
              <w:bottom w:w="70" w:type="dxa"/>
              <w:right w:w="70" w:type="dxa"/>
            </w:tcMar>
          </w:tcPr>
          <w:p w14:paraId="335F9943" w14:textId="77777777" w:rsidR="000369CD" w:rsidRDefault="000369CD" w:rsidP="009F145F">
            <w:r>
              <w:rPr>
                <w:rFonts w:eastAsia="Times New Roman"/>
                <w:sz w:val="19"/>
              </w:rPr>
              <w:t>SIEM</w:t>
            </w:r>
          </w:p>
        </w:tc>
        <w:tc>
          <w:tcPr>
            <w:tcW w:w="8352" w:type="dxa"/>
            <w:tcMar>
              <w:top w:w="70" w:type="dxa"/>
              <w:left w:w="70" w:type="dxa"/>
              <w:bottom w:w="70" w:type="dxa"/>
              <w:right w:w="70" w:type="dxa"/>
            </w:tcMar>
          </w:tcPr>
          <w:p w14:paraId="75876DC9" w14:textId="77777777" w:rsidR="000369CD" w:rsidRDefault="000369CD" w:rsidP="009F145F">
            <w:r>
              <w:rPr>
                <w:rFonts w:eastAsia="Times New Roman"/>
                <w:sz w:val="19"/>
              </w:rPr>
              <w:t>Security Information and Event Management</w:t>
            </w:r>
          </w:p>
        </w:tc>
      </w:tr>
      <w:tr w:rsidR="000369CD" w14:paraId="32EFDF2B" w14:textId="77777777" w:rsidTr="009F145F">
        <w:trPr>
          <w:jc w:val="center"/>
        </w:trPr>
        <w:tc>
          <w:tcPr>
            <w:tcW w:w="1584" w:type="dxa"/>
            <w:tcMar>
              <w:top w:w="70" w:type="dxa"/>
              <w:left w:w="70" w:type="dxa"/>
              <w:bottom w:w="70" w:type="dxa"/>
              <w:right w:w="70" w:type="dxa"/>
            </w:tcMar>
          </w:tcPr>
          <w:p w14:paraId="772CC89B" w14:textId="77777777" w:rsidR="000369CD" w:rsidRDefault="000369CD" w:rsidP="009F145F">
            <w:r>
              <w:rPr>
                <w:rFonts w:eastAsia="Times New Roman"/>
                <w:sz w:val="19"/>
              </w:rPr>
              <w:t>SOAR</w:t>
            </w:r>
          </w:p>
        </w:tc>
        <w:tc>
          <w:tcPr>
            <w:tcW w:w="8352" w:type="dxa"/>
            <w:tcMar>
              <w:top w:w="70" w:type="dxa"/>
              <w:left w:w="70" w:type="dxa"/>
              <w:bottom w:w="70" w:type="dxa"/>
              <w:right w:w="70" w:type="dxa"/>
            </w:tcMar>
          </w:tcPr>
          <w:p w14:paraId="0C18EAAE" w14:textId="77777777" w:rsidR="000369CD" w:rsidRDefault="000369CD" w:rsidP="009F145F">
            <w:r>
              <w:rPr>
                <w:rFonts w:eastAsia="Times New Roman"/>
                <w:sz w:val="19"/>
              </w:rPr>
              <w:t>Security Orchestration, Automation and Response</w:t>
            </w:r>
          </w:p>
        </w:tc>
      </w:tr>
      <w:tr w:rsidR="000369CD" w14:paraId="3023A3DE" w14:textId="77777777" w:rsidTr="009F145F">
        <w:trPr>
          <w:jc w:val="center"/>
        </w:trPr>
        <w:tc>
          <w:tcPr>
            <w:tcW w:w="1584" w:type="dxa"/>
            <w:tcMar>
              <w:top w:w="70" w:type="dxa"/>
              <w:left w:w="70" w:type="dxa"/>
              <w:bottom w:w="70" w:type="dxa"/>
              <w:right w:w="70" w:type="dxa"/>
            </w:tcMar>
          </w:tcPr>
          <w:p w14:paraId="375132D0" w14:textId="77777777" w:rsidR="000369CD" w:rsidRDefault="000369CD" w:rsidP="009F145F">
            <w:r>
              <w:rPr>
                <w:rFonts w:eastAsia="Times New Roman"/>
                <w:sz w:val="19"/>
              </w:rPr>
              <w:t>ZTNA</w:t>
            </w:r>
          </w:p>
        </w:tc>
        <w:tc>
          <w:tcPr>
            <w:tcW w:w="8352" w:type="dxa"/>
            <w:tcMar>
              <w:top w:w="70" w:type="dxa"/>
              <w:left w:w="70" w:type="dxa"/>
              <w:bottom w:w="70" w:type="dxa"/>
              <w:right w:w="70" w:type="dxa"/>
            </w:tcMar>
          </w:tcPr>
          <w:p w14:paraId="41172643" w14:textId="77777777" w:rsidR="000369CD" w:rsidRDefault="000369CD" w:rsidP="009F145F">
            <w:r>
              <w:rPr>
                <w:rFonts w:eastAsia="Times New Roman"/>
                <w:sz w:val="19"/>
              </w:rPr>
              <w:t>Zero Trust Network Access</w:t>
            </w:r>
          </w:p>
        </w:tc>
      </w:tr>
    </w:tbl>
    <w:p w14:paraId="31B2A0D1" w14:textId="77777777" w:rsidR="000369CD" w:rsidRDefault="000369CD" w:rsidP="000369CD">
      <w:pPr>
        <w:pStyle w:val="p2"/>
      </w:pPr>
    </w:p>
    <w:p w14:paraId="0F353750" w14:textId="77777777" w:rsidR="0019430C" w:rsidRDefault="0019430C">
      <w:pPr>
        <w:jc w:val="left"/>
        <w:rPr>
          <w:rFonts w:eastAsiaTheme="majorEastAsia" w:cstheme="majorBidi"/>
          <w:caps/>
          <w:color w:val="44546A" w:themeColor="text2"/>
          <w:spacing w:val="-15"/>
          <w:sz w:val="48"/>
          <w:szCs w:val="72"/>
        </w:rPr>
      </w:pPr>
      <w:r>
        <w:br w:type="page"/>
      </w:r>
    </w:p>
    <w:p w14:paraId="1CE4696D" w14:textId="6C1CB91B" w:rsidR="00503654" w:rsidRPr="00503654" w:rsidRDefault="00503654" w:rsidP="00851247">
      <w:pPr>
        <w:pStyle w:val="Heading1"/>
      </w:pPr>
      <w:bookmarkStart w:id="3" w:name="_Toc236065650"/>
      <w:r w:rsidRPr="00503654">
        <w:lastRenderedPageBreak/>
        <w:t>SECURING THE MODERN ENTERPRISE: FROM ZERO TRUST TO AI GOVERNANCE</w:t>
      </w:r>
      <w:bookmarkEnd w:id="3"/>
    </w:p>
    <w:p w14:paraId="2F44B786" w14:textId="33FCF510" w:rsidR="00C25599" w:rsidRPr="00C25599" w:rsidRDefault="00C25599" w:rsidP="00851247">
      <w:pPr>
        <w:pStyle w:val="Heading1"/>
      </w:pPr>
      <w:bookmarkStart w:id="4" w:name="_Toc236065651"/>
      <w:r>
        <w:t>Task 1</w:t>
      </w:r>
      <w:bookmarkEnd w:id="4"/>
    </w:p>
    <w:p w14:paraId="119BB8D7" w14:textId="49D280DE" w:rsidR="00DD068B" w:rsidRPr="00DD068B" w:rsidRDefault="0054798F" w:rsidP="00DD068B">
      <w:pPr>
        <w:pStyle w:val="IEEE-Author"/>
      </w:pPr>
      <w:r>
        <w:t>Sarah Ismail</w:t>
      </w:r>
    </w:p>
    <w:p w14:paraId="37F671CC" w14:textId="18CC0E4C" w:rsidR="00DD068B" w:rsidRPr="00DD068B" w:rsidRDefault="00DD068B" w:rsidP="00DD068B">
      <w:pPr>
        <w:pStyle w:val="IEEE-Affil"/>
      </w:pPr>
      <w:r w:rsidRPr="00DD068B">
        <w:t>Student University of Wales Trinity St David, Swansea, Wales</w:t>
      </w:r>
    </w:p>
    <w:p w14:paraId="674D2AAF" w14:textId="02D2068E" w:rsidR="00DD068B" w:rsidRDefault="0054798F" w:rsidP="00DD068B">
      <w:pPr>
        <w:jc w:val="center"/>
        <w:rPr>
          <w:rFonts w:ascii="Courier New" w:hAnsi="Courier New" w:cs="Courier New"/>
          <w:sz w:val="18"/>
          <w:szCs w:val="18"/>
        </w:rPr>
      </w:pPr>
      <w:r>
        <w:rPr>
          <w:rFonts w:ascii="Courier New" w:hAnsi="Courier New" w:cs="Courier New"/>
          <w:sz w:val="18"/>
          <w:szCs w:val="18"/>
        </w:rPr>
        <w:t>2312694</w:t>
      </w:r>
      <w:r w:rsidR="00DD068B" w:rsidRPr="001C4AFE">
        <w:rPr>
          <w:rFonts w:ascii="Courier New" w:hAnsi="Courier New" w:cs="Courier New"/>
          <w:sz w:val="18"/>
          <w:szCs w:val="18"/>
        </w:rPr>
        <w:t>@student.uwtsd.ac.uk</w:t>
      </w:r>
    </w:p>
    <w:p w14:paraId="0C8563C1" w14:textId="77777777" w:rsidR="00DD068B" w:rsidRDefault="00DD068B" w:rsidP="00851247">
      <w:pPr>
        <w:rPr>
          <w:rFonts w:ascii="Courier New" w:hAnsi="Courier New" w:cs="Courier New"/>
          <w:sz w:val="18"/>
          <w:szCs w:val="18"/>
        </w:rPr>
        <w:sectPr w:rsidR="00DD068B" w:rsidSect="00503654">
          <w:pgSz w:w="11906" w:h="16838" w:code="9"/>
          <w:pgMar w:top="1440" w:right="1440" w:bottom="1440" w:left="1440" w:header="709" w:footer="709" w:gutter="0"/>
          <w:pgNumType w:start="0"/>
          <w:cols w:space="708"/>
          <w:titlePg/>
          <w:docGrid w:linePitch="360"/>
        </w:sectPr>
      </w:pPr>
    </w:p>
    <w:p w14:paraId="1F4A867D" w14:textId="7D40587B" w:rsidR="00BA4598" w:rsidRDefault="00BA4598" w:rsidP="00BA4598">
      <w:pPr>
        <w:spacing w:after="60"/>
      </w:pPr>
      <w:r w:rsidRPr="00503654">
        <w:rPr>
          <w:rStyle w:val="BookTitle"/>
        </w:rPr>
        <w:t>Abstract</w:t>
      </w:r>
      <w:r>
        <w:rPr>
          <w:b/>
          <w:i/>
          <w:sz w:val="19"/>
        </w:rPr>
        <w:t>—</w:t>
      </w:r>
      <w:r>
        <w:rPr>
          <w:sz w:val="19"/>
        </w:rPr>
        <w:t>Modern organisations now rely on cloud services, remote devices, software</w:t>
      </w:r>
      <w:r w:rsidR="002674BA">
        <w:rPr>
          <w:sz w:val="19"/>
        </w:rPr>
        <w:t>-</w:t>
      </w:r>
      <w:r>
        <w:rPr>
          <w:sz w:val="19"/>
        </w:rPr>
        <w:t>as</w:t>
      </w:r>
      <w:r w:rsidR="002674BA">
        <w:rPr>
          <w:sz w:val="19"/>
        </w:rPr>
        <w:t>-</w:t>
      </w:r>
      <w:r>
        <w:rPr>
          <w:sz w:val="19"/>
        </w:rPr>
        <w:t>a</w:t>
      </w:r>
      <w:r w:rsidR="002674BA">
        <w:rPr>
          <w:sz w:val="19"/>
        </w:rPr>
        <w:t>-</w:t>
      </w:r>
      <w:r>
        <w:rPr>
          <w:sz w:val="19"/>
        </w:rPr>
        <w:t>service platforms and external suppliers. As a result, network location is no longer a reliable sign that a user or device can be trusted [1], [2]. This paper evaluates Zero Trust Architecture as a way of anticipating, preventing, detecting and responding to advanced threats. It examines NIST SP 800</w:t>
      </w:r>
      <w:r w:rsidR="002674BA">
        <w:rPr>
          <w:sz w:val="19"/>
        </w:rPr>
        <w:t>-</w:t>
      </w:r>
      <w:r>
        <w:rPr>
          <w:sz w:val="19"/>
        </w:rPr>
        <w:t xml:space="preserve">207 and the CISA Zero Trust Maturity Model, then considers identity governance, privileged access management, ZTNA, SASE, </w:t>
      </w:r>
      <w:r w:rsidR="00AC097B">
        <w:rPr>
          <w:sz w:val="19"/>
        </w:rPr>
        <w:t>Micro segmentation</w:t>
      </w:r>
      <w:r>
        <w:rPr>
          <w:sz w:val="19"/>
        </w:rPr>
        <w:t>, SIEM, XDR and SOAR as key enabling technologies [1], [3]. The evidence suggests that Zero Trust can reduce excessive access and limit lateral movement, although its success depends on accurate asset records, mature identity processes, workable policies, resilient decision systems and reliable telemetry [4]</w:t>
      </w:r>
      <w:r w:rsidR="00851247">
        <w:rPr>
          <w:sz w:val="19"/>
        </w:rPr>
        <w:t>– [</w:t>
      </w:r>
      <w:r>
        <w:rPr>
          <w:sz w:val="19"/>
        </w:rPr>
        <w:t>6]. The Microsoft Midnight Blizzard incident shows how one legacy identity without multifactor authentication, combined with excessive OAuth permissions, can weaken an otherwise mature security environment [7]. Overall, Zero Trust is most effective when it is introduced as a gradual governance and architecture programme rather than bought as a single product.</w:t>
      </w:r>
    </w:p>
    <w:p w14:paraId="09163D69" w14:textId="202E86DB" w:rsidR="00BA4598" w:rsidRDefault="00BA4598" w:rsidP="00BA4598">
      <w:pPr>
        <w:spacing w:after="100"/>
      </w:pPr>
      <w:r>
        <w:rPr>
          <w:b/>
          <w:i/>
          <w:sz w:val="19"/>
        </w:rPr>
        <w:t>Keywords—</w:t>
      </w:r>
      <w:r>
        <w:rPr>
          <w:i/>
          <w:sz w:val="19"/>
        </w:rPr>
        <w:t xml:space="preserve">Zero Trust Architecture, ZTNA, SASE, identity governance, </w:t>
      </w:r>
      <w:r w:rsidR="00AC097B">
        <w:rPr>
          <w:i/>
          <w:sz w:val="19"/>
        </w:rPr>
        <w:t>Micro segmentation</w:t>
      </w:r>
      <w:r>
        <w:rPr>
          <w:i/>
          <w:sz w:val="19"/>
        </w:rPr>
        <w:t>, SIEM, automated response, hybrid cloud.</w:t>
      </w:r>
    </w:p>
    <w:p w14:paraId="353E8A03" w14:textId="77777777" w:rsidR="00BA4598" w:rsidRPr="00503654" w:rsidRDefault="00BA4598" w:rsidP="00851247">
      <w:pPr>
        <w:pStyle w:val="Heading2"/>
        <w:rPr>
          <w:rStyle w:val="BookTitle"/>
        </w:rPr>
      </w:pPr>
      <w:bookmarkStart w:id="5" w:name="_Toc236065652"/>
      <w:r w:rsidRPr="00503654">
        <w:rPr>
          <w:rStyle w:val="BookTitle"/>
        </w:rPr>
        <w:t>I. INTRODUCTION</w:t>
      </w:r>
      <w:bookmarkEnd w:id="5"/>
    </w:p>
    <w:p w14:paraId="3B4156A7" w14:textId="0A58FF0D" w:rsidR="00BA4598" w:rsidRDefault="00BA4598" w:rsidP="00BA4598">
      <w:pPr>
        <w:spacing w:after="40"/>
      </w:pPr>
      <w:r>
        <w:rPr>
          <w:sz w:val="19"/>
        </w:rPr>
        <w:t>Modern organisations depend on connected digital services, but every new connection also creates another identity, device, application or supplier that may be attacked [2], [8]. Verizon’s 2025 report reviewed 12,195 confirmed breaches and found that stolen credentials and exploited vulnerabilities remained major routes into organisations, while third</w:t>
      </w:r>
      <w:r w:rsidR="002674BA">
        <w:rPr>
          <w:sz w:val="19"/>
        </w:rPr>
        <w:t>-</w:t>
      </w:r>
      <w:r>
        <w:rPr>
          <w:sz w:val="19"/>
        </w:rPr>
        <w:t>party involvement rose to 30% [8]. IBM reported that identity</w:t>
      </w:r>
      <w:r w:rsidR="002674BA">
        <w:rPr>
          <w:sz w:val="19"/>
        </w:rPr>
        <w:t>-</w:t>
      </w:r>
      <w:r>
        <w:rPr>
          <w:sz w:val="19"/>
        </w:rPr>
        <w:t>based attacks accounted for 30% of the intrusions observed by X</w:t>
      </w:r>
      <w:r w:rsidR="002674BA">
        <w:rPr>
          <w:sz w:val="19"/>
        </w:rPr>
        <w:t>-</w:t>
      </w:r>
      <w:r>
        <w:rPr>
          <w:sz w:val="19"/>
        </w:rPr>
        <w:t>Force in its analysis of the 2024 threat landscape [9]. Taken together, these findings suggest that many attackers do not need to force their way through a firewall; they can enter by using access that appears legitimate [8], [9].</w:t>
      </w:r>
    </w:p>
    <w:p w14:paraId="54A61C09" w14:textId="183204F5" w:rsidR="00BA4598" w:rsidRDefault="00BA4598" w:rsidP="00BA4598">
      <w:pPr>
        <w:spacing w:after="40"/>
      </w:pPr>
      <w:r>
        <w:rPr>
          <w:sz w:val="19"/>
        </w:rPr>
        <w:t xml:space="preserve">Zero Trust Architecture addresses this problem by removing automatic trust based on network location and requiring each request to be authenticated and </w:t>
      </w:r>
      <w:r>
        <w:rPr>
          <w:sz w:val="19"/>
        </w:rPr>
        <w:t>authorised before a resource is accessed [1]. Decisions can take account of the user, the condition of the device, the sensitivity of the resource, unusual behaviour and current threat intelligence [1], [3]. Through asset discovery and threat modelling, Zero Trust helps organisations anticipate threats; through identity and segmentation controls it protects resources; through continuous telemetry it detects suspicious activity; and through SOAR</w:t>
      </w:r>
      <w:r w:rsidR="002674BA">
        <w:rPr>
          <w:sz w:val="19"/>
        </w:rPr>
        <w:t>-</w:t>
      </w:r>
      <w:r>
        <w:rPr>
          <w:sz w:val="19"/>
        </w:rPr>
        <w:t>enabled playbooks it can support automated containment [1], [3], [13]. In my view, this gives organisations better visibility and containment than a perimeter</w:t>
      </w:r>
      <w:r w:rsidR="002674BA">
        <w:rPr>
          <w:sz w:val="19"/>
        </w:rPr>
        <w:t>-</w:t>
      </w:r>
      <w:r>
        <w:rPr>
          <w:sz w:val="19"/>
        </w:rPr>
        <w:t>led model. However, the approach will not work simply because new tools have been purchased. It relies on sound governance, reliable identity data, staff capability, legacy</w:t>
      </w:r>
      <w:r w:rsidR="002674BA">
        <w:rPr>
          <w:sz w:val="19"/>
        </w:rPr>
        <w:t>-</w:t>
      </w:r>
      <w:r>
        <w:rPr>
          <w:sz w:val="19"/>
        </w:rPr>
        <w:t>system planning and carefully controlled automation [4]</w:t>
      </w:r>
      <w:r w:rsidR="00AC015C">
        <w:rPr>
          <w:sz w:val="19"/>
        </w:rPr>
        <w:t>– [</w:t>
      </w:r>
      <w:r>
        <w:rPr>
          <w:sz w:val="19"/>
        </w:rPr>
        <w:t>6].</w:t>
      </w:r>
    </w:p>
    <w:p w14:paraId="038E572C" w14:textId="77777777" w:rsidR="00BA4598" w:rsidRPr="00503654" w:rsidRDefault="00BA4598" w:rsidP="00851247">
      <w:pPr>
        <w:pStyle w:val="Heading2"/>
        <w:rPr>
          <w:rStyle w:val="BookTitle"/>
        </w:rPr>
      </w:pPr>
      <w:bookmarkStart w:id="6" w:name="_Toc236065653"/>
      <w:r w:rsidRPr="00503654">
        <w:rPr>
          <w:rStyle w:val="BookTitle"/>
        </w:rPr>
        <w:t>II. IMPORTANCE OF ZERO TRUST ARCHITECTURE</w:t>
      </w:r>
      <w:bookmarkEnd w:id="6"/>
    </w:p>
    <w:p w14:paraId="06B2D48E" w14:textId="77777777" w:rsidR="00BA4598" w:rsidRDefault="00BA4598" w:rsidP="00BA4598">
      <w:pPr>
        <w:spacing w:before="80" w:after="20"/>
        <w:ind w:left="173"/>
      </w:pPr>
      <w:r>
        <w:rPr>
          <w:i/>
          <w:sz w:val="20"/>
        </w:rPr>
        <w:t>A. Protecting Critical Assets</w:t>
      </w:r>
    </w:p>
    <w:p w14:paraId="15910D73" w14:textId="3B63B6B5" w:rsidR="00BA4598" w:rsidRDefault="00BA4598" w:rsidP="00BA4598">
      <w:pPr>
        <w:spacing w:after="40"/>
      </w:pPr>
      <w:r>
        <w:rPr>
          <w:sz w:val="19"/>
        </w:rPr>
        <w:t>The main benefit of Zero Trust is that access can be limited to what a person or workload needs for a particular task [1]. A compromised account may still be dangerous, but per</w:t>
      </w:r>
      <w:r w:rsidR="002674BA">
        <w:rPr>
          <w:sz w:val="19"/>
        </w:rPr>
        <w:t>-</w:t>
      </w:r>
      <w:r>
        <w:rPr>
          <w:sz w:val="19"/>
        </w:rPr>
        <w:t>resource authorisation can stop it from moving freely into databases, administration tools or backup systems [1], [5]. The difficulty is that least privilege depends on accurate knowledge of job roles and system dependencies. If these are poorly understood, permissions may remain too broad or legitimate work may be blocked [4], [6].</w:t>
      </w:r>
    </w:p>
    <w:p w14:paraId="78BDC1A7" w14:textId="77777777" w:rsidR="00BA4598" w:rsidRDefault="00BA4598" w:rsidP="00BA4598">
      <w:pPr>
        <w:spacing w:before="80" w:after="20"/>
        <w:ind w:left="173"/>
      </w:pPr>
      <w:r>
        <w:rPr>
          <w:i/>
          <w:sz w:val="20"/>
        </w:rPr>
        <w:t>B. Supporting Business Continuity</w:t>
      </w:r>
    </w:p>
    <w:p w14:paraId="22BB0B72" w14:textId="70389489" w:rsidR="00BA4598" w:rsidRDefault="00BA4598" w:rsidP="00BA4598">
      <w:pPr>
        <w:spacing w:after="40"/>
      </w:pPr>
      <w:r>
        <w:rPr>
          <w:sz w:val="19"/>
        </w:rPr>
        <w:t>Segmentation and repeated verification can also support business continuity because a compromise in one area is less likely to spread across the whole organisation [5]. At the same time, the identity provider and policy engine become critical services. If either fails, staff may be unable to reach essential systems. For this reason, a practical Zero Trust design still needs resilient infrastructure, tested manual procedures, immutable backups and disaster</w:t>
      </w:r>
      <w:r w:rsidR="002674BA">
        <w:rPr>
          <w:sz w:val="19"/>
        </w:rPr>
        <w:t>-</w:t>
      </w:r>
      <w:r>
        <w:rPr>
          <w:sz w:val="19"/>
        </w:rPr>
        <w:t>recovery arrangements.</w:t>
      </w:r>
    </w:p>
    <w:p w14:paraId="7CB2DDEA" w14:textId="77777777" w:rsidR="00BA4598" w:rsidRDefault="00BA4598" w:rsidP="00BA4598">
      <w:pPr>
        <w:spacing w:before="80" w:after="20"/>
        <w:ind w:left="173"/>
      </w:pPr>
      <w:r>
        <w:rPr>
          <w:i/>
          <w:sz w:val="20"/>
        </w:rPr>
        <w:t>C. Regulatory and Governance Alignment</w:t>
      </w:r>
    </w:p>
    <w:p w14:paraId="74F8617A" w14:textId="77777777" w:rsidR="00BA4598" w:rsidRDefault="00BA4598" w:rsidP="00BA4598">
      <w:pPr>
        <w:spacing w:after="40"/>
      </w:pPr>
      <w:r>
        <w:rPr>
          <w:sz w:val="19"/>
        </w:rPr>
        <w:t xml:space="preserve">Zero Trust can help organisations meet governance expectations by creating detailed access records, </w:t>
      </w:r>
      <w:r>
        <w:rPr>
          <w:sz w:val="19"/>
        </w:rPr>
        <w:lastRenderedPageBreak/>
        <w:t>enforcing least privilege and linking controls to identified risks [1], [3]. These features may support evidence of accountability, access control and security by design. However, Zero Trust does not automatically equal compliance with GDPR, DORA or ISO/IEC 27001. Compliance still depends on whether controls are correctly configured, documented, monitored and reviewed against the relevant legal or regulatory requirement.</w:t>
      </w:r>
    </w:p>
    <w:p w14:paraId="77C06EBE" w14:textId="77777777" w:rsidR="00BA4598" w:rsidRDefault="00BA4598" w:rsidP="00BA4598">
      <w:pPr>
        <w:spacing w:before="80" w:after="20"/>
        <w:ind w:left="173"/>
      </w:pPr>
      <w:r>
        <w:rPr>
          <w:i/>
          <w:sz w:val="20"/>
        </w:rPr>
        <w:t>D. Securing Hybrid Work and Cloud Access</w:t>
      </w:r>
    </w:p>
    <w:p w14:paraId="2C655EBE" w14:textId="77777777" w:rsidR="00BA4598" w:rsidRDefault="00BA4598" w:rsidP="00BA4598">
      <w:pPr>
        <w:spacing w:after="40"/>
      </w:pPr>
      <w:r>
        <w:rPr>
          <w:sz w:val="19"/>
        </w:rPr>
        <w:t xml:space="preserve">Hybrid working makes it difficult to treat the office network as the trusted side of a security boundary [2]. Google’s </w:t>
      </w:r>
      <w:proofErr w:type="spellStart"/>
      <w:r>
        <w:rPr>
          <w:sz w:val="19"/>
        </w:rPr>
        <w:t>BeyondCorp</w:t>
      </w:r>
      <w:proofErr w:type="spellEnd"/>
      <w:r>
        <w:rPr>
          <w:sz w:val="19"/>
        </w:rPr>
        <w:t xml:space="preserve"> approach moved the access decision away from the network perimeter and towards the identity of the user and the condition of the device, allowing staff to work from untrusted networks without a traditional VPN [10]. This gives users more flexibility, but the model depends heavily on good device and identity information. If those signals are incomplete, an unmanaged or compromised device may be given more access than it should receive.</w:t>
      </w:r>
    </w:p>
    <w:p w14:paraId="47F07245" w14:textId="77777777" w:rsidR="00BA4598" w:rsidRPr="00503654" w:rsidRDefault="00BA4598" w:rsidP="00851247">
      <w:pPr>
        <w:pStyle w:val="Heading2"/>
        <w:rPr>
          <w:rStyle w:val="BookTitle"/>
        </w:rPr>
      </w:pPr>
      <w:bookmarkStart w:id="7" w:name="_Toc236065654"/>
      <w:r w:rsidRPr="00503654">
        <w:rPr>
          <w:rStyle w:val="BookTitle"/>
        </w:rPr>
        <w:t>III. FRAMEWORKS RELEVANT TO ZERO TRUST</w:t>
      </w:r>
      <w:bookmarkEnd w:id="7"/>
    </w:p>
    <w:p w14:paraId="6E5C9356" w14:textId="3B62C080" w:rsidR="00BA4598" w:rsidRDefault="00BA4598" w:rsidP="00BA4598">
      <w:pPr>
        <w:spacing w:before="80" w:after="20"/>
        <w:ind w:left="173"/>
      </w:pPr>
      <w:r>
        <w:rPr>
          <w:i/>
          <w:sz w:val="20"/>
        </w:rPr>
        <w:t>A. NIST SP 800</w:t>
      </w:r>
      <w:r w:rsidR="002674BA">
        <w:rPr>
          <w:i/>
          <w:sz w:val="20"/>
        </w:rPr>
        <w:t>-</w:t>
      </w:r>
      <w:r>
        <w:rPr>
          <w:i/>
          <w:sz w:val="20"/>
        </w:rPr>
        <w:t>207</w:t>
      </w:r>
    </w:p>
    <w:p w14:paraId="708D3503" w14:textId="77777777" w:rsidR="00BA4598" w:rsidRDefault="00BA4598" w:rsidP="00BA4598">
      <w:pPr>
        <w:spacing w:before="40"/>
        <w:ind w:left="259"/>
      </w:pPr>
      <w:r>
        <w:rPr>
          <w:i/>
          <w:sz w:val="20"/>
        </w:rPr>
        <w:t>1) Overview</w:t>
      </w:r>
    </w:p>
    <w:p w14:paraId="7437AE25" w14:textId="273BBE8A" w:rsidR="00BA4598" w:rsidRDefault="00BA4598" w:rsidP="00BA4598">
      <w:pPr>
        <w:spacing w:after="40"/>
      </w:pPr>
      <w:r>
        <w:rPr>
          <w:sz w:val="19"/>
        </w:rPr>
        <w:t>NIST SP 800</w:t>
      </w:r>
      <w:r w:rsidR="002674BA">
        <w:rPr>
          <w:sz w:val="19"/>
        </w:rPr>
        <w:t>-</w:t>
      </w:r>
      <w:r>
        <w:rPr>
          <w:sz w:val="19"/>
        </w:rPr>
        <w:t>207 gives a widely used, vendor</w:t>
      </w:r>
      <w:r w:rsidR="002674BA">
        <w:rPr>
          <w:sz w:val="19"/>
        </w:rPr>
        <w:t>-</w:t>
      </w:r>
      <w:r>
        <w:rPr>
          <w:sz w:val="19"/>
        </w:rPr>
        <w:t>neutral explanation of Zero Trust and sets out the roles of the policy engine, policy administrator and policy enforcement point [1]. Its core message is that a user, device or network flow should not be trusted simply because it is inside the organisation or owned by it [1].</w:t>
      </w:r>
    </w:p>
    <w:p w14:paraId="1720BD9A" w14:textId="77777777" w:rsidR="00BA4598" w:rsidRDefault="00BA4598" w:rsidP="00BA4598">
      <w:pPr>
        <w:spacing w:before="40"/>
        <w:ind w:left="259"/>
      </w:pPr>
      <w:r>
        <w:rPr>
          <w:i/>
          <w:sz w:val="20"/>
        </w:rPr>
        <w:t>2) Core Principles</w:t>
      </w:r>
    </w:p>
    <w:p w14:paraId="5E166FAC" w14:textId="17066FC4" w:rsidR="00BA4598" w:rsidRDefault="00BA4598" w:rsidP="00BA4598">
      <w:pPr>
        <w:spacing w:after="40"/>
      </w:pPr>
      <w:r>
        <w:rPr>
          <w:sz w:val="19"/>
        </w:rPr>
        <w:t>The publication recommends session</w:t>
      </w:r>
      <w:r w:rsidR="002674BA">
        <w:rPr>
          <w:sz w:val="19"/>
        </w:rPr>
        <w:t>-</w:t>
      </w:r>
      <w:r>
        <w:rPr>
          <w:sz w:val="19"/>
        </w:rPr>
        <w:t>based access, dynamic policy decisions, continuous monitoring and an assumption that the enterprise network may already contain an attacker [1]. It also accepts that migration will usually be gradual, so traditional controls and Zero Trust controls may operate together for some time [1].</w:t>
      </w:r>
    </w:p>
    <w:p w14:paraId="1DC6F234" w14:textId="77777777" w:rsidR="00BA4598" w:rsidRDefault="00BA4598" w:rsidP="00BA4598">
      <w:pPr>
        <w:spacing w:before="40"/>
        <w:ind w:left="259"/>
      </w:pPr>
      <w:r>
        <w:rPr>
          <w:i/>
          <w:sz w:val="20"/>
        </w:rPr>
        <w:t>3) Evaluation</w:t>
      </w:r>
    </w:p>
    <w:p w14:paraId="74466AC3" w14:textId="354CCD17" w:rsidR="00BA4598" w:rsidRDefault="00BA4598" w:rsidP="00BA4598">
      <w:pPr>
        <w:spacing w:after="40"/>
      </w:pPr>
      <w:r>
        <w:rPr>
          <w:sz w:val="19"/>
        </w:rPr>
        <w:t>A major strength of NIST SP 800</w:t>
      </w:r>
      <w:r w:rsidR="002674BA">
        <w:rPr>
          <w:sz w:val="19"/>
        </w:rPr>
        <w:t>-</w:t>
      </w:r>
      <w:r>
        <w:rPr>
          <w:sz w:val="19"/>
        </w:rPr>
        <w:t xml:space="preserve">207 is that it explains the architecture without tying organisations to one supplier [1]. Its weakness is that it does not tell every organisation exactly how to implement the model. Businesses still </w:t>
      </w:r>
      <w:r w:rsidR="00851247">
        <w:rPr>
          <w:sz w:val="19"/>
        </w:rPr>
        <w:t>must</w:t>
      </w:r>
      <w:r>
        <w:rPr>
          <w:sz w:val="19"/>
        </w:rPr>
        <w:t xml:space="preserve"> convert the principles into technical standards, responsibilities, budgets and measurable targets [4], [6].</w:t>
      </w:r>
    </w:p>
    <w:p w14:paraId="4C7AABAE" w14:textId="77777777" w:rsidR="00BA4598" w:rsidRDefault="00BA4598" w:rsidP="00BA4598">
      <w:pPr>
        <w:spacing w:before="80" w:after="20"/>
        <w:ind w:left="173"/>
      </w:pPr>
      <w:r>
        <w:rPr>
          <w:i/>
          <w:sz w:val="20"/>
        </w:rPr>
        <w:t>B. CISA Zero Trust Maturity Model</w:t>
      </w:r>
    </w:p>
    <w:p w14:paraId="1919212F" w14:textId="77777777" w:rsidR="00BA4598" w:rsidRDefault="00BA4598" w:rsidP="00BA4598">
      <w:pPr>
        <w:spacing w:before="40"/>
        <w:ind w:left="259"/>
      </w:pPr>
      <w:r>
        <w:rPr>
          <w:i/>
          <w:sz w:val="20"/>
        </w:rPr>
        <w:t>1) Overview</w:t>
      </w:r>
    </w:p>
    <w:p w14:paraId="741ABBEC" w14:textId="77777777" w:rsidR="00BA4598" w:rsidRDefault="00BA4598" w:rsidP="00BA4598">
      <w:pPr>
        <w:spacing w:after="40"/>
      </w:pPr>
      <w:r>
        <w:rPr>
          <w:sz w:val="19"/>
        </w:rPr>
        <w:t xml:space="preserve">CISA divides Zero Trust into five pillars: identity, devices, networks, applications and workloads, and data [3]. It also treats visibility and analytics, </w:t>
      </w:r>
      <w:r>
        <w:rPr>
          <w:sz w:val="19"/>
        </w:rPr>
        <w:t>automation and orchestration, and governance as capabilities that should operate across every pillar [3].</w:t>
      </w:r>
    </w:p>
    <w:p w14:paraId="40A84140" w14:textId="77777777" w:rsidR="00BA4598" w:rsidRDefault="00BA4598" w:rsidP="00BA4598">
      <w:pPr>
        <w:spacing w:before="40"/>
        <w:ind w:left="259"/>
      </w:pPr>
      <w:r>
        <w:rPr>
          <w:i/>
          <w:sz w:val="20"/>
        </w:rPr>
        <w:t>2) Maturity Stages</w:t>
      </w:r>
    </w:p>
    <w:p w14:paraId="11DBF91D" w14:textId="77777777" w:rsidR="00BA4598" w:rsidRDefault="00BA4598" w:rsidP="00BA4598">
      <w:pPr>
        <w:spacing w:after="40"/>
      </w:pPr>
      <w:r>
        <w:rPr>
          <w:sz w:val="19"/>
        </w:rPr>
        <w:t>The model describes traditional, initial, advanced and optimal stages of maturity [3]. This is useful because it recognises that Zero Trust is not achieved in one step. However, there is a risk that organisations focus too heavily on reaching a labelled maturity stage instead of checking whether security outcomes have improved.</w:t>
      </w:r>
    </w:p>
    <w:p w14:paraId="3EF07E3D" w14:textId="77777777" w:rsidR="00BA4598" w:rsidRDefault="00BA4598" w:rsidP="00BA4598">
      <w:pPr>
        <w:spacing w:before="80" w:after="20"/>
        <w:ind w:left="173"/>
      </w:pPr>
      <w:r>
        <w:rPr>
          <w:i/>
          <w:sz w:val="20"/>
        </w:rPr>
        <w:t>C. Comparison and Evaluation of Frameworks</w:t>
      </w:r>
    </w:p>
    <w:p w14:paraId="2B27C68C" w14:textId="3A23C179" w:rsidR="00BA4598" w:rsidRDefault="00BA4598" w:rsidP="00BA4598">
      <w:pPr>
        <w:spacing w:after="40"/>
      </w:pPr>
      <w:r>
        <w:rPr>
          <w:sz w:val="19"/>
        </w:rPr>
        <w:t>The two frameworks serve different purposes. NIST SP 800</w:t>
      </w:r>
      <w:r w:rsidR="002674BA">
        <w:rPr>
          <w:sz w:val="19"/>
        </w:rPr>
        <w:t>-</w:t>
      </w:r>
      <w:r>
        <w:rPr>
          <w:sz w:val="19"/>
        </w:rPr>
        <w:t>207 explains the underlying architecture, while the CISA model gives organisations a way to judge their progress [1], [3]. NIST is therefore more useful when designing the technical model, whereas CISA is more useful for planning, prioritisation and reporting. Used together, they provide both a target architecture and a practical route towards it.</w:t>
      </w:r>
    </w:p>
    <w:p w14:paraId="2FF8C147" w14:textId="77777777" w:rsidR="00BA4598" w:rsidRPr="00503654" w:rsidRDefault="00BA4598" w:rsidP="00851247">
      <w:pPr>
        <w:pStyle w:val="Heading2"/>
        <w:rPr>
          <w:rStyle w:val="BookTitle"/>
        </w:rPr>
      </w:pPr>
      <w:bookmarkStart w:id="8" w:name="_Toc236065655"/>
      <w:r w:rsidRPr="00503654">
        <w:rPr>
          <w:rStyle w:val="BookTitle"/>
        </w:rPr>
        <w:t>IV. ZERO TRUST TECHNOLOGIES</w:t>
      </w:r>
      <w:bookmarkEnd w:id="8"/>
    </w:p>
    <w:p w14:paraId="751B8127" w14:textId="77777777" w:rsidR="00BA4598" w:rsidRDefault="00BA4598" w:rsidP="00BA4598">
      <w:pPr>
        <w:spacing w:before="80" w:after="20"/>
        <w:ind w:left="173"/>
      </w:pPr>
      <w:r>
        <w:rPr>
          <w:i/>
          <w:sz w:val="20"/>
        </w:rPr>
        <w:t>A. Identity Governance and Privileged Access</w:t>
      </w:r>
    </w:p>
    <w:p w14:paraId="3B36B67F" w14:textId="77777777" w:rsidR="00BA4598" w:rsidRDefault="00BA4598" w:rsidP="00BA4598">
      <w:pPr>
        <w:spacing w:before="40"/>
        <w:ind w:left="259"/>
      </w:pPr>
      <w:r>
        <w:rPr>
          <w:i/>
          <w:sz w:val="20"/>
        </w:rPr>
        <w:t>1) Identity Governance</w:t>
      </w:r>
    </w:p>
    <w:p w14:paraId="3D03ED3F" w14:textId="1A690E55" w:rsidR="00BA4598" w:rsidRDefault="00BA4598" w:rsidP="00BA4598">
      <w:pPr>
        <w:spacing w:after="40"/>
      </w:pPr>
      <w:r>
        <w:rPr>
          <w:sz w:val="19"/>
        </w:rPr>
        <w:t>Identity Governance and Administration manages how human and non</w:t>
      </w:r>
      <w:r w:rsidR="002674BA">
        <w:rPr>
          <w:sz w:val="19"/>
        </w:rPr>
        <w:t>-</w:t>
      </w:r>
      <w:r>
        <w:rPr>
          <w:sz w:val="19"/>
        </w:rPr>
        <w:t>human accounts are created, changed, reviewed and removed [9]. Joiner, mover and leaver processes, access reviews and separation of duties can reduce the number of old or unnecessary permissions that remain active. These controls are only as reliable as the organisational records behind them, so weak HR data or unclear ownership can create security gaps [4].</w:t>
      </w:r>
    </w:p>
    <w:p w14:paraId="5AB14BD3" w14:textId="77777777" w:rsidR="00BA4598" w:rsidRDefault="00BA4598" w:rsidP="00BA4598">
      <w:pPr>
        <w:spacing w:before="40"/>
        <w:ind w:left="259"/>
      </w:pPr>
      <w:r>
        <w:rPr>
          <w:i/>
          <w:sz w:val="20"/>
        </w:rPr>
        <w:t>2) Privileged Access and Authentication</w:t>
      </w:r>
    </w:p>
    <w:p w14:paraId="5EB6B17F" w14:textId="44C575DB" w:rsidR="00BA4598" w:rsidRDefault="00BA4598" w:rsidP="00BA4598">
      <w:pPr>
        <w:spacing w:after="40"/>
      </w:pPr>
      <w:r>
        <w:rPr>
          <w:sz w:val="19"/>
        </w:rPr>
        <w:t>Privileged Access Management can provide administrators with time</w:t>
      </w:r>
      <w:r w:rsidR="002674BA">
        <w:rPr>
          <w:sz w:val="19"/>
        </w:rPr>
        <w:t>-</w:t>
      </w:r>
      <w:r>
        <w:rPr>
          <w:sz w:val="19"/>
        </w:rPr>
        <w:t>limited access and record sensitive sessions, reducing the need for permanent high</w:t>
      </w:r>
      <w:r w:rsidR="002674BA">
        <w:rPr>
          <w:sz w:val="19"/>
        </w:rPr>
        <w:t>-</w:t>
      </w:r>
      <w:r>
        <w:rPr>
          <w:sz w:val="19"/>
        </w:rPr>
        <w:t>level privileges [1]. Multifactor authentication should be applied consistently, particularly to privileged accounts [1], [3]. Even so, push</w:t>
      </w:r>
      <w:r w:rsidR="002674BA">
        <w:rPr>
          <w:sz w:val="19"/>
        </w:rPr>
        <w:t>-</w:t>
      </w:r>
      <w:r>
        <w:rPr>
          <w:sz w:val="19"/>
        </w:rPr>
        <w:t>notification MFA can be defeated through repeated approval requests or session theft, while phishing</w:t>
      </w:r>
      <w:r w:rsidR="002674BA">
        <w:rPr>
          <w:sz w:val="19"/>
        </w:rPr>
        <w:t>-</w:t>
      </w:r>
      <w:r>
        <w:rPr>
          <w:sz w:val="19"/>
        </w:rPr>
        <w:t>resistant methods such as FIDO2 provide stronger protection for high</w:t>
      </w:r>
      <w:r w:rsidR="002674BA">
        <w:rPr>
          <w:sz w:val="19"/>
        </w:rPr>
        <w:t>-</w:t>
      </w:r>
      <w:r>
        <w:rPr>
          <w:sz w:val="19"/>
        </w:rPr>
        <w:t>risk systems [14].</w:t>
      </w:r>
    </w:p>
    <w:p w14:paraId="21C438CB" w14:textId="77777777" w:rsidR="00BA4598" w:rsidRDefault="00BA4598" w:rsidP="00BA4598">
      <w:pPr>
        <w:spacing w:before="80" w:after="20"/>
        <w:ind w:left="173"/>
      </w:pPr>
      <w:r>
        <w:rPr>
          <w:i/>
          <w:sz w:val="20"/>
        </w:rPr>
        <w:t>B. Zero Trust Network Access and SASE</w:t>
      </w:r>
    </w:p>
    <w:p w14:paraId="7FC38D8C" w14:textId="77777777" w:rsidR="00BA4598" w:rsidRDefault="00BA4598" w:rsidP="00BA4598">
      <w:pPr>
        <w:spacing w:before="40"/>
        <w:ind w:left="259"/>
      </w:pPr>
      <w:r>
        <w:rPr>
          <w:i/>
          <w:sz w:val="20"/>
        </w:rPr>
        <w:t>1) ZTNA</w:t>
      </w:r>
    </w:p>
    <w:p w14:paraId="0C1A30D8" w14:textId="77777777" w:rsidR="00BA4598" w:rsidRDefault="00BA4598" w:rsidP="00BA4598">
      <w:pPr>
        <w:spacing w:after="40"/>
      </w:pPr>
      <w:r>
        <w:rPr>
          <w:sz w:val="19"/>
        </w:rPr>
        <w:t>ZTNA gives a user access to a specific application rather than placing the user broadly inside an internal network [1]. This can reduce exposure because applications that have not been authorised do not need to be visible. However, ZTNA should not be confused with Zero Trust as a whole. Weak identity checks or overly broad rules can still recreate many of the same risks found in traditional VPN access.</w:t>
      </w:r>
    </w:p>
    <w:p w14:paraId="63D0810B" w14:textId="77777777" w:rsidR="00BA4598" w:rsidRDefault="00BA4598" w:rsidP="00BA4598">
      <w:pPr>
        <w:spacing w:before="40"/>
        <w:ind w:left="259"/>
      </w:pPr>
      <w:r>
        <w:rPr>
          <w:i/>
          <w:sz w:val="20"/>
        </w:rPr>
        <w:t>2) SASE</w:t>
      </w:r>
    </w:p>
    <w:p w14:paraId="50F37423" w14:textId="15F065C4" w:rsidR="00BA4598" w:rsidRDefault="00BA4598" w:rsidP="00BA4598">
      <w:pPr>
        <w:spacing w:after="40"/>
      </w:pPr>
      <w:r>
        <w:rPr>
          <w:sz w:val="19"/>
        </w:rPr>
        <w:lastRenderedPageBreak/>
        <w:t>SASE brings together cloud</w:t>
      </w:r>
      <w:r w:rsidR="002674BA">
        <w:rPr>
          <w:sz w:val="19"/>
        </w:rPr>
        <w:t>-</w:t>
      </w:r>
      <w:r>
        <w:rPr>
          <w:sz w:val="19"/>
        </w:rPr>
        <w:t>delivered networking and security services such as ZTNA, secure web gateways, cloud access security brokers and firewall services [2]. It can help organisations apply the same policy to users in different locations. The trade</w:t>
      </w:r>
      <w:r w:rsidR="002674BA">
        <w:rPr>
          <w:sz w:val="19"/>
        </w:rPr>
        <w:t>-</w:t>
      </w:r>
      <w:r>
        <w:rPr>
          <w:sz w:val="19"/>
        </w:rPr>
        <w:t>off is greater reliance on external providers, which may introduce concentration risk, latency, migration cost and data</w:t>
      </w:r>
      <w:r w:rsidR="002674BA">
        <w:rPr>
          <w:sz w:val="19"/>
        </w:rPr>
        <w:t>-</w:t>
      </w:r>
      <w:r>
        <w:rPr>
          <w:sz w:val="19"/>
        </w:rPr>
        <w:t>residency concerns [2], [11]. SASE is therefore best viewed as one way of delivering Zero Trust controls rather than as the architecture itself.</w:t>
      </w:r>
    </w:p>
    <w:p w14:paraId="26BB4732" w14:textId="553201C6" w:rsidR="00BA4598" w:rsidRDefault="00BA4598" w:rsidP="00BA4598">
      <w:pPr>
        <w:spacing w:before="80" w:after="20"/>
        <w:ind w:left="173"/>
      </w:pPr>
      <w:r>
        <w:rPr>
          <w:i/>
          <w:sz w:val="20"/>
        </w:rPr>
        <w:t xml:space="preserve">C. </w:t>
      </w:r>
      <w:r w:rsidR="00AC097B">
        <w:rPr>
          <w:i/>
          <w:sz w:val="20"/>
        </w:rPr>
        <w:t>Micro segmentation</w:t>
      </w:r>
      <w:r>
        <w:rPr>
          <w:i/>
          <w:sz w:val="20"/>
        </w:rPr>
        <w:t>, SIEM and Automated Response</w:t>
      </w:r>
    </w:p>
    <w:p w14:paraId="79A712E4" w14:textId="5A936C1F" w:rsidR="00BA4598" w:rsidRDefault="00BA4598" w:rsidP="00BA4598">
      <w:pPr>
        <w:spacing w:before="40"/>
        <w:ind w:left="259"/>
      </w:pPr>
      <w:r>
        <w:rPr>
          <w:i/>
          <w:sz w:val="20"/>
        </w:rPr>
        <w:t xml:space="preserve">1) </w:t>
      </w:r>
      <w:r w:rsidR="00AC097B">
        <w:rPr>
          <w:i/>
          <w:sz w:val="20"/>
        </w:rPr>
        <w:t>Micro segmentation</w:t>
      </w:r>
    </w:p>
    <w:p w14:paraId="198CAAD8" w14:textId="12AD5B84" w:rsidR="00BA4598" w:rsidRDefault="00AC097B" w:rsidP="00BA4598">
      <w:pPr>
        <w:spacing w:after="40"/>
      </w:pPr>
      <w:r>
        <w:rPr>
          <w:sz w:val="19"/>
        </w:rPr>
        <w:t>Micro segmentation</w:t>
      </w:r>
      <w:r w:rsidR="00BA4598">
        <w:rPr>
          <w:sz w:val="19"/>
        </w:rPr>
        <w:t xml:space="preserve"> reduces the routes available between workloads, making it harder for an attacker who compromises one application to reach unrelated systems [5]. The main implementation challenge is dependency mapping. Policies that are too strict may break legitimate services, while broad exceptions can weaken the protection the organisation intended to create.</w:t>
      </w:r>
    </w:p>
    <w:p w14:paraId="4482D73E" w14:textId="77777777" w:rsidR="00BA4598" w:rsidRDefault="00BA4598" w:rsidP="00BA4598">
      <w:pPr>
        <w:spacing w:before="40"/>
        <w:ind w:left="259"/>
      </w:pPr>
      <w:r>
        <w:rPr>
          <w:i/>
          <w:sz w:val="20"/>
        </w:rPr>
        <w:t>2) SIEM, XDR and SOAR</w:t>
      </w:r>
    </w:p>
    <w:p w14:paraId="6A8836E5" w14:textId="48851177" w:rsidR="00BA4598" w:rsidRDefault="00BA4598" w:rsidP="00BA4598">
      <w:pPr>
        <w:spacing w:after="40"/>
      </w:pPr>
      <w:r>
        <w:rPr>
          <w:sz w:val="19"/>
        </w:rPr>
        <w:t>SIEM and XDR platforms can combine signals from identity systems, endpoints, cloud services and networks to identify suspicious behaviour across several layers [13]. SOAR can then carry out actions such as revoking a token, isolating an endpoint or asking for stronger authentication [13]. This can shorten response time, but automated actions based on poor</w:t>
      </w:r>
      <w:r w:rsidR="002674BA">
        <w:rPr>
          <w:sz w:val="19"/>
        </w:rPr>
        <w:t>-</w:t>
      </w:r>
      <w:r>
        <w:rPr>
          <w:sz w:val="19"/>
        </w:rPr>
        <w:t>quality alerts may disrupt legitimate work. High</w:t>
      </w:r>
      <w:r w:rsidR="002674BA">
        <w:rPr>
          <w:sz w:val="19"/>
        </w:rPr>
        <w:t>-</w:t>
      </w:r>
      <w:r>
        <w:rPr>
          <w:sz w:val="19"/>
        </w:rPr>
        <w:t>impact playbooks should therefore be tested, logged and subject to human approval where necessary. The relationship between policy decision, policy enforcement and supporting security components is illustrated in Fig. 1 [13].</w:t>
      </w:r>
    </w:p>
    <w:p w14:paraId="06AED313" w14:textId="77777777" w:rsidR="00BA4598" w:rsidRDefault="00BA4598" w:rsidP="00BA4598">
      <w:pPr>
        <w:jc w:val="center"/>
      </w:pPr>
      <w:r>
        <w:rPr>
          <w:noProof/>
        </w:rPr>
        <w:drawing>
          <wp:inline distT="0" distB="0" distL="0" distR="0" wp14:anchorId="7DA84617" wp14:editId="3B95ED99">
            <wp:extent cx="2971800" cy="177909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ist_zta_reference.png"/>
                    <pic:cNvPicPr/>
                  </pic:nvPicPr>
                  <pic:blipFill>
                    <a:blip r:embed="rId11"/>
                    <a:stretch>
                      <a:fillRect/>
                    </a:stretch>
                  </pic:blipFill>
                  <pic:spPr>
                    <a:xfrm>
                      <a:off x="0" y="0"/>
                      <a:ext cx="2971800" cy="1779091"/>
                    </a:xfrm>
                    <a:prstGeom prst="rect">
                      <a:avLst/>
                    </a:prstGeom>
                  </pic:spPr>
                </pic:pic>
              </a:graphicData>
            </a:graphic>
          </wp:inline>
        </w:drawing>
      </w:r>
    </w:p>
    <w:p w14:paraId="7BE4383F" w14:textId="77777777" w:rsidR="00BA4598" w:rsidRDefault="00BA4598" w:rsidP="00BA4598">
      <w:pPr>
        <w:spacing w:after="80"/>
        <w:jc w:val="center"/>
      </w:pPr>
      <w:r>
        <w:rPr>
          <w:i/>
          <w:sz w:val="16"/>
        </w:rPr>
        <w:t>Fig. 1. General ZTA reference architecture [13].</w:t>
      </w:r>
    </w:p>
    <w:p w14:paraId="7D4EB980" w14:textId="77777777" w:rsidR="00BA4598" w:rsidRPr="00503654" w:rsidRDefault="00BA4598" w:rsidP="00851247">
      <w:pPr>
        <w:pStyle w:val="Heading2"/>
        <w:rPr>
          <w:rStyle w:val="BookTitle"/>
        </w:rPr>
      </w:pPr>
      <w:bookmarkStart w:id="9" w:name="_Toc236065656"/>
      <w:r w:rsidRPr="00503654">
        <w:rPr>
          <w:rStyle w:val="BookTitle"/>
        </w:rPr>
        <w:t>V. IMPLEMENTATION STRATEGIES FOR ZERO TRUST</w:t>
      </w:r>
      <w:bookmarkEnd w:id="9"/>
    </w:p>
    <w:p w14:paraId="502F6400" w14:textId="77777777" w:rsidR="00BA4598" w:rsidRDefault="00BA4598" w:rsidP="00BA4598">
      <w:pPr>
        <w:spacing w:before="80" w:after="20"/>
        <w:ind w:left="173"/>
      </w:pPr>
      <w:r>
        <w:rPr>
          <w:i/>
          <w:sz w:val="20"/>
        </w:rPr>
        <w:t>A. Conducting Asset and Risk Assessments</w:t>
      </w:r>
    </w:p>
    <w:p w14:paraId="451C419F" w14:textId="77777777" w:rsidR="00BA4598" w:rsidRDefault="00BA4598" w:rsidP="00BA4598">
      <w:pPr>
        <w:spacing w:after="40"/>
      </w:pPr>
      <w:r>
        <w:rPr>
          <w:sz w:val="19"/>
        </w:rPr>
        <w:t>A Zero Trust programme should start with a clear inventory of users, devices, applications, workloads, data and service identities [3], [4]. Without this information, the organisation cannot confidently decide what should be trusted, restricted or monitored. Threat modelling can then identify the most important resources and the most realistic routes an attacker might use.</w:t>
      </w:r>
    </w:p>
    <w:p w14:paraId="680E40A2" w14:textId="77777777" w:rsidR="00BA4598" w:rsidRDefault="00BA4598" w:rsidP="00BA4598">
      <w:pPr>
        <w:spacing w:before="80" w:after="20"/>
        <w:ind w:left="173"/>
      </w:pPr>
      <w:r>
        <w:rPr>
          <w:i/>
          <w:sz w:val="20"/>
        </w:rPr>
        <w:t>B. Designing a Phased Migration Plan</w:t>
      </w:r>
    </w:p>
    <w:p w14:paraId="05D278D2" w14:textId="58E2B85F" w:rsidR="00BA4598" w:rsidRDefault="00BA4598" w:rsidP="00BA4598">
      <w:pPr>
        <w:spacing w:after="40"/>
      </w:pPr>
      <w:r>
        <w:rPr>
          <w:sz w:val="19"/>
        </w:rPr>
        <w:t>Migration should be carried out in stages, beginning with privileged accounts, internet</w:t>
      </w:r>
      <w:r w:rsidR="002674BA">
        <w:rPr>
          <w:sz w:val="19"/>
        </w:rPr>
        <w:t>-</w:t>
      </w:r>
      <w:r>
        <w:rPr>
          <w:sz w:val="19"/>
        </w:rPr>
        <w:t xml:space="preserve">facing applications and sensitive information [4], [6]. Some legacy systems may need to operate alongside newer controls for </w:t>
      </w:r>
      <w:r w:rsidR="00851247">
        <w:rPr>
          <w:sz w:val="19"/>
        </w:rPr>
        <w:t>a period</w:t>
      </w:r>
      <w:r>
        <w:rPr>
          <w:sz w:val="19"/>
        </w:rPr>
        <w:t>. Where this happens, exceptions should have a named owner, a review date and suitable compensating controls rather than becoming permanent gaps.</w:t>
      </w:r>
    </w:p>
    <w:p w14:paraId="7671CE54" w14:textId="77777777" w:rsidR="00BA4598" w:rsidRDefault="00BA4598" w:rsidP="00BA4598">
      <w:pPr>
        <w:spacing w:before="80" w:after="20"/>
        <w:ind w:left="173"/>
      </w:pPr>
      <w:r>
        <w:rPr>
          <w:i/>
          <w:sz w:val="20"/>
        </w:rPr>
        <w:t>C. Training and Organisational Change</w:t>
      </w:r>
    </w:p>
    <w:p w14:paraId="070555A5" w14:textId="77777777" w:rsidR="00BA4598" w:rsidRDefault="00BA4598" w:rsidP="00BA4598">
      <w:pPr>
        <w:spacing w:after="40"/>
      </w:pPr>
      <w:r>
        <w:rPr>
          <w:sz w:val="19"/>
        </w:rPr>
        <w:t>Yeoh et al. found that leadership, skills, governance and organisational readiness are as important as the technology itself [4]. Staff need to understand why access arrangements are changing, and support teams need safe ways to resolve genuine lockouts. Without this, users may look for workarounds that weaken the intended controls.</w:t>
      </w:r>
    </w:p>
    <w:p w14:paraId="72B3486C" w14:textId="77777777" w:rsidR="00BA4598" w:rsidRDefault="00BA4598" w:rsidP="00BA4598">
      <w:pPr>
        <w:spacing w:before="80" w:after="20"/>
        <w:ind w:left="173"/>
      </w:pPr>
      <w:r>
        <w:rPr>
          <w:i/>
          <w:sz w:val="20"/>
        </w:rPr>
        <w:t>D. Continuous Testing and Improvement</w:t>
      </w:r>
    </w:p>
    <w:p w14:paraId="62EE3AE3" w14:textId="149FF548" w:rsidR="00BA4598" w:rsidRDefault="00BA4598" w:rsidP="00BA4598">
      <w:pPr>
        <w:spacing w:after="40"/>
      </w:pPr>
      <w:r>
        <w:rPr>
          <w:sz w:val="19"/>
        </w:rPr>
        <w:t>Policies, segmentation rules and automated response playbooks should be tested against realistic attack scenarios [3], [13]. Useful measures include the number of excessive privileges removed, the percentage of high</w:t>
      </w:r>
      <w:r w:rsidR="002674BA">
        <w:rPr>
          <w:sz w:val="19"/>
        </w:rPr>
        <w:t>-</w:t>
      </w:r>
      <w:r>
        <w:rPr>
          <w:sz w:val="19"/>
        </w:rPr>
        <w:t>risk accounts using phishing</w:t>
      </w:r>
      <w:r w:rsidR="002674BA">
        <w:rPr>
          <w:sz w:val="19"/>
        </w:rPr>
        <w:t>-</w:t>
      </w:r>
      <w:r>
        <w:rPr>
          <w:sz w:val="19"/>
        </w:rPr>
        <w:t>resistant MFA, the time taken to contain an incident and the number of unauthorised requests blocked. These measures are more meaningful than simply counting how many products have been installed.</w:t>
      </w:r>
    </w:p>
    <w:p w14:paraId="685606A1" w14:textId="77777777" w:rsidR="00BA4598" w:rsidRPr="00503654" w:rsidRDefault="00BA4598" w:rsidP="00851247">
      <w:pPr>
        <w:pStyle w:val="Heading2"/>
        <w:rPr>
          <w:rStyle w:val="BookTitle"/>
        </w:rPr>
      </w:pPr>
      <w:bookmarkStart w:id="10" w:name="_Toc236065657"/>
      <w:r w:rsidRPr="00503654">
        <w:rPr>
          <w:rStyle w:val="BookTitle"/>
        </w:rPr>
        <w:t>VI. CASE STUDY – MICROSOFT MIDNIGHT BLIZZARD</w:t>
      </w:r>
      <w:bookmarkEnd w:id="10"/>
    </w:p>
    <w:p w14:paraId="47494B78" w14:textId="77777777" w:rsidR="00BA4598" w:rsidRDefault="00BA4598" w:rsidP="00BA4598">
      <w:pPr>
        <w:spacing w:before="80" w:after="20"/>
        <w:ind w:left="173"/>
      </w:pPr>
      <w:r>
        <w:rPr>
          <w:i/>
          <w:sz w:val="20"/>
        </w:rPr>
        <w:t>A. Incident Overview</w:t>
      </w:r>
    </w:p>
    <w:p w14:paraId="61E11388" w14:textId="2EEE4403" w:rsidR="00BA4598" w:rsidRDefault="00BA4598" w:rsidP="00BA4598">
      <w:pPr>
        <w:spacing w:after="40"/>
      </w:pPr>
      <w:r>
        <w:rPr>
          <w:sz w:val="19"/>
        </w:rPr>
        <w:t>In January 2024, Microsoft reported that Midnight Blizzard, a Russian state</w:t>
      </w:r>
      <w:r w:rsidR="002674BA">
        <w:rPr>
          <w:sz w:val="19"/>
        </w:rPr>
        <w:t>-</w:t>
      </w:r>
      <w:r>
        <w:rPr>
          <w:sz w:val="19"/>
        </w:rPr>
        <w:t>sponsored group, had used password spraying to compromise a legacy test</w:t>
      </w:r>
      <w:r w:rsidR="002674BA">
        <w:rPr>
          <w:sz w:val="19"/>
        </w:rPr>
        <w:t>-</w:t>
      </w:r>
      <w:r>
        <w:rPr>
          <w:sz w:val="19"/>
        </w:rPr>
        <w:t>tenant account [7]. The account was not protected by multifactor authentication. The attackers then identified a legacy OAuth application with elevated permissions and created additional malicious OAuth applications, allowing them to access selected corporate email accounts [7].</w:t>
      </w:r>
    </w:p>
    <w:p w14:paraId="12B7398D" w14:textId="77777777" w:rsidR="00BA4598" w:rsidRDefault="00BA4598" w:rsidP="00BA4598">
      <w:pPr>
        <w:spacing w:before="80" w:after="20"/>
        <w:ind w:left="173"/>
      </w:pPr>
      <w:r>
        <w:rPr>
          <w:i/>
          <w:sz w:val="20"/>
        </w:rPr>
        <w:t>B. Zero Trust Failures Identified</w:t>
      </w:r>
    </w:p>
    <w:p w14:paraId="1A279457" w14:textId="613C0E2E" w:rsidR="00BA4598" w:rsidRDefault="00BA4598" w:rsidP="00BA4598">
      <w:pPr>
        <w:spacing w:after="40"/>
      </w:pPr>
      <w:r>
        <w:rPr>
          <w:sz w:val="19"/>
        </w:rPr>
        <w:t>The incident exposed several weaknesses that conflict with Zero Trust principles: inconsistent authentication, excessive application permissions and poor separation between a test identity and production resources [7]. It also showed that the label ‘non</w:t>
      </w:r>
      <w:r w:rsidR="002674BA">
        <w:rPr>
          <w:sz w:val="19"/>
        </w:rPr>
        <w:t>-</w:t>
      </w:r>
      <w:r>
        <w:rPr>
          <w:sz w:val="19"/>
        </w:rPr>
        <w:t xml:space="preserve">production’ does not </w:t>
      </w:r>
      <w:r>
        <w:rPr>
          <w:sz w:val="19"/>
        </w:rPr>
        <w:lastRenderedPageBreak/>
        <w:t>make an asset low risk when trust relationships still connect it to sensitive services.</w:t>
      </w:r>
    </w:p>
    <w:p w14:paraId="7B729755" w14:textId="77777777" w:rsidR="00BA4598" w:rsidRDefault="00BA4598" w:rsidP="00BA4598">
      <w:pPr>
        <w:spacing w:before="80" w:after="20"/>
        <w:ind w:left="173"/>
      </w:pPr>
      <w:r>
        <w:rPr>
          <w:i/>
          <w:sz w:val="20"/>
        </w:rPr>
        <w:t>C. Measures Required</w:t>
      </w:r>
    </w:p>
    <w:p w14:paraId="76248DE3" w14:textId="0337F1C8" w:rsidR="00BA4598" w:rsidRDefault="00BA4598" w:rsidP="00BA4598">
      <w:pPr>
        <w:spacing w:after="40"/>
      </w:pPr>
      <w:r>
        <w:rPr>
          <w:sz w:val="19"/>
        </w:rPr>
        <w:t>The most relevant improvements are phishing</w:t>
      </w:r>
      <w:r w:rsidR="002674BA">
        <w:rPr>
          <w:sz w:val="19"/>
        </w:rPr>
        <w:t>-</w:t>
      </w:r>
      <w:r>
        <w:rPr>
          <w:sz w:val="19"/>
        </w:rPr>
        <w:t>resistant MFA, automatic discovery of dormant accounts, regular review of OAuth permissions, conditional access for service principals and stronger monitoring of unusual consent or token activity [1], [3], [7], [14]. Legacy exceptions should also be recorded and reviewed, rather than being allowed to remain outside the target architecture indefinitely.</w:t>
      </w:r>
    </w:p>
    <w:p w14:paraId="736440F6" w14:textId="77777777" w:rsidR="00BA4598" w:rsidRDefault="00BA4598" w:rsidP="00BA4598">
      <w:pPr>
        <w:spacing w:before="80" w:after="20"/>
        <w:ind w:left="173"/>
      </w:pPr>
      <w:r>
        <w:rPr>
          <w:i/>
          <w:sz w:val="20"/>
        </w:rPr>
        <w:t>D. Lessons Learned</w:t>
      </w:r>
    </w:p>
    <w:p w14:paraId="681D152D" w14:textId="72DC748C" w:rsidR="00BA4598" w:rsidRDefault="00BA4598" w:rsidP="00BA4598">
      <w:pPr>
        <w:spacing w:after="40"/>
      </w:pPr>
      <w:r>
        <w:rPr>
          <w:sz w:val="19"/>
        </w:rPr>
        <w:t>The main lesson is that supporting Zero Trust in principle is not the same as applying it consistently. Large organisations build up technical debt over time, and one forgotten account can undermine stronger controls elsewhere. Continuous assurance is therefore needed across legacy, test, human and non</w:t>
      </w:r>
      <w:r w:rsidR="002674BA">
        <w:rPr>
          <w:sz w:val="19"/>
        </w:rPr>
        <w:t>-</w:t>
      </w:r>
      <w:r>
        <w:rPr>
          <w:sz w:val="19"/>
        </w:rPr>
        <w:t>human identities.</w:t>
      </w:r>
    </w:p>
    <w:p w14:paraId="3EC24A45" w14:textId="77777777" w:rsidR="00BA4598" w:rsidRPr="00503654" w:rsidRDefault="00BA4598" w:rsidP="00851247">
      <w:pPr>
        <w:pStyle w:val="Heading2"/>
        <w:rPr>
          <w:rStyle w:val="BookTitle"/>
        </w:rPr>
      </w:pPr>
      <w:bookmarkStart w:id="11" w:name="_Toc236065658"/>
      <w:r w:rsidRPr="00503654">
        <w:rPr>
          <w:rStyle w:val="BookTitle"/>
        </w:rPr>
        <w:t>VII. CHALLENGES AND FUTURE TRENDS</w:t>
      </w:r>
      <w:bookmarkEnd w:id="11"/>
    </w:p>
    <w:p w14:paraId="3EA81AA0" w14:textId="77777777" w:rsidR="00BA4598" w:rsidRDefault="00BA4598" w:rsidP="00BA4598">
      <w:pPr>
        <w:spacing w:before="80" w:after="20"/>
        <w:ind w:left="173"/>
      </w:pPr>
      <w:r>
        <w:rPr>
          <w:i/>
          <w:sz w:val="20"/>
        </w:rPr>
        <w:t>A. Legacy Systems and Cost</w:t>
      </w:r>
    </w:p>
    <w:p w14:paraId="521232A2" w14:textId="7DBDC20F" w:rsidR="00BA4598" w:rsidRDefault="00BA4598" w:rsidP="00BA4598">
      <w:pPr>
        <w:spacing w:after="40"/>
      </w:pPr>
      <w:r>
        <w:rPr>
          <w:sz w:val="19"/>
        </w:rPr>
        <w:t>Legacy applications may not support modern authentication, detailed logging or fine</w:t>
      </w:r>
      <w:r w:rsidR="002674BA">
        <w:rPr>
          <w:sz w:val="19"/>
        </w:rPr>
        <w:t>-</w:t>
      </w:r>
      <w:r>
        <w:rPr>
          <w:sz w:val="19"/>
        </w:rPr>
        <w:t>grained authorisation, which can make migration both costly and risky [6]. A realistic cost assessment should include integration work, staff training, process changes and ongoing support, not just software licences [11].</w:t>
      </w:r>
    </w:p>
    <w:p w14:paraId="1F2D47C5" w14:textId="77777777" w:rsidR="00BA4598" w:rsidRDefault="00BA4598" w:rsidP="00BA4598">
      <w:pPr>
        <w:spacing w:before="80" w:after="20"/>
        <w:ind w:left="173"/>
      </w:pPr>
      <w:r>
        <w:rPr>
          <w:i/>
          <w:sz w:val="20"/>
        </w:rPr>
        <w:t>B. Privacy and Behavioural Monitoring</w:t>
      </w:r>
    </w:p>
    <w:p w14:paraId="27271F05" w14:textId="77777777" w:rsidR="00BA4598" w:rsidRDefault="00BA4598" w:rsidP="00BA4598">
      <w:pPr>
        <w:spacing w:after="40"/>
      </w:pPr>
      <w:r>
        <w:rPr>
          <w:sz w:val="19"/>
        </w:rPr>
        <w:t>Continuous access decisions may rely on location, device and behavioural information [2], [4]. This creates privacy and employment concerns, especially where staff do not understand how the data is being used. Organisations should limit collection, define retention periods, restrict access to monitoring data and allow human review of important automated decisions.</w:t>
      </w:r>
    </w:p>
    <w:p w14:paraId="22DDBD1D" w14:textId="77777777" w:rsidR="00BA4598" w:rsidRDefault="00BA4598" w:rsidP="00BA4598">
      <w:pPr>
        <w:spacing w:before="80" w:after="20"/>
        <w:ind w:left="173"/>
      </w:pPr>
      <w:r>
        <w:rPr>
          <w:i/>
          <w:sz w:val="20"/>
        </w:rPr>
        <w:t>C. Artificial Intelligence and Adaptive Access</w:t>
      </w:r>
    </w:p>
    <w:p w14:paraId="2FACC127" w14:textId="3FCE950B" w:rsidR="00BA4598" w:rsidRDefault="00BA4598" w:rsidP="00BA4598">
      <w:pPr>
        <w:spacing w:after="40"/>
      </w:pPr>
      <w:r>
        <w:rPr>
          <w:sz w:val="19"/>
        </w:rPr>
        <w:t>Machine learning can help rank alerts and adjust access according to risk, but its decisions may be difficult to explain [2]. Poor training data can also produce false positives, and attackers may try to manipulate the information used by the model. A safer approach is to combine machine</w:t>
      </w:r>
      <w:r w:rsidR="002674BA">
        <w:rPr>
          <w:sz w:val="19"/>
        </w:rPr>
        <w:t>-</w:t>
      </w:r>
      <w:r>
        <w:rPr>
          <w:sz w:val="19"/>
        </w:rPr>
        <w:t>learning analysis with clear rules and accountable human oversight.</w:t>
      </w:r>
    </w:p>
    <w:p w14:paraId="117AB0D0" w14:textId="378C8C89" w:rsidR="00BA4598" w:rsidRDefault="00BA4598" w:rsidP="00BA4598">
      <w:pPr>
        <w:spacing w:before="80" w:after="20"/>
        <w:ind w:left="173"/>
      </w:pPr>
      <w:r>
        <w:rPr>
          <w:i/>
          <w:sz w:val="20"/>
        </w:rPr>
        <w:t>D. Non</w:t>
      </w:r>
      <w:r w:rsidR="002674BA">
        <w:rPr>
          <w:i/>
          <w:sz w:val="20"/>
        </w:rPr>
        <w:t>-</w:t>
      </w:r>
      <w:r>
        <w:rPr>
          <w:i/>
          <w:sz w:val="20"/>
        </w:rPr>
        <w:t>Human Identities and Multi</w:t>
      </w:r>
      <w:r w:rsidR="002674BA">
        <w:rPr>
          <w:i/>
          <w:sz w:val="20"/>
        </w:rPr>
        <w:t>-</w:t>
      </w:r>
      <w:r>
        <w:rPr>
          <w:i/>
          <w:sz w:val="20"/>
        </w:rPr>
        <w:t>Cloud Security</w:t>
      </w:r>
    </w:p>
    <w:p w14:paraId="2ADDE585" w14:textId="1B7F7F35" w:rsidR="00BA4598" w:rsidRDefault="00BA4598" w:rsidP="00BA4598">
      <w:pPr>
        <w:spacing w:after="40"/>
      </w:pPr>
      <w:r>
        <w:rPr>
          <w:sz w:val="19"/>
        </w:rPr>
        <w:t>APIs, containers and automated workloads are increasing the number of non</w:t>
      </w:r>
      <w:r w:rsidR="002674BA">
        <w:rPr>
          <w:sz w:val="19"/>
        </w:rPr>
        <w:t>-</w:t>
      </w:r>
      <w:r>
        <w:rPr>
          <w:sz w:val="19"/>
        </w:rPr>
        <w:t>human identities used by organisations. In some environments, these identities may outnumber employee accounts. NIST SP 800</w:t>
      </w:r>
      <w:r w:rsidR="002674BA">
        <w:rPr>
          <w:sz w:val="19"/>
        </w:rPr>
        <w:t>-</w:t>
      </w:r>
      <w:r>
        <w:rPr>
          <w:sz w:val="19"/>
        </w:rPr>
        <w:t>207A extends Zero Trust towards application</w:t>
      </w:r>
      <w:r w:rsidR="002674BA">
        <w:rPr>
          <w:sz w:val="19"/>
        </w:rPr>
        <w:t>-</w:t>
      </w:r>
      <w:r>
        <w:rPr>
          <w:sz w:val="19"/>
        </w:rPr>
        <w:t>level access in hybrid and multi</w:t>
      </w:r>
      <w:r w:rsidR="002674BA">
        <w:rPr>
          <w:sz w:val="19"/>
        </w:rPr>
        <w:t>-</w:t>
      </w:r>
      <w:r>
        <w:rPr>
          <w:sz w:val="19"/>
        </w:rPr>
        <w:t xml:space="preserve">cloud systems [12]. This means service accounts, workload certificates and </w:t>
      </w:r>
      <w:r>
        <w:rPr>
          <w:sz w:val="19"/>
        </w:rPr>
        <w:t>application tokens need the same level of governance as human users.</w:t>
      </w:r>
    </w:p>
    <w:p w14:paraId="1DBADD82" w14:textId="77777777" w:rsidR="00BA4598" w:rsidRDefault="00BA4598" w:rsidP="00BA4598">
      <w:pPr>
        <w:spacing w:before="140" w:after="60"/>
        <w:jc w:val="center"/>
      </w:pPr>
      <w:r>
        <w:rPr>
          <w:sz w:val="22"/>
        </w:rPr>
        <w:t>VIII. CONCLUSION</w:t>
      </w:r>
    </w:p>
    <w:p w14:paraId="24D094ED" w14:textId="547FE3BC" w:rsidR="00BA4598" w:rsidRDefault="00BA4598" w:rsidP="00BA4598">
      <w:pPr>
        <w:spacing w:after="40"/>
      </w:pPr>
      <w:r>
        <w:rPr>
          <w:sz w:val="19"/>
        </w:rPr>
        <w:t xml:space="preserve">Zero Trust is well suited to modern environments because it bases access on identity, device condition and resource context rather than trusting network location [1]. Its principles can reduce lateral movement, improve visibility and help organisations contain compromised accounts or devices more quickly. Identity governance, ZTNA, SASE, </w:t>
      </w:r>
      <w:r w:rsidR="00AC097B">
        <w:rPr>
          <w:sz w:val="19"/>
        </w:rPr>
        <w:t>Micro segmentation</w:t>
      </w:r>
      <w:r>
        <w:rPr>
          <w:sz w:val="19"/>
        </w:rPr>
        <w:t>, SIEM, XDR and SOAR all support the model, but none of them delivers Zero Trust on its own.</w:t>
      </w:r>
    </w:p>
    <w:p w14:paraId="70EE139F" w14:textId="77777777" w:rsidR="00BA4598" w:rsidRDefault="00BA4598" w:rsidP="00BA4598">
      <w:pPr>
        <w:spacing w:after="40"/>
      </w:pPr>
      <w:r>
        <w:rPr>
          <w:sz w:val="19"/>
        </w:rPr>
        <w:t>The Midnight Blizzard incident shows how inconsistent MFA and excessive legacy permissions can weaken an otherwise mature security environment [7]. Successful adoption requires phased implementation, clear ownership, regular testing, privacy safeguards and resilient decision systems [3]</w:t>
      </w:r>
      <w:proofErr w:type="gramStart"/>
      <w:r>
        <w:rPr>
          <w:sz w:val="19"/>
        </w:rPr>
        <w:t>–[</w:t>
      </w:r>
      <w:proofErr w:type="gramEnd"/>
      <w:r>
        <w:rPr>
          <w:sz w:val="19"/>
        </w:rPr>
        <w:t>6]. In practice, Zero Trust should be judged by whether it reduces access risk and limits incident impact, not by how many products have been purchased or what maturity label the organisation claims.</w:t>
      </w:r>
    </w:p>
    <w:p w14:paraId="7873BE8F" w14:textId="77777777" w:rsidR="00BA4598" w:rsidRPr="00503654" w:rsidRDefault="00BA4598" w:rsidP="00851247">
      <w:pPr>
        <w:pStyle w:val="Heading2"/>
        <w:rPr>
          <w:rStyle w:val="BookTitle"/>
        </w:rPr>
      </w:pPr>
      <w:bookmarkStart w:id="12" w:name="_Toc236065659"/>
      <w:r w:rsidRPr="00503654">
        <w:rPr>
          <w:rStyle w:val="BookTitle"/>
        </w:rPr>
        <w:t>IX. REFERENCES</w:t>
      </w:r>
      <w:bookmarkEnd w:id="12"/>
    </w:p>
    <w:p w14:paraId="0B626146" w14:textId="351241A5" w:rsidR="00BA4598" w:rsidRDefault="00BA4598" w:rsidP="00BA4598">
      <w:pPr>
        <w:spacing w:after="40"/>
        <w:ind w:left="259" w:hanging="259"/>
      </w:pPr>
      <w:r>
        <w:rPr>
          <w:sz w:val="16"/>
        </w:rPr>
        <w:t>[1] S. Rose, O. Borchert, S. Mitchell and S. Connelly, “Zero Trust Architecture,” National Institute of Standards and Technology, NIST Special Publication 800</w:t>
      </w:r>
      <w:r w:rsidR="002674BA">
        <w:rPr>
          <w:sz w:val="16"/>
        </w:rPr>
        <w:t>-</w:t>
      </w:r>
      <w:r>
        <w:rPr>
          <w:sz w:val="16"/>
        </w:rPr>
        <w:t>207, Aug. 2020. [Online]. Available: https://doi.org/10.6028/NIST.SP.800</w:t>
      </w:r>
      <w:r w:rsidR="002674BA">
        <w:rPr>
          <w:sz w:val="16"/>
        </w:rPr>
        <w:t>-</w:t>
      </w:r>
      <w:r>
        <w:rPr>
          <w:sz w:val="16"/>
        </w:rPr>
        <w:t>207</w:t>
      </w:r>
    </w:p>
    <w:p w14:paraId="583A6E81" w14:textId="77777777" w:rsidR="00BA4598" w:rsidRDefault="00BA4598" w:rsidP="00BA4598">
      <w:pPr>
        <w:spacing w:after="40"/>
        <w:ind w:left="259" w:hanging="259"/>
      </w:pPr>
      <w:r>
        <w:rPr>
          <w:sz w:val="16"/>
        </w:rPr>
        <w:t>[2] N. F. Syed, S. W. Shah, A. Shaghaghi, A. Anwar, Z. Baig and R. Doss, “Zero Trust Architecture (ZTA): A Comprehensive Survey,” IEEE Access, vol. 10, pp. 57143–57179, 2022. [Online]. Available: https://doi.org/10.1109/ACCESS.2022.3174679</w:t>
      </w:r>
    </w:p>
    <w:p w14:paraId="54AE2DEB" w14:textId="5B500856" w:rsidR="00BA4598" w:rsidRDefault="00BA4598" w:rsidP="00BA4598">
      <w:pPr>
        <w:spacing w:after="40"/>
        <w:ind w:left="259" w:hanging="259"/>
      </w:pPr>
      <w:r>
        <w:rPr>
          <w:sz w:val="16"/>
        </w:rPr>
        <w:t>[3] Cybersecurity and Infrastructure Security Agency, “Zero Trust Maturity Model, Version 2.0,” Apr. 2023. [Online]. Available: https://www.cisa.gov/resources</w:t>
      </w:r>
      <w:r w:rsidR="002674BA">
        <w:rPr>
          <w:sz w:val="16"/>
        </w:rPr>
        <w:t>-</w:t>
      </w:r>
      <w:r>
        <w:rPr>
          <w:sz w:val="16"/>
        </w:rPr>
        <w:t>tools/resources/zero</w:t>
      </w:r>
      <w:r w:rsidR="002674BA">
        <w:rPr>
          <w:sz w:val="16"/>
        </w:rPr>
        <w:t>-</w:t>
      </w:r>
      <w:r>
        <w:rPr>
          <w:sz w:val="16"/>
        </w:rPr>
        <w:t>trust</w:t>
      </w:r>
      <w:r w:rsidR="002674BA">
        <w:rPr>
          <w:sz w:val="16"/>
        </w:rPr>
        <w:t>-</w:t>
      </w:r>
      <w:r>
        <w:rPr>
          <w:sz w:val="16"/>
        </w:rPr>
        <w:t>maturity</w:t>
      </w:r>
      <w:r w:rsidR="002674BA">
        <w:rPr>
          <w:sz w:val="16"/>
        </w:rPr>
        <w:t>-</w:t>
      </w:r>
      <w:r>
        <w:rPr>
          <w:sz w:val="16"/>
        </w:rPr>
        <w:t>model</w:t>
      </w:r>
    </w:p>
    <w:p w14:paraId="39246F28" w14:textId="77777777" w:rsidR="00BA4598" w:rsidRDefault="00BA4598" w:rsidP="00BA4598">
      <w:pPr>
        <w:spacing w:after="40"/>
        <w:ind w:left="259" w:hanging="259"/>
      </w:pPr>
      <w:r>
        <w:rPr>
          <w:sz w:val="16"/>
        </w:rPr>
        <w:t>[4] W. Yeoh, M. Liu, M. Shore and F. Jiang, “Zero trust cybersecurity: Critical success factors and a maturity assessment framework,” Computers &amp; Security, vol. 133, Art. no. 103412, 2023. [Online]. Available: https://doi.org/10.1016/j.cose.2023.103412</w:t>
      </w:r>
    </w:p>
    <w:p w14:paraId="45C922C1" w14:textId="77777777" w:rsidR="00BA4598" w:rsidRDefault="00BA4598" w:rsidP="00BA4598">
      <w:pPr>
        <w:spacing w:after="40"/>
        <w:ind w:left="259" w:hanging="259"/>
      </w:pPr>
      <w:r>
        <w:rPr>
          <w:sz w:val="16"/>
        </w:rPr>
        <w:t xml:space="preserve">[5] L. Ferretti, F. </w:t>
      </w:r>
      <w:proofErr w:type="spellStart"/>
      <w:r>
        <w:rPr>
          <w:sz w:val="16"/>
        </w:rPr>
        <w:t>Magnanini</w:t>
      </w:r>
      <w:proofErr w:type="spellEnd"/>
      <w:r>
        <w:rPr>
          <w:sz w:val="16"/>
        </w:rPr>
        <w:t xml:space="preserve">, M. </w:t>
      </w:r>
      <w:proofErr w:type="spellStart"/>
      <w:r>
        <w:rPr>
          <w:sz w:val="16"/>
        </w:rPr>
        <w:t>Andreolini</w:t>
      </w:r>
      <w:proofErr w:type="spellEnd"/>
      <w:r>
        <w:rPr>
          <w:sz w:val="16"/>
        </w:rPr>
        <w:t xml:space="preserve"> and M. </w:t>
      </w:r>
      <w:proofErr w:type="spellStart"/>
      <w:r>
        <w:rPr>
          <w:sz w:val="16"/>
        </w:rPr>
        <w:t>Colajanni</w:t>
      </w:r>
      <w:proofErr w:type="spellEnd"/>
      <w:r>
        <w:rPr>
          <w:sz w:val="16"/>
        </w:rPr>
        <w:t xml:space="preserve">, “Survivable zero trust for cloud computing environments,” Computers &amp; Security, vol. 110, Art. no. 102419, 2021, </w:t>
      </w:r>
      <w:proofErr w:type="spellStart"/>
      <w:r>
        <w:rPr>
          <w:sz w:val="16"/>
        </w:rPr>
        <w:t>doi</w:t>
      </w:r>
      <w:proofErr w:type="spellEnd"/>
      <w:r>
        <w:rPr>
          <w:sz w:val="16"/>
        </w:rPr>
        <w:t>: 10.1016/j.cose.2021.102419.</w:t>
      </w:r>
    </w:p>
    <w:p w14:paraId="50471C0E" w14:textId="77777777" w:rsidR="00BA4598" w:rsidRDefault="00BA4598" w:rsidP="00BA4598">
      <w:pPr>
        <w:spacing w:after="40"/>
        <w:ind w:left="259" w:hanging="259"/>
      </w:pPr>
      <w:r>
        <w:rPr>
          <w:sz w:val="16"/>
        </w:rPr>
        <w:t xml:space="preserve">[6] P. </w:t>
      </w:r>
      <w:proofErr w:type="spellStart"/>
      <w:r>
        <w:rPr>
          <w:sz w:val="16"/>
        </w:rPr>
        <w:t>Phiayura</w:t>
      </w:r>
      <w:proofErr w:type="spellEnd"/>
      <w:r>
        <w:rPr>
          <w:sz w:val="16"/>
        </w:rPr>
        <w:t xml:space="preserve"> and S. </w:t>
      </w:r>
      <w:proofErr w:type="spellStart"/>
      <w:r>
        <w:rPr>
          <w:sz w:val="16"/>
        </w:rPr>
        <w:t>Teerakanok</w:t>
      </w:r>
      <w:proofErr w:type="spellEnd"/>
      <w:r>
        <w:rPr>
          <w:sz w:val="16"/>
        </w:rPr>
        <w:t>, “A comprehensive framework for migrating to zero trust architecture,” IEEE Access, vol. 11, pp. 19487–19511, 2023. [Online]. Available: https://doi.org/10.1109/ACCESS.2023.3248622</w:t>
      </w:r>
    </w:p>
    <w:p w14:paraId="530C2C09" w14:textId="0A9041B4" w:rsidR="00BA4598" w:rsidRDefault="00BA4598" w:rsidP="00BA4598">
      <w:pPr>
        <w:spacing w:after="40"/>
        <w:ind w:left="259" w:hanging="259"/>
      </w:pPr>
      <w:r>
        <w:rPr>
          <w:sz w:val="16"/>
        </w:rPr>
        <w:t>[7] Microsoft Security, “Midnight Blizzard: Guidance for responders on nation</w:t>
      </w:r>
      <w:r w:rsidR="002674BA">
        <w:rPr>
          <w:sz w:val="16"/>
        </w:rPr>
        <w:t>-</w:t>
      </w:r>
      <w:r>
        <w:rPr>
          <w:sz w:val="16"/>
        </w:rPr>
        <w:t>state attack,” 25 Jan. 2024. [Online]. Available: https://www.microsoft.com/en</w:t>
      </w:r>
      <w:r w:rsidR="002674BA">
        <w:rPr>
          <w:sz w:val="16"/>
        </w:rPr>
        <w:t>-</w:t>
      </w:r>
      <w:r>
        <w:rPr>
          <w:sz w:val="16"/>
        </w:rPr>
        <w:t>us/security/blog/2024/01/25/midnight</w:t>
      </w:r>
      <w:r w:rsidR="002674BA">
        <w:rPr>
          <w:sz w:val="16"/>
        </w:rPr>
        <w:t>-</w:t>
      </w:r>
      <w:r>
        <w:rPr>
          <w:sz w:val="16"/>
        </w:rPr>
        <w:t>blizzard</w:t>
      </w:r>
      <w:r w:rsidR="002674BA">
        <w:rPr>
          <w:sz w:val="16"/>
        </w:rPr>
        <w:t>-</w:t>
      </w:r>
      <w:r>
        <w:rPr>
          <w:sz w:val="16"/>
        </w:rPr>
        <w:t>guidance</w:t>
      </w:r>
      <w:r w:rsidR="002674BA">
        <w:rPr>
          <w:sz w:val="16"/>
        </w:rPr>
        <w:t>-</w:t>
      </w:r>
      <w:r>
        <w:rPr>
          <w:sz w:val="16"/>
        </w:rPr>
        <w:t>for</w:t>
      </w:r>
      <w:r w:rsidR="002674BA">
        <w:rPr>
          <w:sz w:val="16"/>
        </w:rPr>
        <w:t>-</w:t>
      </w:r>
      <w:r>
        <w:rPr>
          <w:sz w:val="16"/>
        </w:rPr>
        <w:t>responders</w:t>
      </w:r>
      <w:r w:rsidR="002674BA">
        <w:rPr>
          <w:sz w:val="16"/>
        </w:rPr>
        <w:t>-</w:t>
      </w:r>
      <w:r>
        <w:rPr>
          <w:sz w:val="16"/>
        </w:rPr>
        <w:t>on</w:t>
      </w:r>
      <w:r w:rsidR="002674BA">
        <w:rPr>
          <w:sz w:val="16"/>
        </w:rPr>
        <w:t>-</w:t>
      </w:r>
      <w:r>
        <w:rPr>
          <w:sz w:val="16"/>
        </w:rPr>
        <w:t>nation</w:t>
      </w:r>
      <w:r w:rsidR="002674BA">
        <w:rPr>
          <w:sz w:val="16"/>
        </w:rPr>
        <w:t>-</w:t>
      </w:r>
      <w:r>
        <w:rPr>
          <w:sz w:val="16"/>
        </w:rPr>
        <w:t>state</w:t>
      </w:r>
      <w:r w:rsidR="002674BA">
        <w:rPr>
          <w:sz w:val="16"/>
        </w:rPr>
        <w:t>-</w:t>
      </w:r>
      <w:r>
        <w:rPr>
          <w:sz w:val="16"/>
        </w:rPr>
        <w:t>attack/</w:t>
      </w:r>
    </w:p>
    <w:p w14:paraId="15024524" w14:textId="028F1106" w:rsidR="00BA4598" w:rsidRDefault="00BA4598" w:rsidP="00BA4598">
      <w:pPr>
        <w:spacing w:after="40"/>
        <w:ind w:left="259" w:hanging="259"/>
      </w:pPr>
      <w:r>
        <w:rPr>
          <w:sz w:val="16"/>
        </w:rPr>
        <w:t>[8] Verizon Business, “2025 Data Breach Investigations Report,” 2025. [Online]. Available: https://www.verizon.com/business/resources/reports/2025</w:t>
      </w:r>
      <w:r w:rsidR="002674BA">
        <w:rPr>
          <w:sz w:val="16"/>
        </w:rPr>
        <w:t>-</w:t>
      </w:r>
      <w:r>
        <w:rPr>
          <w:sz w:val="16"/>
        </w:rPr>
        <w:t>dbir</w:t>
      </w:r>
      <w:r w:rsidR="002674BA">
        <w:rPr>
          <w:sz w:val="16"/>
        </w:rPr>
        <w:t>-</w:t>
      </w:r>
      <w:r>
        <w:rPr>
          <w:sz w:val="16"/>
        </w:rPr>
        <w:t>data</w:t>
      </w:r>
      <w:r w:rsidR="002674BA">
        <w:rPr>
          <w:sz w:val="16"/>
        </w:rPr>
        <w:t>-</w:t>
      </w:r>
      <w:r>
        <w:rPr>
          <w:sz w:val="16"/>
        </w:rPr>
        <w:t>breach</w:t>
      </w:r>
      <w:r w:rsidR="002674BA">
        <w:rPr>
          <w:sz w:val="16"/>
        </w:rPr>
        <w:t>-</w:t>
      </w:r>
      <w:r>
        <w:rPr>
          <w:sz w:val="16"/>
        </w:rPr>
        <w:t>investigations</w:t>
      </w:r>
      <w:r w:rsidR="002674BA">
        <w:rPr>
          <w:sz w:val="16"/>
        </w:rPr>
        <w:t>-</w:t>
      </w:r>
      <w:r>
        <w:rPr>
          <w:sz w:val="16"/>
        </w:rPr>
        <w:t>report.pdf</w:t>
      </w:r>
    </w:p>
    <w:p w14:paraId="132330D3" w14:textId="3A86892D" w:rsidR="00BA4598" w:rsidRDefault="00BA4598" w:rsidP="00BA4598">
      <w:pPr>
        <w:spacing w:after="40"/>
        <w:ind w:left="259" w:hanging="259"/>
      </w:pPr>
      <w:r>
        <w:rPr>
          <w:sz w:val="16"/>
        </w:rPr>
        <w:lastRenderedPageBreak/>
        <w:t>[9] IBM X</w:t>
      </w:r>
      <w:r w:rsidR="002674BA">
        <w:rPr>
          <w:sz w:val="16"/>
        </w:rPr>
        <w:t>-</w:t>
      </w:r>
      <w:r>
        <w:rPr>
          <w:sz w:val="16"/>
        </w:rPr>
        <w:t>Force, “X</w:t>
      </w:r>
      <w:r w:rsidR="002674BA">
        <w:rPr>
          <w:sz w:val="16"/>
        </w:rPr>
        <w:t>-</w:t>
      </w:r>
      <w:r>
        <w:rPr>
          <w:sz w:val="16"/>
        </w:rPr>
        <w:t>Force Threat Intelligence Index 2025,” IBM, 2025. [Online]. Available: https://www.ibm.com/think/x</w:t>
      </w:r>
      <w:r w:rsidR="002674BA">
        <w:rPr>
          <w:sz w:val="16"/>
        </w:rPr>
        <w:t>-</w:t>
      </w:r>
      <w:r>
        <w:rPr>
          <w:sz w:val="16"/>
        </w:rPr>
        <w:t>force/x</w:t>
      </w:r>
      <w:r w:rsidR="002674BA">
        <w:rPr>
          <w:sz w:val="16"/>
        </w:rPr>
        <w:t>-</w:t>
      </w:r>
      <w:r>
        <w:rPr>
          <w:sz w:val="16"/>
        </w:rPr>
        <w:t>force</w:t>
      </w:r>
      <w:r w:rsidR="002674BA">
        <w:rPr>
          <w:sz w:val="16"/>
        </w:rPr>
        <w:t>-</w:t>
      </w:r>
      <w:r>
        <w:rPr>
          <w:sz w:val="16"/>
        </w:rPr>
        <w:t>threat</w:t>
      </w:r>
      <w:r w:rsidR="002674BA">
        <w:rPr>
          <w:sz w:val="16"/>
        </w:rPr>
        <w:t>-</w:t>
      </w:r>
      <w:r>
        <w:rPr>
          <w:sz w:val="16"/>
        </w:rPr>
        <w:t>intelligence</w:t>
      </w:r>
      <w:r w:rsidR="002674BA">
        <w:rPr>
          <w:sz w:val="16"/>
        </w:rPr>
        <w:t>-</w:t>
      </w:r>
      <w:r>
        <w:rPr>
          <w:sz w:val="16"/>
        </w:rPr>
        <w:t>index</w:t>
      </w:r>
      <w:r w:rsidR="002674BA">
        <w:rPr>
          <w:sz w:val="16"/>
        </w:rPr>
        <w:t>-</w:t>
      </w:r>
      <w:r>
        <w:rPr>
          <w:sz w:val="16"/>
        </w:rPr>
        <w:t>2025</w:t>
      </w:r>
      <w:r w:rsidR="002674BA">
        <w:rPr>
          <w:sz w:val="16"/>
        </w:rPr>
        <w:t>-</w:t>
      </w:r>
      <w:r>
        <w:rPr>
          <w:sz w:val="16"/>
        </w:rPr>
        <w:t>attackers</w:t>
      </w:r>
      <w:r w:rsidR="002674BA">
        <w:rPr>
          <w:sz w:val="16"/>
        </w:rPr>
        <w:t>-</w:t>
      </w:r>
      <w:r>
        <w:rPr>
          <w:sz w:val="16"/>
        </w:rPr>
        <w:t>steal</w:t>
      </w:r>
      <w:r w:rsidR="002674BA">
        <w:rPr>
          <w:sz w:val="16"/>
        </w:rPr>
        <w:t>-</w:t>
      </w:r>
      <w:r>
        <w:rPr>
          <w:sz w:val="16"/>
        </w:rPr>
        <w:t>sell</w:t>
      </w:r>
      <w:r w:rsidR="002674BA">
        <w:rPr>
          <w:sz w:val="16"/>
        </w:rPr>
        <w:t>-</w:t>
      </w:r>
      <w:r>
        <w:rPr>
          <w:sz w:val="16"/>
        </w:rPr>
        <w:t>user</w:t>
      </w:r>
      <w:r w:rsidR="002674BA">
        <w:rPr>
          <w:sz w:val="16"/>
        </w:rPr>
        <w:t>-</w:t>
      </w:r>
      <w:r>
        <w:rPr>
          <w:sz w:val="16"/>
        </w:rPr>
        <w:t>identities</w:t>
      </w:r>
    </w:p>
    <w:p w14:paraId="4814D1B7" w14:textId="77777777" w:rsidR="00BA4598" w:rsidRDefault="00BA4598" w:rsidP="00BA4598">
      <w:pPr>
        <w:spacing w:after="40"/>
        <w:ind w:left="259" w:hanging="259"/>
      </w:pPr>
      <w:r>
        <w:rPr>
          <w:sz w:val="16"/>
        </w:rPr>
        <w:t>[10] Google Cloud, “</w:t>
      </w:r>
      <w:proofErr w:type="spellStart"/>
      <w:r>
        <w:rPr>
          <w:sz w:val="16"/>
        </w:rPr>
        <w:t>BeyondCorp</w:t>
      </w:r>
      <w:proofErr w:type="spellEnd"/>
      <w:r>
        <w:rPr>
          <w:sz w:val="16"/>
        </w:rPr>
        <w:t>: Zero Trust Enterprise Security,” [Online]. Available: https://cloud.google.com/beyondcorp</w:t>
      </w:r>
    </w:p>
    <w:p w14:paraId="61BE22C2" w14:textId="48E19CDB" w:rsidR="00BA4598" w:rsidRDefault="00BA4598" w:rsidP="00BA4598">
      <w:pPr>
        <w:spacing w:after="40"/>
        <w:ind w:left="259" w:hanging="259"/>
      </w:pPr>
      <w:r>
        <w:rPr>
          <w:sz w:val="16"/>
        </w:rPr>
        <w:t xml:space="preserve">[11] Z. </w:t>
      </w:r>
      <w:proofErr w:type="spellStart"/>
      <w:r>
        <w:rPr>
          <w:sz w:val="16"/>
        </w:rPr>
        <w:t>Adahman</w:t>
      </w:r>
      <w:proofErr w:type="spellEnd"/>
      <w:r>
        <w:rPr>
          <w:sz w:val="16"/>
        </w:rPr>
        <w:t>, A. W. Malik and Z. Anwar, “An analysis of zero</w:t>
      </w:r>
      <w:r w:rsidR="002674BA">
        <w:rPr>
          <w:sz w:val="16"/>
        </w:rPr>
        <w:t>-</w:t>
      </w:r>
      <w:r>
        <w:rPr>
          <w:sz w:val="16"/>
        </w:rPr>
        <w:t>trust architecture and its cost</w:t>
      </w:r>
      <w:r w:rsidR="002674BA">
        <w:rPr>
          <w:sz w:val="16"/>
        </w:rPr>
        <w:t>-</w:t>
      </w:r>
      <w:r>
        <w:rPr>
          <w:sz w:val="16"/>
        </w:rPr>
        <w:t xml:space="preserve">effectiveness for organizational security,” Computers &amp; Security, vol. 122, Art. no. 102911, 2022, </w:t>
      </w:r>
      <w:proofErr w:type="spellStart"/>
      <w:r>
        <w:rPr>
          <w:sz w:val="16"/>
        </w:rPr>
        <w:t>doi</w:t>
      </w:r>
      <w:proofErr w:type="spellEnd"/>
      <w:r>
        <w:rPr>
          <w:sz w:val="16"/>
        </w:rPr>
        <w:t>: 10.1016/j.cose.2022.102911.</w:t>
      </w:r>
    </w:p>
    <w:p w14:paraId="56485F0A" w14:textId="0AC11749" w:rsidR="00BA4598" w:rsidRDefault="00BA4598" w:rsidP="00BA4598">
      <w:pPr>
        <w:spacing w:after="40"/>
        <w:ind w:left="259" w:hanging="259"/>
      </w:pPr>
      <w:r>
        <w:rPr>
          <w:sz w:val="16"/>
        </w:rPr>
        <w:t>[12] R. Chandramouli and Z. Butcher, “A Zero Trust Architecture Model for Access Control in Cloud</w:t>
      </w:r>
      <w:r w:rsidR="002674BA">
        <w:rPr>
          <w:sz w:val="16"/>
        </w:rPr>
        <w:t>-</w:t>
      </w:r>
      <w:r>
        <w:rPr>
          <w:sz w:val="16"/>
        </w:rPr>
        <w:t>Native Applications in Multi</w:t>
      </w:r>
      <w:r w:rsidR="002674BA">
        <w:rPr>
          <w:sz w:val="16"/>
        </w:rPr>
        <w:t>-</w:t>
      </w:r>
      <w:r>
        <w:rPr>
          <w:sz w:val="16"/>
        </w:rPr>
        <w:t>Cloud Environments,” National Institute of Standards and Technology, NIST Special Publication 800</w:t>
      </w:r>
      <w:r w:rsidR="002674BA">
        <w:rPr>
          <w:sz w:val="16"/>
        </w:rPr>
        <w:t>-</w:t>
      </w:r>
      <w:r>
        <w:rPr>
          <w:sz w:val="16"/>
        </w:rPr>
        <w:t>207A, Sept. 2023. [Online]. Available: https://doi.org/10.6028/NIST.SP.800</w:t>
      </w:r>
      <w:r w:rsidR="002674BA">
        <w:rPr>
          <w:sz w:val="16"/>
        </w:rPr>
        <w:t>-</w:t>
      </w:r>
      <w:r>
        <w:rPr>
          <w:sz w:val="16"/>
        </w:rPr>
        <w:t>207A</w:t>
      </w:r>
    </w:p>
    <w:p w14:paraId="3172F86C" w14:textId="104467CC" w:rsidR="00BA4598" w:rsidRDefault="00BA4598" w:rsidP="00BA4598">
      <w:pPr>
        <w:spacing w:after="40"/>
        <w:ind w:left="259" w:hanging="259"/>
      </w:pPr>
      <w:r>
        <w:rPr>
          <w:sz w:val="16"/>
        </w:rPr>
        <w:t xml:space="preserve">[13] National Cybersecurity </w:t>
      </w:r>
      <w:proofErr w:type="spellStart"/>
      <w:r>
        <w:rPr>
          <w:sz w:val="16"/>
        </w:rPr>
        <w:t>Center</w:t>
      </w:r>
      <w:proofErr w:type="spellEnd"/>
      <w:r>
        <w:rPr>
          <w:sz w:val="16"/>
        </w:rPr>
        <w:t xml:space="preserve"> of Excellence, “General ZTA reference architecture,” in Implementing a Zero Trust Architecture, NIST Special Publication 1800</w:t>
      </w:r>
      <w:r w:rsidR="002674BA">
        <w:rPr>
          <w:sz w:val="16"/>
        </w:rPr>
        <w:t>-</w:t>
      </w:r>
      <w:r>
        <w:rPr>
          <w:sz w:val="16"/>
        </w:rPr>
        <w:t>35B, National Institute of Standards and Technology, Gaithersburg, MD, USA, 2025. [Online]. Available: https://pages.nist.gov/zero</w:t>
      </w:r>
      <w:r w:rsidR="002674BA">
        <w:rPr>
          <w:sz w:val="16"/>
        </w:rPr>
        <w:t>-</w:t>
      </w:r>
      <w:r>
        <w:rPr>
          <w:sz w:val="16"/>
        </w:rPr>
        <w:t>trust</w:t>
      </w:r>
      <w:r w:rsidR="002674BA">
        <w:rPr>
          <w:sz w:val="16"/>
        </w:rPr>
        <w:t>-</w:t>
      </w:r>
      <w:r>
        <w:rPr>
          <w:sz w:val="16"/>
        </w:rPr>
        <w:t>architecture/VolumeB/architecture.html. [Accessed: Jul. 27, 2026].</w:t>
      </w:r>
    </w:p>
    <w:p w14:paraId="139DEBA5" w14:textId="140C1464" w:rsidR="00444179" w:rsidRDefault="00BA4598" w:rsidP="00BA4598">
      <w:r>
        <w:rPr>
          <w:sz w:val="16"/>
        </w:rPr>
        <w:t>[14] Cybersecurity and Infrastructure Security Agency, “Implementing phishing</w:t>
      </w:r>
      <w:r w:rsidR="002674BA">
        <w:rPr>
          <w:sz w:val="16"/>
        </w:rPr>
        <w:t>-</w:t>
      </w:r>
      <w:r>
        <w:rPr>
          <w:sz w:val="16"/>
        </w:rPr>
        <w:t>resistant MFA,” CISA, Oct. 2022. [Online]. Available: https://www.cisa.gov/sites/default/files/publications/fact</w:t>
      </w:r>
      <w:r w:rsidR="002674BA">
        <w:rPr>
          <w:sz w:val="16"/>
        </w:rPr>
        <w:t>-</w:t>
      </w:r>
      <w:r>
        <w:rPr>
          <w:sz w:val="16"/>
        </w:rPr>
        <w:t>sheet</w:t>
      </w:r>
      <w:r w:rsidR="002674BA">
        <w:rPr>
          <w:sz w:val="16"/>
        </w:rPr>
        <w:t>-</w:t>
      </w:r>
      <w:r>
        <w:rPr>
          <w:sz w:val="16"/>
        </w:rPr>
        <w:t>implementing</w:t>
      </w:r>
      <w:r w:rsidR="002674BA">
        <w:rPr>
          <w:sz w:val="16"/>
        </w:rPr>
        <w:t>-</w:t>
      </w:r>
      <w:r>
        <w:rPr>
          <w:sz w:val="16"/>
        </w:rPr>
        <w:t>phishing</w:t>
      </w:r>
      <w:r w:rsidR="002674BA">
        <w:rPr>
          <w:sz w:val="16"/>
        </w:rPr>
        <w:t>-</w:t>
      </w:r>
      <w:r>
        <w:rPr>
          <w:sz w:val="16"/>
        </w:rPr>
        <w:t>resistant</w:t>
      </w:r>
      <w:r w:rsidR="002674BA">
        <w:rPr>
          <w:sz w:val="16"/>
        </w:rPr>
        <w:t>-</w:t>
      </w:r>
      <w:r>
        <w:rPr>
          <w:sz w:val="16"/>
        </w:rPr>
        <w:t>mfa</w:t>
      </w:r>
      <w:r w:rsidR="002674BA">
        <w:rPr>
          <w:sz w:val="16"/>
        </w:rPr>
        <w:t>-</w:t>
      </w:r>
      <w:r>
        <w:rPr>
          <w:sz w:val="16"/>
        </w:rPr>
        <w:t>508c.pdf.</w:t>
      </w:r>
    </w:p>
    <w:p w14:paraId="5AA77C4A" w14:textId="77777777" w:rsidR="00444179" w:rsidRDefault="00444179" w:rsidP="001C4AFE"/>
    <w:p w14:paraId="59926ADA" w14:textId="77777777" w:rsidR="00444179" w:rsidRDefault="00444179" w:rsidP="001C4AFE"/>
    <w:p w14:paraId="3E89D612" w14:textId="77777777" w:rsidR="00444179" w:rsidRDefault="00444179" w:rsidP="001C4AFE"/>
    <w:p w14:paraId="464D1693" w14:textId="77777777" w:rsidR="00444179" w:rsidRDefault="00444179" w:rsidP="001C4AFE"/>
    <w:p w14:paraId="2856D16F" w14:textId="77777777" w:rsidR="00444179" w:rsidRDefault="00444179" w:rsidP="001C4AFE"/>
    <w:p w14:paraId="03AEDB3A" w14:textId="77777777" w:rsidR="00444179" w:rsidRDefault="00444179" w:rsidP="001C4AFE"/>
    <w:p w14:paraId="7D484F97" w14:textId="77777777" w:rsidR="00444179" w:rsidRDefault="00444179" w:rsidP="001C4AFE"/>
    <w:p w14:paraId="73B76155" w14:textId="77777777" w:rsidR="00444179" w:rsidRDefault="00444179" w:rsidP="001C4AFE"/>
    <w:p w14:paraId="5F7D8711" w14:textId="77777777" w:rsidR="00444179" w:rsidRDefault="00444179" w:rsidP="001C4AFE"/>
    <w:p w14:paraId="17BB9B5C" w14:textId="77777777" w:rsidR="00444179" w:rsidRDefault="00444179" w:rsidP="001C4AFE"/>
    <w:p w14:paraId="2ED49B7B" w14:textId="77777777" w:rsidR="00444179" w:rsidRDefault="00444179" w:rsidP="001C4AFE"/>
    <w:p w14:paraId="79824D3F" w14:textId="77777777" w:rsidR="00444179" w:rsidRDefault="00444179" w:rsidP="001C4AFE"/>
    <w:p w14:paraId="53670EA3" w14:textId="77777777" w:rsidR="00444179" w:rsidRDefault="00444179" w:rsidP="001C4AFE"/>
    <w:p w14:paraId="04E20290" w14:textId="77777777" w:rsidR="00444179" w:rsidRDefault="00444179" w:rsidP="001C4AFE"/>
    <w:p w14:paraId="3A5EA7D8" w14:textId="77777777" w:rsidR="00444179" w:rsidRDefault="00444179" w:rsidP="001C4AFE"/>
    <w:p w14:paraId="7C250564" w14:textId="77777777" w:rsidR="00444179" w:rsidRDefault="00444179" w:rsidP="001C4AFE"/>
    <w:p w14:paraId="21FD489B" w14:textId="77777777" w:rsidR="00444179" w:rsidRDefault="00444179" w:rsidP="001C4AFE"/>
    <w:p w14:paraId="3708FC8A" w14:textId="77777777" w:rsidR="00444179" w:rsidRDefault="00444179" w:rsidP="001C4AFE"/>
    <w:p w14:paraId="4B9573DD" w14:textId="77777777" w:rsidR="00444179" w:rsidRDefault="00444179" w:rsidP="001C4AFE"/>
    <w:p w14:paraId="48490681" w14:textId="77777777" w:rsidR="00444179" w:rsidRDefault="00444179" w:rsidP="001C4AFE"/>
    <w:p w14:paraId="6244ED7E" w14:textId="77777777" w:rsidR="00444179" w:rsidRDefault="00444179" w:rsidP="001C4AFE"/>
    <w:p w14:paraId="09BDDA20" w14:textId="77777777" w:rsidR="00444179" w:rsidRDefault="00444179" w:rsidP="001C4AFE"/>
    <w:p w14:paraId="7E5C4EB8" w14:textId="77777777" w:rsidR="00444179" w:rsidRDefault="00444179" w:rsidP="001C4AFE"/>
    <w:p w14:paraId="529B6C9B" w14:textId="77777777" w:rsidR="00444179" w:rsidRDefault="00444179" w:rsidP="001C4AFE"/>
    <w:p w14:paraId="01FAA732" w14:textId="77777777" w:rsidR="00444179" w:rsidRDefault="00444179" w:rsidP="001C4AFE"/>
    <w:p w14:paraId="239A3F9C" w14:textId="77777777" w:rsidR="00444179" w:rsidRDefault="00444179" w:rsidP="001C4AFE"/>
    <w:p w14:paraId="562D383F" w14:textId="77777777" w:rsidR="00C60981" w:rsidRDefault="00C60981" w:rsidP="001C4AFE">
      <w:pPr>
        <w:sectPr w:rsidR="00C60981" w:rsidSect="00852025">
          <w:type w:val="continuous"/>
          <w:pgSz w:w="11906" w:h="16838"/>
          <w:pgMar w:top="1440" w:right="1440" w:bottom="1440" w:left="1440" w:header="708" w:footer="708" w:gutter="0"/>
          <w:cols w:num="2" w:space="708"/>
          <w:docGrid w:linePitch="360"/>
        </w:sectPr>
      </w:pPr>
    </w:p>
    <w:p w14:paraId="73222915" w14:textId="77777777" w:rsidR="000369CD" w:rsidRPr="00503654" w:rsidRDefault="000369CD" w:rsidP="00851247">
      <w:pPr>
        <w:pStyle w:val="Heading2"/>
        <w:rPr>
          <w:rStyle w:val="BookTitle"/>
        </w:rPr>
      </w:pPr>
    </w:p>
    <w:p w14:paraId="086BF87A" w14:textId="77777777" w:rsidR="000369CD" w:rsidRPr="00503654" w:rsidRDefault="000369CD" w:rsidP="00851247">
      <w:pPr>
        <w:pStyle w:val="Heading2"/>
        <w:rPr>
          <w:rStyle w:val="BookTitle"/>
        </w:rPr>
      </w:pPr>
    </w:p>
    <w:p w14:paraId="6AD6E768" w14:textId="77777777" w:rsidR="000369CD" w:rsidRPr="00503654" w:rsidRDefault="000369CD" w:rsidP="00851247">
      <w:pPr>
        <w:pStyle w:val="Heading2"/>
        <w:rPr>
          <w:rStyle w:val="BookTitle"/>
        </w:rPr>
      </w:pPr>
    </w:p>
    <w:p w14:paraId="17118429" w14:textId="77777777" w:rsidR="000369CD" w:rsidRPr="00503654" w:rsidRDefault="000369CD" w:rsidP="00851247">
      <w:pPr>
        <w:pStyle w:val="Heading2"/>
        <w:rPr>
          <w:rStyle w:val="BookTitle"/>
        </w:rPr>
      </w:pPr>
    </w:p>
    <w:p w14:paraId="452C7F31" w14:textId="77777777" w:rsidR="000369CD" w:rsidRPr="00503654" w:rsidRDefault="000369CD" w:rsidP="00851247">
      <w:pPr>
        <w:pStyle w:val="Heading2"/>
        <w:rPr>
          <w:rStyle w:val="BookTitle"/>
        </w:rPr>
      </w:pPr>
    </w:p>
    <w:p w14:paraId="5AA212B0" w14:textId="77777777" w:rsidR="000369CD" w:rsidRPr="00503654" w:rsidRDefault="000369CD" w:rsidP="00851247">
      <w:pPr>
        <w:pStyle w:val="Heading2"/>
        <w:rPr>
          <w:rStyle w:val="BookTitle"/>
        </w:rPr>
      </w:pPr>
    </w:p>
    <w:p w14:paraId="0E302401" w14:textId="77777777" w:rsidR="000369CD" w:rsidRPr="00503654" w:rsidRDefault="000369CD" w:rsidP="00851247">
      <w:pPr>
        <w:pStyle w:val="Heading2"/>
        <w:rPr>
          <w:rStyle w:val="BookTitle"/>
        </w:rPr>
      </w:pPr>
    </w:p>
    <w:p w14:paraId="32B5D560" w14:textId="77777777" w:rsidR="000369CD" w:rsidRPr="00503654" w:rsidRDefault="000369CD" w:rsidP="00851247">
      <w:pPr>
        <w:pStyle w:val="Heading2"/>
        <w:rPr>
          <w:rStyle w:val="BookTitle"/>
        </w:rPr>
      </w:pPr>
    </w:p>
    <w:p w14:paraId="75934E56" w14:textId="77777777" w:rsidR="000369CD" w:rsidRPr="00851247" w:rsidRDefault="000369CD" w:rsidP="00851247">
      <w:pPr>
        <w:pStyle w:val="Heading1"/>
        <w:rPr>
          <w:rStyle w:val="BookTitle"/>
          <w:b/>
          <w:bCs/>
          <w:i w:val="0"/>
          <w:iCs w:val="0"/>
          <w:spacing w:val="0"/>
        </w:rPr>
      </w:pPr>
    </w:p>
    <w:p w14:paraId="46505A4A" w14:textId="61B9C88E" w:rsidR="00A06973" w:rsidRPr="00851247" w:rsidRDefault="00C60981" w:rsidP="00851247">
      <w:pPr>
        <w:pStyle w:val="Heading1"/>
        <w:rPr>
          <w:rStyle w:val="BookTitle"/>
          <w:b/>
          <w:bCs/>
          <w:i w:val="0"/>
          <w:iCs w:val="0"/>
          <w:spacing w:val="0"/>
        </w:rPr>
      </w:pPr>
      <w:bookmarkStart w:id="13" w:name="_Toc236065660"/>
      <w:r w:rsidRPr="00851247">
        <w:rPr>
          <w:rStyle w:val="BookTitle"/>
          <w:b/>
          <w:bCs/>
          <w:i w:val="0"/>
          <w:iCs w:val="0"/>
          <w:spacing w:val="0"/>
        </w:rPr>
        <w:t>R</w:t>
      </w:r>
      <w:r w:rsidR="00851247" w:rsidRPr="00851247">
        <w:rPr>
          <w:rStyle w:val="BookTitle"/>
          <w:b/>
          <w:bCs/>
          <w:i w:val="0"/>
          <w:iCs w:val="0"/>
          <w:spacing w:val="0"/>
        </w:rPr>
        <w:t xml:space="preserve">EPORT ON </w:t>
      </w:r>
      <w:r w:rsidR="00A06973" w:rsidRPr="00851247">
        <w:rPr>
          <w:rStyle w:val="BookTitle"/>
          <w:b/>
          <w:bCs/>
          <w:i w:val="0"/>
          <w:iCs w:val="0"/>
          <w:spacing w:val="0"/>
        </w:rPr>
        <w:t>AEGIS FINTECH INNOVATIONS LTD</w:t>
      </w:r>
      <w:bookmarkEnd w:id="13"/>
    </w:p>
    <w:p w14:paraId="4E4790D8" w14:textId="13A49DB4" w:rsidR="00C60981" w:rsidRPr="00C60981" w:rsidRDefault="00C60981" w:rsidP="00A06973">
      <w:pPr>
        <w:pStyle w:val="Title"/>
        <w:spacing w:line="240" w:lineRule="auto"/>
        <w:rPr>
          <w:b/>
          <w:bCs/>
          <w:sz w:val="21"/>
          <w:szCs w:val="21"/>
        </w:rPr>
      </w:pPr>
    </w:p>
    <w:p w14:paraId="1647BFEE" w14:textId="77777777" w:rsidR="00C25599" w:rsidRDefault="00C25599" w:rsidP="001C4AFE">
      <w:pPr>
        <w:rPr>
          <w:b/>
          <w:bCs/>
          <w:sz w:val="28"/>
          <w:szCs w:val="26"/>
        </w:rPr>
      </w:pPr>
    </w:p>
    <w:p w14:paraId="14045870" w14:textId="77777777" w:rsidR="000369CD" w:rsidRPr="00503654" w:rsidRDefault="000369CD" w:rsidP="00851247">
      <w:pPr>
        <w:pStyle w:val="Heading2"/>
        <w:rPr>
          <w:rStyle w:val="BookTitle"/>
        </w:rPr>
      </w:pPr>
      <w:bookmarkStart w:id="14" w:name="_Toc236065661"/>
      <w:r w:rsidRPr="00503654">
        <w:rPr>
          <w:rStyle w:val="BookTitle"/>
        </w:rPr>
        <w:t>Executive Summary</w:t>
      </w:r>
      <w:bookmarkEnd w:id="14"/>
    </w:p>
    <w:p w14:paraId="05C18BFF" w14:textId="7C2EDDA1" w:rsidR="000369CD" w:rsidRDefault="000369CD" w:rsidP="000369CD">
      <w:r>
        <w:rPr>
          <w:rFonts w:eastAsia="Times New Roman"/>
          <w:color w:val="000000"/>
        </w:rPr>
        <w:t>Aegis FinTech is preparing for EU expansion while developing an AI</w:t>
      </w:r>
      <w:r w:rsidR="002674BA">
        <w:rPr>
          <w:rFonts w:eastAsia="Times New Roman"/>
          <w:color w:val="000000"/>
        </w:rPr>
        <w:t>-</w:t>
      </w:r>
      <w:r>
        <w:rPr>
          <w:rFonts w:eastAsia="Times New Roman"/>
          <w:color w:val="000000"/>
        </w:rPr>
        <w:t>powered financial analytics platform. This creates a combined exposure to ransomware, cloud and software supply</w:t>
      </w:r>
      <w:r w:rsidR="002674BA">
        <w:rPr>
          <w:rFonts w:eastAsia="Times New Roman"/>
          <w:color w:val="000000"/>
        </w:rPr>
        <w:t>-</w:t>
      </w:r>
      <w:r>
        <w:rPr>
          <w:rFonts w:eastAsia="Times New Roman"/>
          <w:color w:val="000000"/>
        </w:rPr>
        <w:t>chain weaknesses, identity compromise, personal</w:t>
      </w:r>
      <w:r w:rsidR="002674BA">
        <w:rPr>
          <w:rFonts w:eastAsia="Times New Roman"/>
          <w:color w:val="000000"/>
        </w:rPr>
        <w:t>-</w:t>
      </w:r>
      <w:r>
        <w:rPr>
          <w:rFonts w:eastAsia="Times New Roman"/>
          <w:color w:val="000000"/>
        </w:rPr>
        <w:t>data breaches and regulatory failure. This proposal establishes a small but capable Information Security Unit and a practical 12</w:t>
      </w:r>
      <w:r w:rsidR="002674BA">
        <w:rPr>
          <w:rFonts w:eastAsia="Times New Roman"/>
          <w:color w:val="000000"/>
        </w:rPr>
        <w:t>-</w:t>
      </w:r>
      <w:r>
        <w:rPr>
          <w:rFonts w:eastAsia="Times New Roman"/>
          <w:color w:val="000000"/>
        </w:rPr>
        <w:t>month programme based on the Zero Trust findings developed in Task 1. The central design assumption is that network location cannot be treated as proof of trust; access must be explicitly verified, limited to the required resource and continuously monitored [1]</w:t>
      </w:r>
      <w:r w:rsidR="002674BA">
        <w:rPr>
          <w:rFonts w:eastAsia="Times New Roman"/>
          <w:color w:val="000000"/>
        </w:rPr>
        <w:t>-</w:t>
      </w:r>
      <w:r>
        <w:rPr>
          <w:rFonts w:eastAsia="Times New Roman"/>
          <w:color w:val="000000"/>
        </w:rPr>
        <w:t>[3].</w:t>
      </w:r>
    </w:p>
    <w:p w14:paraId="6D2457CD" w14:textId="3078B268" w:rsidR="000369CD" w:rsidRDefault="000369CD" w:rsidP="000369CD">
      <w:r>
        <w:rPr>
          <w:rFonts w:eastAsia="Times New Roman"/>
          <w:color w:val="000000"/>
        </w:rPr>
        <w:t>The proposal recommends NIST Cybersecurity Framework (CSF) 2.0 as the management framework, supported by the technical architecture in NIST SP 800</w:t>
      </w:r>
      <w:r w:rsidR="002674BA">
        <w:rPr>
          <w:rFonts w:eastAsia="Times New Roman"/>
          <w:color w:val="000000"/>
        </w:rPr>
        <w:t>-</w:t>
      </w:r>
      <w:r>
        <w:rPr>
          <w:rFonts w:eastAsia="Times New Roman"/>
          <w:color w:val="000000"/>
        </w:rPr>
        <w:t>207. Priority controls are phishing</w:t>
      </w:r>
      <w:r w:rsidR="002674BA">
        <w:rPr>
          <w:rFonts w:eastAsia="Times New Roman"/>
          <w:color w:val="000000"/>
        </w:rPr>
        <w:t>-</w:t>
      </w:r>
      <w:r>
        <w:rPr>
          <w:rFonts w:eastAsia="Times New Roman"/>
          <w:color w:val="000000"/>
        </w:rPr>
        <w:t xml:space="preserve">resistant MFA, identity governance, privileged access management, ZTNA, cloud posture management, </w:t>
      </w:r>
      <w:r w:rsidR="00AC097B">
        <w:rPr>
          <w:rFonts w:eastAsia="Times New Roman"/>
          <w:color w:val="000000"/>
        </w:rPr>
        <w:t>Micro segmentation</w:t>
      </w:r>
      <w:r>
        <w:rPr>
          <w:rFonts w:eastAsia="Times New Roman"/>
          <w:color w:val="000000"/>
        </w:rPr>
        <w:t>, centralised logging, XDR/SIEM and tested immutable backups. Governance is provided through a board</w:t>
      </w:r>
      <w:r w:rsidR="002674BA">
        <w:rPr>
          <w:rFonts w:eastAsia="Times New Roman"/>
          <w:color w:val="000000"/>
        </w:rPr>
        <w:t>-</w:t>
      </w:r>
      <w:r>
        <w:rPr>
          <w:rFonts w:eastAsia="Times New Roman"/>
          <w:color w:val="000000"/>
        </w:rPr>
        <w:t>sponsored Cyber Security Steering Committee, while GDPR and DORA requirements are translated into named deliverables, owners, evidence and deadlines. The intended outcome is not a collection of security products, but a measurable capability that protects funding confidence, supports EU market entry and limits the operational effect of a successful attack.</w:t>
      </w:r>
    </w:p>
    <w:p w14:paraId="26494D15" w14:textId="77777777" w:rsidR="000369CD" w:rsidRDefault="000369CD" w:rsidP="00851247">
      <w:pPr>
        <w:pStyle w:val="Heading1"/>
      </w:pPr>
      <w:bookmarkStart w:id="15" w:name="_Toc236065662"/>
      <w:r>
        <w:t xml:space="preserve">1. </w:t>
      </w:r>
      <w:r w:rsidRPr="00503654">
        <w:rPr>
          <w:rStyle w:val="BookTitle"/>
        </w:rPr>
        <w:t>Introduction and Design Principles</w:t>
      </w:r>
      <w:bookmarkEnd w:id="15"/>
    </w:p>
    <w:p w14:paraId="651EF0F9" w14:textId="72837328" w:rsidR="000369CD" w:rsidRDefault="000369CD" w:rsidP="000369CD">
      <w:r>
        <w:rPr>
          <w:rFonts w:eastAsia="Times New Roman"/>
          <w:color w:val="000000"/>
        </w:rPr>
        <w:t>Task 1 concluded that Zero Trust is most effective as a phased governance and architecture programme rather than a single product. It also showed that weak legacy identities and excessive permissions can undermine otherwise mature controls, as demonstrated by the Microsoft Midnight Blizzard incident [7]. Aegis should therefore begin with identity, asset visibility and critical</w:t>
      </w:r>
      <w:r w:rsidR="002674BA">
        <w:rPr>
          <w:rFonts w:eastAsia="Times New Roman"/>
          <w:color w:val="000000"/>
        </w:rPr>
        <w:t>-</w:t>
      </w:r>
      <w:r>
        <w:rPr>
          <w:rFonts w:eastAsia="Times New Roman"/>
          <w:color w:val="000000"/>
        </w:rPr>
        <w:t>data flows before attempting broad automation.</w:t>
      </w:r>
    </w:p>
    <w:p w14:paraId="6F0F7232" w14:textId="77777777" w:rsidR="000369CD" w:rsidRDefault="000369CD" w:rsidP="000369CD">
      <w:r>
        <w:rPr>
          <w:rFonts w:eastAsia="Times New Roman"/>
          <w:color w:val="000000"/>
        </w:rPr>
        <w:t>The proposed unit will follow four principles: verify explicitly; apply least privilege; assume breach; and design for recovery. These principles support the CISA pillars of identity, devices, networks, applications/workloads and data [3]. They also fit the business need: a fintech startup requires proportionate controls that can scale, produce evidence for investors and regulators, and avoid slowing product delivery.</w:t>
      </w:r>
    </w:p>
    <w:p w14:paraId="3E9CDE07" w14:textId="02530C54" w:rsidR="000369CD" w:rsidRDefault="000369CD" w:rsidP="00851247">
      <w:pPr>
        <w:pStyle w:val="Heading1"/>
      </w:pPr>
      <w:bookmarkStart w:id="16" w:name="_Toc236065663"/>
      <w:r>
        <w:t>2. Work</w:t>
      </w:r>
      <w:r w:rsidR="002674BA">
        <w:t>-</w:t>
      </w:r>
      <w:r>
        <w:t>Stream 1: Organisational Design and Resourcing</w:t>
      </w:r>
      <w:bookmarkEnd w:id="16"/>
    </w:p>
    <w:p w14:paraId="22FE81BF" w14:textId="550E1FE5" w:rsidR="000369CD" w:rsidRDefault="000369CD" w:rsidP="000369CD">
      <w:r>
        <w:rPr>
          <w:rFonts w:eastAsia="Times New Roman"/>
          <w:color w:val="000000"/>
        </w:rPr>
        <w:t>Aegis should establish a core team of six, using a managed security service for 24</w:t>
      </w:r>
      <w:r w:rsidR="002674BA">
        <w:rPr>
          <w:rFonts w:eastAsia="Times New Roman"/>
          <w:color w:val="000000"/>
        </w:rPr>
        <w:t>-</w:t>
      </w:r>
      <w:r>
        <w:rPr>
          <w:rFonts w:eastAsia="Times New Roman"/>
          <w:color w:val="000000"/>
        </w:rPr>
        <w:t>hour monitoring during the first year. This balances startup cost with the need for specialist coverage. The CISO remains accountable to the CEO and board, while the DPO must have sufficient independence to challenge processing decisions.</w:t>
      </w:r>
    </w:p>
    <w:tbl>
      <w:tblPr>
        <w:tblStyle w:val="TableGrid"/>
        <w:tblpPr w:leftFromText="180" w:rightFromText="180" w:horzAnchor="margin" w:tblpY="-13792"/>
        <w:tblW w:w="0" w:type="auto"/>
        <w:tblLook w:val="04A0" w:firstRow="1" w:lastRow="0" w:firstColumn="1" w:lastColumn="0" w:noHBand="0" w:noVBand="1"/>
      </w:tblPr>
      <w:tblGrid>
        <w:gridCol w:w="3020"/>
        <w:gridCol w:w="2997"/>
        <w:gridCol w:w="2999"/>
      </w:tblGrid>
      <w:tr w:rsidR="000369CD" w14:paraId="39646358" w14:textId="77777777" w:rsidTr="00503654">
        <w:trPr>
          <w:tblHeader/>
        </w:trPr>
        <w:tc>
          <w:tcPr>
            <w:tcW w:w="9016" w:type="dxa"/>
            <w:gridSpan w:val="3"/>
            <w:shd w:val="clear" w:color="auto" w:fill="1F4E79"/>
            <w:tcMar>
              <w:top w:w="90" w:type="dxa"/>
              <w:left w:w="90" w:type="dxa"/>
              <w:bottom w:w="90" w:type="dxa"/>
              <w:right w:w="90" w:type="dxa"/>
            </w:tcMar>
            <w:vAlign w:val="center"/>
          </w:tcPr>
          <w:p w14:paraId="18C42FA4" w14:textId="77777777" w:rsidR="000369CD" w:rsidRDefault="000369CD" w:rsidP="00503654">
            <w:pPr>
              <w:jc w:val="center"/>
            </w:pPr>
            <w:r>
              <w:rPr>
                <w:rFonts w:eastAsia="Times New Roman"/>
                <w:b/>
                <w:sz w:val="19"/>
              </w:rPr>
              <w:lastRenderedPageBreak/>
              <w:t>Board / CEO</w:t>
            </w:r>
          </w:p>
        </w:tc>
      </w:tr>
      <w:tr w:rsidR="000369CD" w14:paraId="5CA8E24F" w14:textId="77777777" w:rsidTr="00503654">
        <w:tc>
          <w:tcPr>
            <w:tcW w:w="9016" w:type="dxa"/>
            <w:gridSpan w:val="3"/>
            <w:shd w:val="clear" w:color="auto" w:fill="5B9BD5"/>
            <w:tcMar>
              <w:top w:w="90" w:type="dxa"/>
              <w:left w:w="90" w:type="dxa"/>
              <w:bottom w:w="90" w:type="dxa"/>
              <w:right w:w="90" w:type="dxa"/>
            </w:tcMar>
            <w:vAlign w:val="center"/>
          </w:tcPr>
          <w:p w14:paraId="5B440CB8" w14:textId="77777777" w:rsidR="000369CD" w:rsidRDefault="000369CD" w:rsidP="00503654">
            <w:pPr>
              <w:jc w:val="center"/>
            </w:pPr>
            <w:r>
              <w:rPr>
                <w:rFonts w:eastAsia="Times New Roman"/>
                <w:b/>
                <w:sz w:val="19"/>
              </w:rPr>
              <w:t>Chief Information Security Officer</w:t>
            </w:r>
          </w:p>
        </w:tc>
      </w:tr>
      <w:tr w:rsidR="000369CD" w14:paraId="5F1E46C4" w14:textId="77777777" w:rsidTr="00503654">
        <w:tc>
          <w:tcPr>
            <w:tcW w:w="3020" w:type="dxa"/>
            <w:shd w:val="clear" w:color="auto" w:fill="D9EAF7"/>
            <w:tcMar>
              <w:top w:w="90" w:type="dxa"/>
              <w:left w:w="90" w:type="dxa"/>
              <w:bottom w:w="90" w:type="dxa"/>
              <w:right w:w="90" w:type="dxa"/>
            </w:tcMar>
            <w:vAlign w:val="center"/>
          </w:tcPr>
          <w:p w14:paraId="55FEC704" w14:textId="77777777" w:rsidR="000369CD" w:rsidRDefault="000369CD" w:rsidP="00503654">
            <w:pPr>
              <w:jc w:val="center"/>
            </w:pPr>
            <w:r>
              <w:rPr>
                <w:rFonts w:eastAsia="Times New Roman"/>
                <w:b/>
                <w:sz w:val="19"/>
              </w:rPr>
              <w:t>Governance, Risk &amp; Compliance Manager</w:t>
            </w:r>
            <w:r>
              <w:rPr>
                <w:rFonts w:eastAsia="Times New Roman"/>
                <w:b/>
                <w:sz w:val="19"/>
              </w:rPr>
              <w:br/>
              <w:t>(with DPO access)</w:t>
            </w:r>
          </w:p>
        </w:tc>
        <w:tc>
          <w:tcPr>
            <w:tcW w:w="2997" w:type="dxa"/>
            <w:shd w:val="clear" w:color="auto" w:fill="D9EAF7"/>
            <w:tcMar>
              <w:top w:w="90" w:type="dxa"/>
              <w:left w:w="90" w:type="dxa"/>
              <w:bottom w:w="90" w:type="dxa"/>
              <w:right w:w="90" w:type="dxa"/>
            </w:tcMar>
            <w:vAlign w:val="center"/>
          </w:tcPr>
          <w:p w14:paraId="2A25C7E2" w14:textId="77777777" w:rsidR="000369CD" w:rsidRDefault="000369CD" w:rsidP="00503654">
            <w:pPr>
              <w:jc w:val="center"/>
            </w:pPr>
            <w:r>
              <w:rPr>
                <w:rFonts w:eastAsia="Times New Roman"/>
                <w:b/>
                <w:sz w:val="19"/>
              </w:rPr>
              <w:t>Cloud Security Architect</w:t>
            </w:r>
          </w:p>
        </w:tc>
        <w:tc>
          <w:tcPr>
            <w:tcW w:w="2999" w:type="dxa"/>
            <w:shd w:val="clear" w:color="auto" w:fill="D9EAF7"/>
            <w:tcMar>
              <w:top w:w="90" w:type="dxa"/>
              <w:left w:w="90" w:type="dxa"/>
              <w:bottom w:w="90" w:type="dxa"/>
              <w:right w:w="90" w:type="dxa"/>
            </w:tcMar>
            <w:vAlign w:val="center"/>
          </w:tcPr>
          <w:p w14:paraId="0672045E" w14:textId="77777777" w:rsidR="000369CD" w:rsidRDefault="000369CD" w:rsidP="00503654">
            <w:pPr>
              <w:jc w:val="center"/>
            </w:pPr>
            <w:r>
              <w:rPr>
                <w:rFonts w:eastAsia="Times New Roman"/>
                <w:b/>
                <w:sz w:val="19"/>
              </w:rPr>
              <w:t>Security Operations Lead</w:t>
            </w:r>
            <w:r>
              <w:rPr>
                <w:rFonts w:eastAsia="Times New Roman"/>
                <w:b/>
                <w:sz w:val="19"/>
              </w:rPr>
              <w:br/>
              <w:t>(MSSP oversight)</w:t>
            </w:r>
          </w:p>
        </w:tc>
      </w:tr>
      <w:tr w:rsidR="000369CD" w14:paraId="1F76A158" w14:textId="77777777" w:rsidTr="00503654">
        <w:tc>
          <w:tcPr>
            <w:tcW w:w="3020" w:type="dxa"/>
            <w:tcMar>
              <w:top w:w="90" w:type="dxa"/>
              <w:left w:w="90" w:type="dxa"/>
              <w:bottom w:w="90" w:type="dxa"/>
              <w:right w:w="90" w:type="dxa"/>
            </w:tcMar>
            <w:vAlign w:val="center"/>
          </w:tcPr>
          <w:p w14:paraId="278DA505" w14:textId="77777777" w:rsidR="000369CD" w:rsidRDefault="000369CD" w:rsidP="00503654">
            <w:pPr>
              <w:jc w:val="center"/>
            </w:pPr>
            <w:r>
              <w:rPr>
                <w:rFonts w:eastAsia="Times New Roman"/>
                <w:sz w:val="19"/>
              </w:rPr>
              <w:t>Security Analyst / Awareness</w:t>
            </w:r>
          </w:p>
        </w:tc>
        <w:tc>
          <w:tcPr>
            <w:tcW w:w="2997" w:type="dxa"/>
            <w:tcMar>
              <w:top w:w="90" w:type="dxa"/>
              <w:left w:w="90" w:type="dxa"/>
              <w:bottom w:w="90" w:type="dxa"/>
              <w:right w:w="90" w:type="dxa"/>
            </w:tcMar>
            <w:vAlign w:val="center"/>
          </w:tcPr>
          <w:p w14:paraId="0000862A" w14:textId="77777777" w:rsidR="000369CD" w:rsidRDefault="000369CD" w:rsidP="00503654">
            <w:pPr>
              <w:jc w:val="center"/>
            </w:pPr>
            <w:proofErr w:type="spellStart"/>
            <w:r>
              <w:rPr>
                <w:rFonts w:eastAsia="Times New Roman"/>
                <w:sz w:val="19"/>
              </w:rPr>
              <w:t>DevSecOps</w:t>
            </w:r>
            <w:proofErr w:type="spellEnd"/>
            <w:r>
              <w:rPr>
                <w:rFonts w:eastAsia="Times New Roman"/>
                <w:sz w:val="19"/>
              </w:rPr>
              <w:t xml:space="preserve"> Engineer</w:t>
            </w:r>
          </w:p>
        </w:tc>
        <w:tc>
          <w:tcPr>
            <w:tcW w:w="2999" w:type="dxa"/>
            <w:tcMar>
              <w:top w:w="90" w:type="dxa"/>
              <w:left w:w="90" w:type="dxa"/>
              <w:bottom w:w="90" w:type="dxa"/>
              <w:right w:w="90" w:type="dxa"/>
            </w:tcMar>
            <w:vAlign w:val="center"/>
          </w:tcPr>
          <w:p w14:paraId="2F27A877" w14:textId="77777777" w:rsidR="000369CD" w:rsidRDefault="000369CD" w:rsidP="00503654">
            <w:pPr>
              <w:jc w:val="center"/>
            </w:pPr>
            <w:r>
              <w:rPr>
                <w:rFonts w:eastAsia="Times New Roman"/>
                <w:sz w:val="19"/>
              </w:rPr>
              <w:t>AI &amp; Data Security Specialist</w:t>
            </w:r>
          </w:p>
        </w:tc>
      </w:tr>
    </w:tbl>
    <w:p w14:paraId="25187281" w14:textId="3F7C6DAA" w:rsidR="000369CD" w:rsidRDefault="00AC015C" w:rsidP="000369CD">
      <w:pPr>
        <w:pStyle w:val="CaptionX"/>
        <w:jc w:val="center"/>
      </w:pPr>
      <w:r>
        <w:t xml:space="preserve">Table </w:t>
      </w:r>
      <w:r w:rsidR="000369CD">
        <w:t>1. Proposed Information Security Unit.</w:t>
      </w:r>
    </w:p>
    <w:p w14:paraId="35ED87EB" w14:textId="52C26C9C" w:rsidR="000369CD" w:rsidRDefault="000369CD" w:rsidP="000369CD">
      <w:r>
        <w:rPr>
          <w:rFonts w:eastAsia="Times New Roman"/>
          <w:color w:val="000000"/>
        </w:rPr>
        <w:t xml:space="preserve">Role justification. The Cloud Security Architect owns secure landing zones, CSPM, segmentation and resilient cloud design. The </w:t>
      </w:r>
      <w:proofErr w:type="spellStart"/>
      <w:r>
        <w:rPr>
          <w:rFonts w:eastAsia="Times New Roman"/>
          <w:color w:val="000000"/>
        </w:rPr>
        <w:t>DevSecOps</w:t>
      </w:r>
      <w:proofErr w:type="spellEnd"/>
      <w:r>
        <w:rPr>
          <w:rFonts w:eastAsia="Times New Roman"/>
          <w:color w:val="000000"/>
        </w:rPr>
        <w:t xml:space="preserve"> Engineer embeds security tests, secrets management and software composition analysis into delivery pipelines. The Security Operations Lead owns SIEM/XDR use cases, incident response and the managed service. The GRC Manager maps controls to GDPR, DORA and investor assurance, while the DPO advises independently on privacy. The AI and Data Security Specialist governs training data, model access, prompt and data leakage risks, and adversarial testing. These roles directly implement the visibility, governance, identity and automation dependencies identified in Task 1 [3]</w:t>
      </w:r>
      <w:r w:rsidR="002674BA">
        <w:rPr>
          <w:rFonts w:eastAsia="Times New Roman"/>
          <w:color w:val="000000"/>
        </w:rPr>
        <w:t>-</w:t>
      </w:r>
      <w:r>
        <w:rPr>
          <w:rFonts w:eastAsia="Times New Roman"/>
          <w:color w:val="000000"/>
        </w:rPr>
        <w:t>[6].</w:t>
      </w:r>
    </w:p>
    <w:p w14:paraId="74842007" w14:textId="728177A7" w:rsidR="000369CD" w:rsidRDefault="000369CD" w:rsidP="00851247">
      <w:pPr>
        <w:pStyle w:val="Heading1"/>
      </w:pPr>
      <w:bookmarkStart w:id="17" w:name="_Toc236065664"/>
      <w:r>
        <w:t>3. Work</w:t>
      </w:r>
      <w:r w:rsidR="002674BA">
        <w:t>-</w:t>
      </w:r>
      <w:r>
        <w:t>Stream 2: Policy Framework Development</w:t>
      </w:r>
      <w:bookmarkEnd w:id="17"/>
    </w:p>
    <w:p w14:paraId="0BCDAEB2" w14:textId="77777777" w:rsidR="000369CD" w:rsidRPr="00503654" w:rsidRDefault="000369CD" w:rsidP="00851247">
      <w:pPr>
        <w:pStyle w:val="Heading2"/>
        <w:rPr>
          <w:rStyle w:val="BookTitle"/>
        </w:rPr>
      </w:pPr>
      <w:bookmarkStart w:id="18" w:name="_Toc236065665"/>
      <w:r w:rsidRPr="00503654">
        <w:rPr>
          <w:rStyle w:val="BookTitle"/>
        </w:rPr>
        <w:t>3.1 Acceptable Use Policy for AI and Cloud Services</w:t>
      </w:r>
      <w:bookmarkEnd w:id="18"/>
    </w:p>
    <w:p w14:paraId="6CB3A9C5" w14:textId="18F9B484" w:rsidR="000369CD" w:rsidRDefault="000369CD" w:rsidP="000369CD">
      <w:r>
        <w:rPr>
          <w:rFonts w:eastAsia="Times New Roman"/>
          <w:color w:val="000000"/>
        </w:rPr>
        <w:t>Purpose and scope. The policy applies to employees, contractors and service accounts using generative AI, analytics models, SaaS or cloud infrastructure. Only approved services and company</w:t>
      </w:r>
      <w:r w:rsidR="002674BA">
        <w:rPr>
          <w:rFonts w:eastAsia="Times New Roman"/>
          <w:color w:val="000000"/>
        </w:rPr>
        <w:t>-</w:t>
      </w:r>
      <w:r>
        <w:rPr>
          <w:rFonts w:eastAsia="Times New Roman"/>
          <w:color w:val="000000"/>
        </w:rPr>
        <w:t>managed identities may process Aegis information. Personal, customer, source</w:t>
      </w:r>
      <w:r w:rsidR="002674BA">
        <w:rPr>
          <w:rFonts w:eastAsia="Times New Roman"/>
          <w:color w:val="000000"/>
        </w:rPr>
        <w:t>-</w:t>
      </w:r>
      <w:r>
        <w:rPr>
          <w:rFonts w:eastAsia="Times New Roman"/>
          <w:color w:val="000000"/>
        </w:rPr>
        <w:t>code or confidential funding data must not be entered into public AI tools unless a documented assessment, contract and technical control permit it. Cloud resources must use approved regions, encryption, logging, tagging and least</w:t>
      </w:r>
      <w:r w:rsidR="002674BA">
        <w:rPr>
          <w:rFonts w:eastAsia="Times New Roman"/>
          <w:color w:val="000000"/>
        </w:rPr>
        <w:t>-</w:t>
      </w:r>
      <w:r>
        <w:rPr>
          <w:rFonts w:eastAsia="Times New Roman"/>
          <w:color w:val="000000"/>
        </w:rPr>
        <w:t>privilege roles. High</w:t>
      </w:r>
      <w:r w:rsidR="002674BA">
        <w:rPr>
          <w:rFonts w:eastAsia="Times New Roman"/>
          <w:color w:val="000000"/>
        </w:rPr>
        <w:t>-</w:t>
      </w:r>
      <w:r>
        <w:rPr>
          <w:rFonts w:eastAsia="Times New Roman"/>
          <w:color w:val="000000"/>
        </w:rPr>
        <w:t>risk AI use requires human review, traceability and a data</w:t>
      </w:r>
      <w:r w:rsidR="002674BA">
        <w:rPr>
          <w:rFonts w:eastAsia="Times New Roman"/>
          <w:color w:val="000000"/>
        </w:rPr>
        <w:t>-</w:t>
      </w:r>
      <w:r>
        <w:rPr>
          <w:rFonts w:eastAsia="Times New Roman"/>
          <w:color w:val="000000"/>
        </w:rPr>
        <w:t xml:space="preserve">protection assessment. Task 1 found that access decisions are only reliable when identity, device and resource context are known [1], [3]; </w:t>
      </w:r>
      <w:proofErr w:type="gramStart"/>
      <w:r>
        <w:rPr>
          <w:rFonts w:eastAsia="Times New Roman"/>
          <w:color w:val="000000"/>
        </w:rPr>
        <w:t>therefore</w:t>
      </w:r>
      <w:proofErr w:type="gramEnd"/>
      <w:r>
        <w:rPr>
          <w:rFonts w:eastAsia="Times New Roman"/>
          <w:color w:val="000000"/>
        </w:rPr>
        <w:t xml:space="preserve"> anonymous accounts, shared credentials and unmanaged API keys are prohibited.</w:t>
      </w:r>
    </w:p>
    <w:p w14:paraId="4384D2DE" w14:textId="77777777" w:rsidR="000369CD" w:rsidRPr="00503654" w:rsidRDefault="000369CD" w:rsidP="00851247">
      <w:pPr>
        <w:pStyle w:val="Heading2"/>
        <w:rPr>
          <w:rStyle w:val="BookTitle"/>
        </w:rPr>
      </w:pPr>
      <w:bookmarkStart w:id="19" w:name="_Toc236065666"/>
      <w:r w:rsidRPr="00503654">
        <w:rPr>
          <w:rStyle w:val="BookTitle"/>
        </w:rPr>
        <w:t>3.2 Hybrid Work and Remote Access Security Policy</w:t>
      </w:r>
      <w:bookmarkEnd w:id="19"/>
    </w:p>
    <w:p w14:paraId="599A627E" w14:textId="2E7F21A9" w:rsidR="000369CD" w:rsidRDefault="000369CD" w:rsidP="000369CD">
      <w:r>
        <w:rPr>
          <w:rFonts w:eastAsia="Times New Roman"/>
          <w:color w:val="000000"/>
        </w:rPr>
        <w:t>Remote access will use ZTNA rather than broad network</w:t>
      </w:r>
      <w:r w:rsidR="002674BA">
        <w:rPr>
          <w:rFonts w:eastAsia="Times New Roman"/>
          <w:color w:val="000000"/>
        </w:rPr>
        <w:t>-</w:t>
      </w:r>
      <w:r>
        <w:rPr>
          <w:rFonts w:eastAsia="Times New Roman"/>
          <w:color w:val="000000"/>
        </w:rPr>
        <w:t>level VPN access. Users must authenticate with phishing</w:t>
      </w:r>
      <w:r w:rsidR="002674BA">
        <w:rPr>
          <w:rFonts w:eastAsia="Times New Roman"/>
          <w:color w:val="000000"/>
        </w:rPr>
        <w:t>-</w:t>
      </w:r>
      <w:r>
        <w:rPr>
          <w:rFonts w:eastAsia="Times New Roman"/>
          <w:color w:val="000000"/>
        </w:rPr>
        <w:t>resistant MFA on managed, encrypted and compliant devices. Access is granted per application and adjusted according to role, device health, location risk and behaviour. Privileged activity requires PAM, time</w:t>
      </w:r>
      <w:r w:rsidR="002674BA">
        <w:rPr>
          <w:rFonts w:eastAsia="Times New Roman"/>
          <w:color w:val="000000"/>
        </w:rPr>
        <w:t>-</w:t>
      </w:r>
      <w:r>
        <w:rPr>
          <w:rFonts w:eastAsia="Times New Roman"/>
          <w:color w:val="000000"/>
        </w:rPr>
        <w:t xml:space="preserve">limited approval and recorded sessions. Local storage of regulated data is </w:t>
      </w:r>
      <w:proofErr w:type="gramStart"/>
      <w:r>
        <w:rPr>
          <w:rFonts w:eastAsia="Times New Roman"/>
          <w:color w:val="000000"/>
        </w:rPr>
        <w:t>restricted</w:t>
      </w:r>
      <w:proofErr w:type="gramEnd"/>
      <w:r>
        <w:rPr>
          <w:rFonts w:eastAsia="Times New Roman"/>
          <w:color w:val="000000"/>
        </w:rPr>
        <w:t xml:space="preserve"> and lost devices must be reported immediately. This reflects Task 1’s finding that the office network is no longer a dependable trust boundary and that ZTNA should expose only the specific application authorised for a user [1], [2], [10].</w:t>
      </w:r>
    </w:p>
    <w:p w14:paraId="12C15F6E" w14:textId="1B6ED866" w:rsidR="000369CD" w:rsidRPr="00503654" w:rsidRDefault="000369CD" w:rsidP="00851247">
      <w:pPr>
        <w:pStyle w:val="Heading2"/>
        <w:rPr>
          <w:rStyle w:val="BookTitle"/>
        </w:rPr>
      </w:pPr>
      <w:bookmarkStart w:id="20" w:name="_Toc236065667"/>
      <w:r w:rsidRPr="00503654">
        <w:rPr>
          <w:rStyle w:val="BookTitle"/>
        </w:rPr>
        <w:t>3.3 Third</w:t>
      </w:r>
      <w:r w:rsidR="002674BA">
        <w:rPr>
          <w:rStyle w:val="BookTitle"/>
        </w:rPr>
        <w:t>-</w:t>
      </w:r>
      <w:r w:rsidRPr="00503654">
        <w:rPr>
          <w:rStyle w:val="BookTitle"/>
        </w:rPr>
        <w:t>Party and Cloud Vendor Risk Management Policy</w:t>
      </w:r>
      <w:bookmarkEnd w:id="20"/>
    </w:p>
    <w:p w14:paraId="1F76C8C5" w14:textId="680715BA" w:rsidR="000369CD" w:rsidRDefault="000369CD" w:rsidP="000369CD">
      <w:r>
        <w:rPr>
          <w:rFonts w:eastAsia="Times New Roman"/>
          <w:color w:val="000000"/>
        </w:rPr>
        <w:t>All suppliers will be classified by data sensitivity, operational criticality and substitution difficulty. Due diligence must cover security certifications, breach history, resilience testing, data location, subcontractors, identity controls, logging, recovery capability and secure exit. Contracts for critical services must include incident notification, audit rights, recovery objectives, data return/deletion and cooperation with regulators. Continuous review will use CSPM findings, security ratings and service performance. Task 1 reported rising third</w:t>
      </w:r>
      <w:r w:rsidR="002674BA">
        <w:rPr>
          <w:rFonts w:eastAsia="Times New Roman"/>
          <w:color w:val="000000"/>
        </w:rPr>
        <w:t>-</w:t>
      </w:r>
      <w:r>
        <w:rPr>
          <w:rFonts w:eastAsia="Times New Roman"/>
          <w:color w:val="000000"/>
        </w:rPr>
        <w:t>party involvement in breaches and warned that SASE and cloud consolidation can introduce provider concentration and residency risk [2], [8], [11]. DORA also keeps the financial entity responsible for ICT obligations even when services are outsourced [16].</w:t>
      </w:r>
    </w:p>
    <w:p w14:paraId="2B00DDD2" w14:textId="1C4DC7B1" w:rsidR="000369CD" w:rsidRDefault="000369CD" w:rsidP="00851247">
      <w:pPr>
        <w:pStyle w:val="Heading1"/>
      </w:pPr>
      <w:bookmarkStart w:id="21" w:name="_Toc236065668"/>
      <w:r>
        <w:lastRenderedPageBreak/>
        <w:t>4. Work</w:t>
      </w:r>
      <w:r w:rsidR="002674BA">
        <w:t>-</w:t>
      </w:r>
      <w:r>
        <w:t>Stream 3: GDPR and DORA Compliance Strategy</w:t>
      </w:r>
      <w:bookmarkEnd w:id="21"/>
    </w:p>
    <w:p w14:paraId="5B4A9A3A" w14:textId="429154FE" w:rsidR="000369CD" w:rsidRDefault="000369CD" w:rsidP="000369CD">
      <w:r>
        <w:rPr>
          <w:rFonts w:eastAsia="Times New Roman"/>
          <w:color w:val="000000"/>
        </w:rPr>
        <w:t>The compliance programme should produce evidence, not only statements of intent. GDPR Article 32 requires security measures appropriate to processing risk, including resilience and regular testing; Article 35 requires a DPIA where automated processing is likely to create high risk, and Article 33 establishes the supervisory</w:t>
      </w:r>
      <w:r w:rsidR="002674BA">
        <w:rPr>
          <w:rFonts w:eastAsia="Times New Roman"/>
          <w:color w:val="000000"/>
        </w:rPr>
        <w:t>-</w:t>
      </w:r>
      <w:r>
        <w:rPr>
          <w:rFonts w:eastAsia="Times New Roman"/>
          <w:color w:val="000000"/>
        </w:rPr>
        <w:t>authority breach notification process [15]. DORA requires management</w:t>
      </w:r>
      <w:r w:rsidR="002674BA">
        <w:rPr>
          <w:rFonts w:eastAsia="Times New Roman"/>
          <w:color w:val="000000"/>
        </w:rPr>
        <w:t>-</w:t>
      </w:r>
      <w:r>
        <w:rPr>
          <w:rFonts w:eastAsia="Times New Roman"/>
          <w:color w:val="000000"/>
        </w:rPr>
        <w:t>body accountability for ICT risk, documented response and recovery, resilience testing and control of ICT third</w:t>
      </w:r>
      <w:r w:rsidR="002674BA">
        <w:rPr>
          <w:rFonts w:eastAsia="Times New Roman"/>
          <w:color w:val="000000"/>
        </w:rPr>
        <w:t>-</w:t>
      </w:r>
      <w:r>
        <w:rPr>
          <w:rFonts w:eastAsia="Times New Roman"/>
          <w:color w:val="000000"/>
        </w:rPr>
        <w:t>party risk [16].</w:t>
      </w:r>
    </w:p>
    <w:tbl>
      <w:tblPr>
        <w:tblStyle w:val="TableGrid"/>
        <w:tblW w:w="0" w:type="auto"/>
        <w:jc w:val="center"/>
        <w:tblLook w:val="04A0" w:firstRow="1" w:lastRow="0" w:firstColumn="1" w:lastColumn="0" w:noHBand="0" w:noVBand="1"/>
      </w:tblPr>
      <w:tblGrid>
        <w:gridCol w:w="1017"/>
        <w:gridCol w:w="1635"/>
        <w:gridCol w:w="4159"/>
        <w:gridCol w:w="2205"/>
      </w:tblGrid>
      <w:tr w:rsidR="000369CD" w14:paraId="17FCABAE" w14:textId="77777777" w:rsidTr="009F145F">
        <w:trPr>
          <w:tblHeader/>
          <w:jc w:val="center"/>
        </w:trPr>
        <w:tc>
          <w:tcPr>
            <w:tcW w:w="1080" w:type="dxa"/>
            <w:shd w:val="clear" w:color="auto" w:fill="1F4E79"/>
            <w:tcMar>
              <w:top w:w="70" w:type="dxa"/>
              <w:left w:w="70" w:type="dxa"/>
              <w:bottom w:w="70" w:type="dxa"/>
              <w:right w:w="70" w:type="dxa"/>
            </w:tcMar>
            <w:vAlign w:val="center"/>
          </w:tcPr>
          <w:p w14:paraId="580B9436" w14:textId="77777777" w:rsidR="000369CD" w:rsidRDefault="000369CD" w:rsidP="009F145F">
            <w:pPr>
              <w:jc w:val="center"/>
            </w:pPr>
            <w:r>
              <w:rPr>
                <w:rFonts w:eastAsia="Times New Roman"/>
                <w:b/>
                <w:sz w:val="19"/>
              </w:rPr>
              <w:t>Timing</w:t>
            </w:r>
          </w:p>
        </w:tc>
        <w:tc>
          <w:tcPr>
            <w:tcW w:w="1728" w:type="dxa"/>
            <w:shd w:val="clear" w:color="auto" w:fill="1F4E79"/>
            <w:tcMar>
              <w:top w:w="70" w:type="dxa"/>
              <w:left w:w="70" w:type="dxa"/>
              <w:bottom w:w="70" w:type="dxa"/>
              <w:right w:w="70" w:type="dxa"/>
            </w:tcMar>
            <w:vAlign w:val="center"/>
          </w:tcPr>
          <w:p w14:paraId="4F41C018" w14:textId="77777777" w:rsidR="000369CD" w:rsidRDefault="000369CD" w:rsidP="009F145F">
            <w:pPr>
              <w:jc w:val="center"/>
            </w:pPr>
            <w:r>
              <w:rPr>
                <w:rFonts w:eastAsia="Times New Roman"/>
                <w:b/>
                <w:sz w:val="19"/>
              </w:rPr>
              <w:t>Milestone</w:t>
            </w:r>
          </w:p>
        </w:tc>
        <w:tc>
          <w:tcPr>
            <w:tcW w:w="4680" w:type="dxa"/>
            <w:shd w:val="clear" w:color="auto" w:fill="1F4E79"/>
            <w:tcMar>
              <w:top w:w="70" w:type="dxa"/>
              <w:left w:w="70" w:type="dxa"/>
              <w:bottom w:w="70" w:type="dxa"/>
              <w:right w:w="70" w:type="dxa"/>
            </w:tcMar>
            <w:vAlign w:val="center"/>
          </w:tcPr>
          <w:p w14:paraId="287348D0" w14:textId="77777777" w:rsidR="000369CD" w:rsidRDefault="000369CD" w:rsidP="009F145F">
            <w:pPr>
              <w:jc w:val="center"/>
            </w:pPr>
            <w:r>
              <w:rPr>
                <w:rFonts w:eastAsia="Times New Roman"/>
                <w:b/>
                <w:sz w:val="19"/>
              </w:rPr>
              <w:t>Main actions</w:t>
            </w:r>
          </w:p>
        </w:tc>
        <w:tc>
          <w:tcPr>
            <w:tcW w:w="2448" w:type="dxa"/>
            <w:shd w:val="clear" w:color="auto" w:fill="1F4E79"/>
            <w:tcMar>
              <w:top w:w="70" w:type="dxa"/>
              <w:left w:w="70" w:type="dxa"/>
              <w:bottom w:w="70" w:type="dxa"/>
              <w:right w:w="70" w:type="dxa"/>
            </w:tcMar>
            <w:vAlign w:val="center"/>
          </w:tcPr>
          <w:p w14:paraId="69BD2336" w14:textId="77777777" w:rsidR="000369CD" w:rsidRDefault="000369CD" w:rsidP="009F145F">
            <w:pPr>
              <w:jc w:val="center"/>
            </w:pPr>
            <w:r>
              <w:rPr>
                <w:rFonts w:eastAsia="Times New Roman"/>
                <w:b/>
                <w:sz w:val="19"/>
              </w:rPr>
              <w:t>Evidence / exit criterion</w:t>
            </w:r>
          </w:p>
        </w:tc>
      </w:tr>
      <w:tr w:rsidR="000369CD" w14:paraId="7BAD124B" w14:textId="77777777" w:rsidTr="009F145F">
        <w:trPr>
          <w:jc w:val="center"/>
        </w:trPr>
        <w:tc>
          <w:tcPr>
            <w:tcW w:w="1080" w:type="dxa"/>
            <w:tcMar>
              <w:top w:w="70" w:type="dxa"/>
              <w:left w:w="70" w:type="dxa"/>
              <w:bottom w:w="70" w:type="dxa"/>
              <w:right w:w="70" w:type="dxa"/>
            </w:tcMar>
          </w:tcPr>
          <w:p w14:paraId="5352FC9D" w14:textId="447136F8" w:rsidR="000369CD" w:rsidRDefault="000369CD" w:rsidP="009F145F">
            <w:r>
              <w:rPr>
                <w:rFonts w:eastAsia="Times New Roman"/>
                <w:sz w:val="19"/>
              </w:rPr>
              <w:t>Months 1</w:t>
            </w:r>
            <w:r w:rsidR="002674BA">
              <w:rPr>
                <w:rFonts w:eastAsia="Times New Roman"/>
                <w:sz w:val="19"/>
              </w:rPr>
              <w:t>-</w:t>
            </w:r>
            <w:r>
              <w:rPr>
                <w:rFonts w:eastAsia="Times New Roman"/>
                <w:sz w:val="19"/>
              </w:rPr>
              <w:t>2</w:t>
            </w:r>
          </w:p>
        </w:tc>
        <w:tc>
          <w:tcPr>
            <w:tcW w:w="1728" w:type="dxa"/>
            <w:tcMar>
              <w:top w:w="70" w:type="dxa"/>
              <w:left w:w="70" w:type="dxa"/>
              <w:bottom w:w="70" w:type="dxa"/>
              <w:right w:w="70" w:type="dxa"/>
            </w:tcMar>
          </w:tcPr>
          <w:p w14:paraId="31B1FB09" w14:textId="77777777" w:rsidR="000369CD" w:rsidRDefault="000369CD" w:rsidP="009F145F">
            <w:r>
              <w:rPr>
                <w:rFonts w:eastAsia="Times New Roman"/>
                <w:sz w:val="19"/>
              </w:rPr>
              <w:t>Scope and accountability</w:t>
            </w:r>
          </w:p>
        </w:tc>
        <w:tc>
          <w:tcPr>
            <w:tcW w:w="4680" w:type="dxa"/>
            <w:tcMar>
              <w:top w:w="70" w:type="dxa"/>
              <w:left w:w="70" w:type="dxa"/>
              <w:bottom w:w="70" w:type="dxa"/>
              <w:right w:w="70" w:type="dxa"/>
            </w:tcMar>
          </w:tcPr>
          <w:p w14:paraId="13F8669B" w14:textId="77777777" w:rsidR="000369CD" w:rsidRDefault="000369CD" w:rsidP="009F145F">
            <w:r>
              <w:rPr>
                <w:rFonts w:eastAsia="Times New Roman"/>
                <w:sz w:val="19"/>
              </w:rPr>
              <w:t>Appoint DPO access; identify EU establishments, products, controllers/processors and competent authorities; approve security and privacy governance.</w:t>
            </w:r>
          </w:p>
        </w:tc>
        <w:tc>
          <w:tcPr>
            <w:tcW w:w="2448" w:type="dxa"/>
            <w:tcMar>
              <w:top w:w="70" w:type="dxa"/>
              <w:left w:w="70" w:type="dxa"/>
              <w:bottom w:w="70" w:type="dxa"/>
              <w:right w:w="70" w:type="dxa"/>
            </w:tcMar>
          </w:tcPr>
          <w:p w14:paraId="3B851616" w14:textId="77777777" w:rsidR="000369CD" w:rsidRDefault="000369CD" w:rsidP="009F145F">
            <w:r>
              <w:rPr>
                <w:rFonts w:eastAsia="Times New Roman"/>
                <w:sz w:val="19"/>
              </w:rPr>
              <w:t>Approved RACI, processing scope and board minutes</w:t>
            </w:r>
          </w:p>
        </w:tc>
      </w:tr>
      <w:tr w:rsidR="000369CD" w14:paraId="45436517" w14:textId="77777777" w:rsidTr="009F145F">
        <w:trPr>
          <w:jc w:val="center"/>
        </w:trPr>
        <w:tc>
          <w:tcPr>
            <w:tcW w:w="1080" w:type="dxa"/>
            <w:tcMar>
              <w:top w:w="70" w:type="dxa"/>
              <w:left w:w="70" w:type="dxa"/>
              <w:bottom w:w="70" w:type="dxa"/>
              <w:right w:w="70" w:type="dxa"/>
            </w:tcMar>
          </w:tcPr>
          <w:p w14:paraId="39A3D250" w14:textId="03F3E67C" w:rsidR="000369CD" w:rsidRDefault="000369CD" w:rsidP="009F145F">
            <w:r>
              <w:rPr>
                <w:rFonts w:eastAsia="Times New Roman"/>
                <w:sz w:val="19"/>
              </w:rPr>
              <w:t>Months 2</w:t>
            </w:r>
            <w:r w:rsidR="002674BA">
              <w:rPr>
                <w:rFonts w:eastAsia="Times New Roman"/>
                <w:sz w:val="19"/>
              </w:rPr>
              <w:t>-</w:t>
            </w:r>
            <w:r>
              <w:rPr>
                <w:rFonts w:eastAsia="Times New Roman"/>
                <w:sz w:val="19"/>
              </w:rPr>
              <w:t>4</w:t>
            </w:r>
          </w:p>
        </w:tc>
        <w:tc>
          <w:tcPr>
            <w:tcW w:w="1728" w:type="dxa"/>
            <w:tcMar>
              <w:top w:w="70" w:type="dxa"/>
              <w:left w:w="70" w:type="dxa"/>
              <w:bottom w:w="70" w:type="dxa"/>
              <w:right w:w="70" w:type="dxa"/>
            </w:tcMar>
          </w:tcPr>
          <w:p w14:paraId="5CC825B2" w14:textId="77777777" w:rsidR="000369CD" w:rsidRDefault="000369CD" w:rsidP="009F145F">
            <w:r>
              <w:rPr>
                <w:rFonts w:eastAsia="Times New Roman"/>
                <w:sz w:val="19"/>
              </w:rPr>
              <w:t>Data and ICT baseline</w:t>
            </w:r>
          </w:p>
        </w:tc>
        <w:tc>
          <w:tcPr>
            <w:tcW w:w="4680" w:type="dxa"/>
            <w:tcMar>
              <w:top w:w="70" w:type="dxa"/>
              <w:left w:w="70" w:type="dxa"/>
              <w:bottom w:w="70" w:type="dxa"/>
              <w:right w:w="70" w:type="dxa"/>
            </w:tcMar>
          </w:tcPr>
          <w:p w14:paraId="055B0751" w14:textId="145B4652" w:rsidR="000369CD" w:rsidRDefault="000369CD" w:rsidP="009F145F">
            <w:r>
              <w:rPr>
                <w:rFonts w:eastAsia="Times New Roman"/>
                <w:sz w:val="19"/>
              </w:rPr>
              <w:t>Complete records of processing, data</w:t>
            </w:r>
            <w:r w:rsidR="002674BA">
              <w:rPr>
                <w:rFonts w:eastAsia="Times New Roman"/>
                <w:sz w:val="19"/>
              </w:rPr>
              <w:t>-</w:t>
            </w:r>
            <w:r>
              <w:rPr>
                <w:rFonts w:eastAsia="Times New Roman"/>
                <w:sz w:val="19"/>
              </w:rPr>
              <w:t>flow maps, critical</w:t>
            </w:r>
            <w:r w:rsidR="002674BA">
              <w:rPr>
                <w:rFonts w:eastAsia="Times New Roman"/>
                <w:sz w:val="19"/>
              </w:rPr>
              <w:t>-</w:t>
            </w:r>
            <w:r>
              <w:rPr>
                <w:rFonts w:eastAsia="Times New Roman"/>
                <w:sz w:val="19"/>
              </w:rPr>
              <w:t>function inventory, asset register, vendor register and gap assessment.</w:t>
            </w:r>
          </w:p>
        </w:tc>
        <w:tc>
          <w:tcPr>
            <w:tcW w:w="2448" w:type="dxa"/>
            <w:tcMar>
              <w:top w:w="70" w:type="dxa"/>
              <w:left w:w="70" w:type="dxa"/>
              <w:bottom w:w="70" w:type="dxa"/>
              <w:right w:w="70" w:type="dxa"/>
            </w:tcMar>
          </w:tcPr>
          <w:p w14:paraId="10346640" w14:textId="77777777" w:rsidR="000369CD" w:rsidRDefault="000369CD" w:rsidP="009F145F">
            <w:r>
              <w:rPr>
                <w:rFonts w:eastAsia="Times New Roman"/>
                <w:sz w:val="19"/>
              </w:rPr>
              <w:t>ROPA, ICT risk register, supplier inventory</w:t>
            </w:r>
          </w:p>
        </w:tc>
      </w:tr>
      <w:tr w:rsidR="000369CD" w14:paraId="2432D0C4" w14:textId="77777777" w:rsidTr="009F145F">
        <w:trPr>
          <w:jc w:val="center"/>
        </w:trPr>
        <w:tc>
          <w:tcPr>
            <w:tcW w:w="1080" w:type="dxa"/>
            <w:tcMar>
              <w:top w:w="70" w:type="dxa"/>
              <w:left w:w="70" w:type="dxa"/>
              <w:bottom w:w="70" w:type="dxa"/>
              <w:right w:w="70" w:type="dxa"/>
            </w:tcMar>
          </w:tcPr>
          <w:p w14:paraId="4589F3E7" w14:textId="4435BD2A" w:rsidR="000369CD" w:rsidRDefault="000369CD" w:rsidP="009F145F">
            <w:r>
              <w:rPr>
                <w:rFonts w:eastAsia="Times New Roman"/>
                <w:sz w:val="19"/>
              </w:rPr>
              <w:t>Months 3</w:t>
            </w:r>
            <w:r w:rsidR="002674BA">
              <w:rPr>
                <w:rFonts w:eastAsia="Times New Roman"/>
                <w:sz w:val="19"/>
              </w:rPr>
              <w:t>-</w:t>
            </w:r>
            <w:r>
              <w:rPr>
                <w:rFonts w:eastAsia="Times New Roman"/>
                <w:sz w:val="19"/>
              </w:rPr>
              <w:t>6</w:t>
            </w:r>
          </w:p>
        </w:tc>
        <w:tc>
          <w:tcPr>
            <w:tcW w:w="1728" w:type="dxa"/>
            <w:tcMar>
              <w:top w:w="70" w:type="dxa"/>
              <w:left w:w="70" w:type="dxa"/>
              <w:bottom w:w="70" w:type="dxa"/>
              <w:right w:w="70" w:type="dxa"/>
            </w:tcMar>
          </w:tcPr>
          <w:p w14:paraId="585EC8DF" w14:textId="77777777" w:rsidR="000369CD" w:rsidRDefault="000369CD" w:rsidP="009F145F">
            <w:r>
              <w:rPr>
                <w:rFonts w:eastAsia="Times New Roman"/>
                <w:sz w:val="19"/>
              </w:rPr>
              <w:t>Risk treatment</w:t>
            </w:r>
          </w:p>
        </w:tc>
        <w:tc>
          <w:tcPr>
            <w:tcW w:w="4680" w:type="dxa"/>
            <w:tcMar>
              <w:top w:w="70" w:type="dxa"/>
              <w:left w:w="70" w:type="dxa"/>
              <w:bottom w:w="70" w:type="dxa"/>
              <w:right w:w="70" w:type="dxa"/>
            </w:tcMar>
          </w:tcPr>
          <w:p w14:paraId="474CF8B0" w14:textId="695760C2" w:rsidR="000369CD" w:rsidRDefault="000369CD" w:rsidP="009F145F">
            <w:r>
              <w:rPr>
                <w:rFonts w:eastAsia="Times New Roman"/>
                <w:sz w:val="19"/>
              </w:rPr>
              <w:t>Complete DPIAs for AI analytics; implement retention, lawful</w:t>
            </w:r>
            <w:r w:rsidR="002674BA">
              <w:rPr>
                <w:rFonts w:eastAsia="Times New Roman"/>
                <w:sz w:val="19"/>
              </w:rPr>
              <w:t>-</w:t>
            </w:r>
            <w:r>
              <w:rPr>
                <w:rFonts w:eastAsia="Times New Roman"/>
                <w:sz w:val="19"/>
              </w:rPr>
              <w:t>basis review, data</w:t>
            </w:r>
            <w:r w:rsidR="002674BA">
              <w:rPr>
                <w:rFonts w:eastAsia="Times New Roman"/>
                <w:sz w:val="19"/>
              </w:rPr>
              <w:t>-</w:t>
            </w:r>
            <w:r>
              <w:rPr>
                <w:rFonts w:eastAsia="Times New Roman"/>
                <w:sz w:val="19"/>
              </w:rPr>
              <w:t>subject procedures, IAM/MFA, logging and encryption priorities.</w:t>
            </w:r>
          </w:p>
        </w:tc>
        <w:tc>
          <w:tcPr>
            <w:tcW w:w="2448" w:type="dxa"/>
            <w:tcMar>
              <w:top w:w="70" w:type="dxa"/>
              <w:left w:w="70" w:type="dxa"/>
              <w:bottom w:w="70" w:type="dxa"/>
              <w:right w:w="70" w:type="dxa"/>
            </w:tcMar>
          </w:tcPr>
          <w:p w14:paraId="6EED646E" w14:textId="77777777" w:rsidR="000369CD" w:rsidRDefault="000369CD" w:rsidP="009F145F">
            <w:r>
              <w:rPr>
                <w:rFonts w:eastAsia="Times New Roman"/>
                <w:sz w:val="19"/>
              </w:rPr>
              <w:t>Signed DPIAs, control evidence, remediation tracker</w:t>
            </w:r>
          </w:p>
        </w:tc>
      </w:tr>
      <w:tr w:rsidR="000369CD" w14:paraId="21A47283" w14:textId="77777777" w:rsidTr="009F145F">
        <w:trPr>
          <w:jc w:val="center"/>
        </w:trPr>
        <w:tc>
          <w:tcPr>
            <w:tcW w:w="1080" w:type="dxa"/>
            <w:tcMar>
              <w:top w:w="70" w:type="dxa"/>
              <w:left w:w="70" w:type="dxa"/>
              <w:bottom w:w="70" w:type="dxa"/>
              <w:right w:w="70" w:type="dxa"/>
            </w:tcMar>
          </w:tcPr>
          <w:p w14:paraId="4C7FABF8" w14:textId="0EC11875" w:rsidR="000369CD" w:rsidRDefault="000369CD" w:rsidP="009F145F">
            <w:r>
              <w:rPr>
                <w:rFonts w:eastAsia="Times New Roman"/>
                <w:sz w:val="19"/>
              </w:rPr>
              <w:t>Months 5</w:t>
            </w:r>
            <w:r w:rsidR="002674BA">
              <w:rPr>
                <w:rFonts w:eastAsia="Times New Roman"/>
                <w:sz w:val="19"/>
              </w:rPr>
              <w:t>-</w:t>
            </w:r>
            <w:r>
              <w:rPr>
                <w:rFonts w:eastAsia="Times New Roman"/>
                <w:sz w:val="19"/>
              </w:rPr>
              <w:t>8</w:t>
            </w:r>
          </w:p>
        </w:tc>
        <w:tc>
          <w:tcPr>
            <w:tcW w:w="1728" w:type="dxa"/>
            <w:tcMar>
              <w:top w:w="70" w:type="dxa"/>
              <w:left w:w="70" w:type="dxa"/>
              <w:bottom w:w="70" w:type="dxa"/>
              <w:right w:w="70" w:type="dxa"/>
            </w:tcMar>
          </w:tcPr>
          <w:p w14:paraId="58F52ED8" w14:textId="77777777" w:rsidR="000369CD" w:rsidRDefault="000369CD" w:rsidP="009F145F">
            <w:r>
              <w:rPr>
                <w:rFonts w:eastAsia="Times New Roman"/>
                <w:sz w:val="19"/>
              </w:rPr>
              <w:t>Operational resilience</w:t>
            </w:r>
          </w:p>
        </w:tc>
        <w:tc>
          <w:tcPr>
            <w:tcW w:w="4680" w:type="dxa"/>
            <w:tcMar>
              <w:top w:w="70" w:type="dxa"/>
              <w:left w:w="70" w:type="dxa"/>
              <w:bottom w:w="70" w:type="dxa"/>
              <w:right w:w="70" w:type="dxa"/>
            </w:tcMar>
          </w:tcPr>
          <w:p w14:paraId="511307EF" w14:textId="77777777" w:rsidR="000369CD" w:rsidRDefault="000369CD" w:rsidP="009F145F">
            <w:r>
              <w:rPr>
                <w:rFonts w:eastAsia="Times New Roman"/>
                <w:sz w:val="19"/>
              </w:rPr>
              <w:t>Define incident classification, regulatory escalation, business impact analysis, recovery objectives and crisis communications.</w:t>
            </w:r>
          </w:p>
        </w:tc>
        <w:tc>
          <w:tcPr>
            <w:tcW w:w="2448" w:type="dxa"/>
            <w:tcMar>
              <w:top w:w="70" w:type="dxa"/>
              <w:left w:w="70" w:type="dxa"/>
              <w:bottom w:w="70" w:type="dxa"/>
              <w:right w:w="70" w:type="dxa"/>
            </w:tcMar>
          </w:tcPr>
          <w:p w14:paraId="62243224" w14:textId="77777777" w:rsidR="000369CD" w:rsidRDefault="000369CD" w:rsidP="009F145F">
            <w:r>
              <w:rPr>
                <w:rFonts w:eastAsia="Times New Roman"/>
                <w:sz w:val="19"/>
              </w:rPr>
              <w:t>Tested plans, contact matrix and exercise report</w:t>
            </w:r>
          </w:p>
        </w:tc>
      </w:tr>
      <w:tr w:rsidR="000369CD" w14:paraId="6D791E96" w14:textId="77777777" w:rsidTr="009F145F">
        <w:trPr>
          <w:jc w:val="center"/>
        </w:trPr>
        <w:tc>
          <w:tcPr>
            <w:tcW w:w="1080" w:type="dxa"/>
            <w:tcMar>
              <w:top w:w="70" w:type="dxa"/>
              <w:left w:w="70" w:type="dxa"/>
              <w:bottom w:w="70" w:type="dxa"/>
              <w:right w:w="70" w:type="dxa"/>
            </w:tcMar>
          </w:tcPr>
          <w:p w14:paraId="3CC9C07D" w14:textId="7DE7B9FE" w:rsidR="000369CD" w:rsidRDefault="000369CD" w:rsidP="009F145F">
            <w:r>
              <w:rPr>
                <w:rFonts w:eastAsia="Times New Roman"/>
                <w:sz w:val="19"/>
              </w:rPr>
              <w:t>Months 6</w:t>
            </w:r>
            <w:r w:rsidR="002674BA">
              <w:rPr>
                <w:rFonts w:eastAsia="Times New Roman"/>
                <w:sz w:val="19"/>
              </w:rPr>
              <w:t>-</w:t>
            </w:r>
            <w:r>
              <w:rPr>
                <w:rFonts w:eastAsia="Times New Roman"/>
                <w:sz w:val="19"/>
              </w:rPr>
              <w:t>10</w:t>
            </w:r>
          </w:p>
        </w:tc>
        <w:tc>
          <w:tcPr>
            <w:tcW w:w="1728" w:type="dxa"/>
            <w:tcMar>
              <w:top w:w="70" w:type="dxa"/>
              <w:left w:w="70" w:type="dxa"/>
              <w:bottom w:w="70" w:type="dxa"/>
              <w:right w:w="70" w:type="dxa"/>
            </w:tcMar>
          </w:tcPr>
          <w:p w14:paraId="22EA5E64" w14:textId="03441118" w:rsidR="000369CD" w:rsidRDefault="000369CD" w:rsidP="009F145F">
            <w:r>
              <w:rPr>
                <w:rFonts w:eastAsia="Times New Roman"/>
                <w:sz w:val="19"/>
              </w:rPr>
              <w:t>Third</w:t>
            </w:r>
            <w:r w:rsidR="002674BA">
              <w:rPr>
                <w:rFonts w:eastAsia="Times New Roman"/>
                <w:sz w:val="19"/>
              </w:rPr>
              <w:t>-</w:t>
            </w:r>
            <w:r>
              <w:rPr>
                <w:rFonts w:eastAsia="Times New Roman"/>
                <w:sz w:val="19"/>
              </w:rPr>
              <w:t>party assurance</w:t>
            </w:r>
          </w:p>
        </w:tc>
        <w:tc>
          <w:tcPr>
            <w:tcW w:w="4680" w:type="dxa"/>
            <w:tcMar>
              <w:top w:w="70" w:type="dxa"/>
              <w:left w:w="70" w:type="dxa"/>
              <w:bottom w:w="70" w:type="dxa"/>
              <w:right w:w="70" w:type="dxa"/>
            </w:tcMar>
          </w:tcPr>
          <w:p w14:paraId="1433FA26" w14:textId="59D93543" w:rsidR="000369CD" w:rsidRDefault="000369CD" w:rsidP="009F145F">
            <w:r>
              <w:rPr>
                <w:rFonts w:eastAsia="Times New Roman"/>
                <w:sz w:val="19"/>
              </w:rPr>
              <w:t>Insert DORA/GDPR clauses, assess critical providers, document concentration and exit risks, and test one provider</w:t>
            </w:r>
            <w:r w:rsidR="002674BA">
              <w:rPr>
                <w:rFonts w:eastAsia="Times New Roman"/>
                <w:sz w:val="19"/>
              </w:rPr>
              <w:t>-</w:t>
            </w:r>
            <w:r>
              <w:rPr>
                <w:rFonts w:eastAsia="Times New Roman"/>
                <w:sz w:val="19"/>
              </w:rPr>
              <w:t>failure scenario.</w:t>
            </w:r>
          </w:p>
        </w:tc>
        <w:tc>
          <w:tcPr>
            <w:tcW w:w="2448" w:type="dxa"/>
            <w:tcMar>
              <w:top w:w="70" w:type="dxa"/>
              <w:left w:w="70" w:type="dxa"/>
              <w:bottom w:w="70" w:type="dxa"/>
              <w:right w:w="70" w:type="dxa"/>
            </w:tcMar>
          </w:tcPr>
          <w:p w14:paraId="291032C9" w14:textId="77777777" w:rsidR="000369CD" w:rsidRDefault="000369CD" w:rsidP="009F145F">
            <w:r>
              <w:rPr>
                <w:rFonts w:eastAsia="Times New Roman"/>
                <w:sz w:val="19"/>
              </w:rPr>
              <w:t>Contracts, assessments, exit plans</w:t>
            </w:r>
          </w:p>
        </w:tc>
      </w:tr>
      <w:tr w:rsidR="000369CD" w14:paraId="1E2A354A" w14:textId="77777777" w:rsidTr="009F145F">
        <w:trPr>
          <w:jc w:val="center"/>
        </w:trPr>
        <w:tc>
          <w:tcPr>
            <w:tcW w:w="1080" w:type="dxa"/>
            <w:tcMar>
              <w:top w:w="70" w:type="dxa"/>
              <w:left w:w="70" w:type="dxa"/>
              <w:bottom w:w="70" w:type="dxa"/>
              <w:right w:w="70" w:type="dxa"/>
            </w:tcMar>
          </w:tcPr>
          <w:p w14:paraId="5A974AF7" w14:textId="4C3B581F" w:rsidR="000369CD" w:rsidRDefault="000369CD" w:rsidP="009F145F">
            <w:r>
              <w:rPr>
                <w:rFonts w:eastAsia="Times New Roman"/>
                <w:sz w:val="19"/>
              </w:rPr>
              <w:t>Months 9</w:t>
            </w:r>
            <w:r w:rsidR="002674BA">
              <w:rPr>
                <w:rFonts w:eastAsia="Times New Roman"/>
                <w:sz w:val="19"/>
              </w:rPr>
              <w:t>-</w:t>
            </w:r>
            <w:r>
              <w:rPr>
                <w:rFonts w:eastAsia="Times New Roman"/>
                <w:sz w:val="19"/>
              </w:rPr>
              <w:t>12</w:t>
            </w:r>
          </w:p>
        </w:tc>
        <w:tc>
          <w:tcPr>
            <w:tcW w:w="1728" w:type="dxa"/>
            <w:tcMar>
              <w:top w:w="70" w:type="dxa"/>
              <w:left w:w="70" w:type="dxa"/>
              <w:bottom w:w="70" w:type="dxa"/>
              <w:right w:w="70" w:type="dxa"/>
            </w:tcMar>
          </w:tcPr>
          <w:p w14:paraId="7923C3EA" w14:textId="77777777" w:rsidR="000369CD" w:rsidRDefault="000369CD" w:rsidP="009F145F">
            <w:r>
              <w:rPr>
                <w:rFonts w:eastAsia="Times New Roman"/>
                <w:sz w:val="19"/>
              </w:rPr>
              <w:t>Readiness and assurance</w:t>
            </w:r>
          </w:p>
        </w:tc>
        <w:tc>
          <w:tcPr>
            <w:tcW w:w="4680" w:type="dxa"/>
            <w:tcMar>
              <w:top w:w="70" w:type="dxa"/>
              <w:left w:w="70" w:type="dxa"/>
              <w:bottom w:w="70" w:type="dxa"/>
              <w:right w:w="70" w:type="dxa"/>
            </w:tcMar>
          </w:tcPr>
          <w:p w14:paraId="6C1FCE35" w14:textId="77777777" w:rsidR="000369CD" w:rsidRDefault="000369CD" w:rsidP="009F145F">
            <w:r>
              <w:rPr>
                <w:rFonts w:eastAsia="Times New Roman"/>
                <w:sz w:val="19"/>
              </w:rPr>
              <w:t>Run ransomware/tabletop exercises, test breach notification, complete internal audit and board readiness review before EU launch.</w:t>
            </w:r>
          </w:p>
        </w:tc>
        <w:tc>
          <w:tcPr>
            <w:tcW w:w="2448" w:type="dxa"/>
            <w:tcMar>
              <w:top w:w="70" w:type="dxa"/>
              <w:left w:w="70" w:type="dxa"/>
              <w:bottom w:w="70" w:type="dxa"/>
              <w:right w:w="70" w:type="dxa"/>
            </w:tcMar>
          </w:tcPr>
          <w:p w14:paraId="1B36BE2B" w14:textId="77777777" w:rsidR="000369CD" w:rsidRDefault="000369CD" w:rsidP="009F145F">
            <w:r>
              <w:rPr>
                <w:rFonts w:eastAsia="Times New Roman"/>
                <w:sz w:val="19"/>
              </w:rPr>
              <w:t>Audit report, actions closed, launch decision</w:t>
            </w:r>
          </w:p>
        </w:tc>
      </w:tr>
    </w:tbl>
    <w:p w14:paraId="544B1E2A" w14:textId="308A36F2" w:rsidR="000369CD" w:rsidRDefault="000369CD" w:rsidP="000369CD">
      <w:pPr>
        <w:pStyle w:val="CaptionX"/>
        <w:jc w:val="center"/>
      </w:pPr>
      <w:r>
        <w:t xml:space="preserve">Table </w:t>
      </w:r>
      <w:r w:rsidR="00AC015C">
        <w:t>2</w:t>
      </w:r>
      <w:r>
        <w:t>. GDPR and DORA compliance roadmap.</w:t>
      </w:r>
    </w:p>
    <w:p w14:paraId="60D119A2" w14:textId="5DA1DD6C" w:rsidR="000369CD" w:rsidRDefault="000369CD" w:rsidP="00851247">
      <w:pPr>
        <w:pStyle w:val="Heading1"/>
      </w:pPr>
      <w:bookmarkStart w:id="22" w:name="_Toc236065669"/>
      <w:r>
        <w:t>5. Work</w:t>
      </w:r>
      <w:r w:rsidR="002674BA">
        <w:t>-</w:t>
      </w:r>
      <w:r>
        <w:t>Stream 4: Technical Standards and Architecture</w:t>
      </w:r>
      <w:bookmarkEnd w:id="22"/>
    </w:p>
    <w:p w14:paraId="50D136AA" w14:textId="1BC81347" w:rsidR="000369CD" w:rsidRDefault="000369CD" w:rsidP="000369CD">
      <w:r>
        <w:rPr>
          <w:rFonts w:eastAsia="Times New Roman"/>
          <w:color w:val="000000"/>
        </w:rPr>
        <w:t>NIST CSF 2.0 is recommended as the core framework because it is outcome</w:t>
      </w:r>
      <w:r w:rsidR="002674BA">
        <w:rPr>
          <w:rFonts w:eastAsia="Times New Roman"/>
          <w:color w:val="000000"/>
        </w:rPr>
        <w:t>-</w:t>
      </w:r>
      <w:r>
        <w:rPr>
          <w:rFonts w:eastAsia="Times New Roman"/>
          <w:color w:val="000000"/>
        </w:rPr>
        <w:t xml:space="preserve">based, scalable and suitable for communicating risk to an executive board. Its six functions </w:t>
      </w:r>
      <w:r w:rsidR="002674BA">
        <w:rPr>
          <w:rFonts w:eastAsia="Times New Roman"/>
          <w:color w:val="000000"/>
        </w:rPr>
        <w:t>-</w:t>
      </w:r>
      <w:r>
        <w:rPr>
          <w:rFonts w:eastAsia="Times New Roman"/>
          <w:color w:val="000000"/>
        </w:rPr>
        <w:t xml:space="preserve"> Govern, Identify, Protect, Detect, Respond and Recover </w:t>
      </w:r>
      <w:r w:rsidR="002674BA">
        <w:rPr>
          <w:rFonts w:eastAsia="Times New Roman"/>
          <w:color w:val="000000"/>
        </w:rPr>
        <w:t>-</w:t>
      </w:r>
      <w:r>
        <w:rPr>
          <w:rFonts w:eastAsia="Times New Roman"/>
          <w:color w:val="000000"/>
        </w:rPr>
        <w:t xml:space="preserve"> cover the complete security lifecycle and place explicit emphasis on governance and supply</w:t>
      </w:r>
      <w:r w:rsidR="002674BA">
        <w:rPr>
          <w:rFonts w:eastAsia="Times New Roman"/>
          <w:color w:val="000000"/>
        </w:rPr>
        <w:t>-</w:t>
      </w:r>
      <w:r>
        <w:rPr>
          <w:rFonts w:eastAsia="Times New Roman"/>
          <w:color w:val="000000"/>
        </w:rPr>
        <w:t>chain risk [17]. NIST SP 800</w:t>
      </w:r>
      <w:r w:rsidR="002674BA">
        <w:rPr>
          <w:rFonts w:eastAsia="Times New Roman"/>
          <w:color w:val="000000"/>
        </w:rPr>
        <w:t>-</w:t>
      </w:r>
      <w:r>
        <w:rPr>
          <w:rFonts w:eastAsia="Times New Roman"/>
          <w:color w:val="000000"/>
        </w:rPr>
        <w:t>207 will provide the more detailed Zero Trust architecture beneath it [1]. ISO/IEC 27001 certification can be considered after the first year, once controls and evidence are stable.</w:t>
      </w:r>
    </w:p>
    <w:tbl>
      <w:tblPr>
        <w:tblStyle w:val="TableGrid"/>
        <w:tblW w:w="0" w:type="auto"/>
        <w:jc w:val="center"/>
        <w:tblLook w:val="04A0" w:firstRow="1" w:lastRow="0" w:firstColumn="1" w:lastColumn="0" w:noHBand="0" w:noVBand="1"/>
      </w:tblPr>
      <w:tblGrid>
        <w:gridCol w:w="2265"/>
        <w:gridCol w:w="2257"/>
        <w:gridCol w:w="2229"/>
        <w:gridCol w:w="2265"/>
      </w:tblGrid>
      <w:tr w:rsidR="000369CD" w14:paraId="6EF80BA6" w14:textId="77777777" w:rsidTr="009F145F">
        <w:trPr>
          <w:tblHeader/>
          <w:jc w:val="center"/>
        </w:trPr>
        <w:tc>
          <w:tcPr>
            <w:tcW w:w="2541" w:type="dxa"/>
            <w:shd w:val="clear" w:color="auto" w:fill="D9EAF7"/>
            <w:tcMar>
              <w:top w:w="75" w:type="dxa"/>
              <w:left w:w="50" w:type="dxa"/>
              <w:bottom w:w="75" w:type="dxa"/>
              <w:right w:w="50" w:type="dxa"/>
            </w:tcMar>
          </w:tcPr>
          <w:p w14:paraId="052AF74C" w14:textId="77777777" w:rsidR="000369CD" w:rsidRDefault="000369CD" w:rsidP="009F145F">
            <w:pPr>
              <w:jc w:val="center"/>
            </w:pPr>
            <w:r>
              <w:rPr>
                <w:rFonts w:eastAsia="Times New Roman"/>
                <w:b/>
                <w:sz w:val="19"/>
              </w:rPr>
              <w:t>Users / admins / workloads</w:t>
            </w:r>
          </w:p>
        </w:tc>
        <w:tc>
          <w:tcPr>
            <w:tcW w:w="2541" w:type="dxa"/>
            <w:shd w:val="clear" w:color="auto" w:fill="D9EAF7"/>
            <w:tcMar>
              <w:top w:w="75" w:type="dxa"/>
              <w:left w:w="50" w:type="dxa"/>
              <w:bottom w:w="75" w:type="dxa"/>
              <w:right w:w="50" w:type="dxa"/>
            </w:tcMar>
          </w:tcPr>
          <w:p w14:paraId="5C5DC26C" w14:textId="77777777" w:rsidR="000369CD" w:rsidRDefault="000369CD" w:rsidP="009F145F">
            <w:pPr>
              <w:jc w:val="center"/>
            </w:pPr>
            <w:r>
              <w:rPr>
                <w:rFonts w:eastAsia="Times New Roman"/>
                <w:b/>
                <w:sz w:val="19"/>
              </w:rPr>
              <w:t>Identity provider + IGA</w:t>
            </w:r>
          </w:p>
        </w:tc>
        <w:tc>
          <w:tcPr>
            <w:tcW w:w="2541" w:type="dxa"/>
            <w:shd w:val="clear" w:color="auto" w:fill="D9EAF7"/>
            <w:tcMar>
              <w:top w:w="75" w:type="dxa"/>
              <w:left w:w="50" w:type="dxa"/>
              <w:bottom w:w="75" w:type="dxa"/>
              <w:right w:w="50" w:type="dxa"/>
            </w:tcMar>
          </w:tcPr>
          <w:p w14:paraId="13F8A2B2" w14:textId="77777777" w:rsidR="000369CD" w:rsidRDefault="000369CD" w:rsidP="009F145F">
            <w:pPr>
              <w:jc w:val="center"/>
            </w:pPr>
            <w:r>
              <w:rPr>
                <w:rFonts w:eastAsia="Times New Roman"/>
                <w:b/>
                <w:sz w:val="19"/>
              </w:rPr>
              <w:t>Device posture / EDR</w:t>
            </w:r>
          </w:p>
        </w:tc>
        <w:tc>
          <w:tcPr>
            <w:tcW w:w="2541" w:type="dxa"/>
            <w:shd w:val="clear" w:color="auto" w:fill="D9EAF7"/>
            <w:tcMar>
              <w:top w:w="75" w:type="dxa"/>
              <w:left w:w="50" w:type="dxa"/>
              <w:bottom w:w="75" w:type="dxa"/>
              <w:right w:w="50" w:type="dxa"/>
            </w:tcMar>
          </w:tcPr>
          <w:p w14:paraId="44864B00" w14:textId="77777777" w:rsidR="000369CD" w:rsidRDefault="000369CD" w:rsidP="009F145F">
            <w:pPr>
              <w:jc w:val="center"/>
            </w:pPr>
            <w:r>
              <w:rPr>
                <w:rFonts w:eastAsia="Times New Roman"/>
                <w:b/>
                <w:sz w:val="19"/>
              </w:rPr>
              <w:t>Threat intelligence</w:t>
            </w:r>
          </w:p>
        </w:tc>
      </w:tr>
      <w:tr w:rsidR="000369CD" w14:paraId="7E1CD883" w14:textId="77777777" w:rsidTr="009F145F">
        <w:trPr>
          <w:jc w:val="center"/>
        </w:trPr>
        <w:tc>
          <w:tcPr>
            <w:tcW w:w="2541" w:type="dxa"/>
            <w:shd w:val="clear" w:color="auto" w:fill="BDD7EE"/>
            <w:tcMar>
              <w:top w:w="75" w:type="dxa"/>
              <w:left w:w="50" w:type="dxa"/>
              <w:bottom w:w="75" w:type="dxa"/>
              <w:right w:w="50" w:type="dxa"/>
            </w:tcMar>
          </w:tcPr>
          <w:p w14:paraId="3CE3D88A" w14:textId="2122FA7E" w:rsidR="000369CD" w:rsidRDefault="000369CD" w:rsidP="009F145F">
            <w:pPr>
              <w:jc w:val="center"/>
            </w:pPr>
            <w:r>
              <w:rPr>
                <w:rFonts w:eastAsia="Times New Roman"/>
                <w:b/>
                <w:sz w:val="19"/>
              </w:rPr>
              <w:t>Phishing</w:t>
            </w:r>
            <w:r w:rsidR="002674BA">
              <w:rPr>
                <w:rFonts w:eastAsia="Times New Roman"/>
                <w:b/>
                <w:sz w:val="19"/>
              </w:rPr>
              <w:t>-</w:t>
            </w:r>
            <w:r>
              <w:rPr>
                <w:rFonts w:eastAsia="Times New Roman"/>
                <w:b/>
                <w:sz w:val="19"/>
              </w:rPr>
              <w:t>resistant MFA</w:t>
            </w:r>
          </w:p>
        </w:tc>
        <w:tc>
          <w:tcPr>
            <w:tcW w:w="2541" w:type="dxa"/>
            <w:shd w:val="clear" w:color="auto" w:fill="BDD7EE"/>
            <w:tcMar>
              <w:top w:w="75" w:type="dxa"/>
              <w:left w:w="50" w:type="dxa"/>
              <w:bottom w:w="75" w:type="dxa"/>
              <w:right w:w="50" w:type="dxa"/>
            </w:tcMar>
          </w:tcPr>
          <w:p w14:paraId="0BF6FBEE" w14:textId="77777777" w:rsidR="000369CD" w:rsidRDefault="000369CD" w:rsidP="009F145F">
            <w:pPr>
              <w:jc w:val="center"/>
            </w:pPr>
            <w:r>
              <w:rPr>
                <w:rFonts w:eastAsia="Times New Roman"/>
                <w:b/>
                <w:sz w:val="19"/>
              </w:rPr>
              <w:t>Policy engine / risk decision</w:t>
            </w:r>
          </w:p>
        </w:tc>
        <w:tc>
          <w:tcPr>
            <w:tcW w:w="2541" w:type="dxa"/>
            <w:shd w:val="clear" w:color="auto" w:fill="BDD7EE"/>
            <w:tcMar>
              <w:top w:w="75" w:type="dxa"/>
              <w:left w:w="50" w:type="dxa"/>
              <w:bottom w:w="75" w:type="dxa"/>
              <w:right w:w="50" w:type="dxa"/>
            </w:tcMar>
          </w:tcPr>
          <w:p w14:paraId="1D2B8C1D" w14:textId="524FDD16" w:rsidR="000369CD" w:rsidRDefault="000369CD" w:rsidP="009F145F">
            <w:pPr>
              <w:jc w:val="center"/>
            </w:pPr>
            <w:r>
              <w:rPr>
                <w:rFonts w:eastAsia="Times New Roman"/>
                <w:b/>
                <w:sz w:val="19"/>
              </w:rPr>
              <w:t>PAM / just</w:t>
            </w:r>
            <w:r w:rsidR="002674BA">
              <w:rPr>
                <w:rFonts w:eastAsia="Times New Roman"/>
                <w:b/>
                <w:sz w:val="19"/>
              </w:rPr>
              <w:t>-</w:t>
            </w:r>
            <w:r>
              <w:rPr>
                <w:rFonts w:eastAsia="Times New Roman"/>
                <w:b/>
                <w:sz w:val="19"/>
              </w:rPr>
              <w:t>in</w:t>
            </w:r>
            <w:r w:rsidR="002674BA">
              <w:rPr>
                <w:rFonts w:eastAsia="Times New Roman"/>
                <w:b/>
                <w:sz w:val="19"/>
              </w:rPr>
              <w:t>-</w:t>
            </w:r>
            <w:r>
              <w:rPr>
                <w:rFonts w:eastAsia="Times New Roman"/>
                <w:b/>
                <w:sz w:val="19"/>
              </w:rPr>
              <w:t>time access</w:t>
            </w:r>
          </w:p>
        </w:tc>
        <w:tc>
          <w:tcPr>
            <w:tcW w:w="2541" w:type="dxa"/>
            <w:shd w:val="clear" w:color="auto" w:fill="BDD7EE"/>
            <w:tcMar>
              <w:top w:w="75" w:type="dxa"/>
              <w:left w:w="50" w:type="dxa"/>
              <w:bottom w:w="75" w:type="dxa"/>
              <w:right w:w="50" w:type="dxa"/>
            </w:tcMar>
          </w:tcPr>
          <w:p w14:paraId="2AAB0649" w14:textId="77777777" w:rsidR="000369CD" w:rsidRDefault="000369CD" w:rsidP="009F145F">
            <w:pPr>
              <w:jc w:val="center"/>
            </w:pPr>
            <w:r>
              <w:rPr>
                <w:rFonts w:eastAsia="Times New Roman"/>
                <w:b/>
                <w:sz w:val="19"/>
              </w:rPr>
              <w:t>ZTNA enforcement</w:t>
            </w:r>
          </w:p>
        </w:tc>
      </w:tr>
      <w:tr w:rsidR="000369CD" w14:paraId="60A0AF37" w14:textId="77777777" w:rsidTr="009F145F">
        <w:trPr>
          <w:jc w:val="center"/>
        </w:trPr>
        <w:tc>
          <w:tcPr>
            <w:tcW w:w="2541" w:type="dxa"/>
            <w:shd w:val="clear" w:color="auto" w:fill="E2F0D9"/>
            <w:tcMar>
              <w:top w:w="75" w:type="dxa"/>
              <w:left w:w="50" w:type="dxa"/>
              <w:bottom w:w="75" w:type="dxa"/>
              <w:right w:w="50" w:type="dxa"/>
            </w:tcMar>
          </w:tcPr>
          <w:p w14:paraId="33AB0A0F" w14:textId="77777777" w:rsidR="000369CD" w:rsidRDefault="000369CD" w:rsidP="009F145F">
            <w:pPr>
              <w:jc w:val="center"/>
            </w:pPr>
            <w:r>
              <w:rPr>
                <w:rFonts w:eastAsia="Times New Roman"/>
                <w:sz w:val="19"/>
              </w:rPr>
              <w:t>AI analytics platform</w:t>
            </w:r>
          </w:p>
        </w:tc>
        <w:tc>
          <w:tcPr>
            <w:tcW w:w="2541" w:type="dxa"/>
            <w:shd w:val="clear" w:color="auto" w:fill="E2F0D9"/>
            <w:tcMar>
              <w:top w:w="75" w:type="dxa"/>
              <w:left w:w="50" w:type="dxa"/>
              <w:bottom w:w="75" w:type="dxa"/>
              <w:right w:w="50" w:type="dxa"/>
            </w:tcMar>
          </w:tcPr>
          <w:p w14:paraId="43ADADA7" w14:textId="77777777" w:rsidR="000369CD" w:rsidRDefault="000369CD" w:rsidP="009F145F">
            <w:pPr>
              <w:jc w:val="center"/>
            </w:pPr>
            <w:r>
              <w:rPr>
                <w:rFonts w:eastAsia="Times New Roman"/>
                <w:sz w:val="19"/>
              </w:rPr>
              <w:t>Data services</w:t>
            </w:r>
          </w:p>
        </w:tc>
        <w:tc>
          <w:tcPr>
            <w:tcW w:w="2541" w:type="dxa"/>
            <w:shd w:val="clear" w:color="auto" w:fill="E2F0D9"/>
            <w:tcMar>
              <w:top w:w="75" w:type="dxa"/>
              <w:left w:w="50" w:type="dxa"/>
              <w:bottom w:w="75" w:type="dxa"/>
              <w:right w:w="50" w:type="dxa"/>
            </w:tcMar>
          </w:tcPr>
          <w:p w14:paraId="78EBAF17" w14:textId="77777777" w:rsidR="000369CD" w:rsidRDefault="000369CD" w:rsidP="009F145F">
            <w:pPr>
              <w:jc w:val="center"/>
            </w:pPr>
            <w:r>
              <w:rPr>
                <w:rFonts w:eastAsia="Times New Roman"/>
                <w:sz w:val="19"/>
              </w:rPr>
              <w:t>Cloud workloads / APIs</w:t>
            </w:r>
          </w:p>
        </w:tc>
        <w:tc>
          <w:tcPr>
            <w:tcW w:w="2541" w:type="dxa"/>
            <w:shd w:val="clear" w:color="auto" w:fill="E2F0D9"/>
            <w:tcMar>
              <w:top w:w="75" w:type="dxa"/>
              <w:left w:w="50" w:type="dxa"/>
              <w:bottom w:w="75" w:type="dxa"/>
              <w:right w:w="50" w:type="dxa"/>
            </w:tcMar>
          </w:tcPr>
          <w:p w14:paraId="04A8F3E1" w14:textId="77777777" w:rsidR="000369CD" w:rsidRDefault="000369CD" w:rsidP="009F145F">
            <w:pPr>
              <w:jc w:val="center"/>
            </w:pPr>
            <w:r>
              <w:rPr>
                <w:rFonts w:eastAsia="Times New Roman"/>
                <w:sz w:val="19"/>
              </w:rPr>
              <w:t>Approved SaaS</w:t>
            </w:r>
          </w:p>
        </w:tc>
      </w:tr>
      <w:tr w:rsidR="000369CD" w14:paraId="1D68E1AB" w14:textId="77777777" w:rsidTr="009F145F">
        <w:trPr>
          <w:jc w:val="center"/>
        </w:trPr>
        <w:tc>
          <w:tcPr>
            <w:tcW w:w="2541" w:type="dxa"/>
            <w:shd w:val="clear" w:color="auto" w:fill="FFF2CC"/>
            <w:tcMar>
              <w:top w:w="75" w:type="dxa"/>
              <w:left w:w="50" w:type="dxa"/>
              <w:bottom w:w="75" w:type="dxa"/>
              <w:right w:w="50" w:type="dxa"/>
            </w:tcMar>
          </w:tcPr>
          <w:p w14:paraId="0F6EBED4" w14:textId="60F4887A" w:rsidR="000369CD" w:rsidRDefault="00AC097B" w:rsidP="009F145F">
            <w:pPr>
              <w:jc w:val="center"/>
            </w:pPr>
            <w:r>
              <w:rPr>
                <w:rFonts w:eastAsia="Times New Roman"/>
                <w:sz w:val="19"/>
              </w:rPr>
              <w:t>Micro segmentation</w:t>
            </w:r>
          </w:p>
        </w:tc>
        <w:tc>
          <w:tcPr>
            <w:tcW w:w="2541" w:type="dxa"/>
            <w:shd w:val="clear" w:color="auto" w:fill="FFF2CC"/>
            <w:tcMar>
              <w:top w:w="75" w:type="dxa"/>
              <w:left w:w="50" w:type="dxa"/>
              <w:bottom w:w="75" w:type="dxa"/>
              <w:right w:w="50" w:type="dxa"/>
            </w:tcMar>
          </w:tcPr>
          <w:p w14:paraId="269B896F" w14:textId="77777777" w:rsidR="000369CD" w:rsidRDefault="000369CD" w:rsidP="009F145F">
            <w:pPr>
              <w:jc w:val="center"/>
            </w:pPr>
            <w:r>
              <w:rPr>
                <w:rFonts w:eastAsia="Times New Roman"/>
                <w:sz w:val="19"/>
              </w:rPr>
              <w:t>Encryption / key management</w:t>
            </w:r>
          </w:p>
        </w:tc>
        <w:tc>
          <w:tcPr>
            <w:tcW w:w="2541" w:type="dxa"/>
            <w:shd w:val="clear" w:color="auto" w:fill="FFF2CC"/>
            <w:tcMar>
              <w:top w:w="75" w:type="dxa"/>
              <w:left w:w="50" w:type="dxa"/>
              <w:bottom w:w="75" w:type="dxa"/>
              <w:right w:w="50" w:type="dxa"/>
            </w:tcMar>
          </w:tcPr>
          <w:p w14:paraId="37F42691" w14:textId="77777777" w:rsidR="000369CD" w:rsidRDefault="000369CD" w:rsidP="009F145F">
            <w:pPr>
              <w:jc w:val="center"/>
            </w:pPr>
            <w:r>
              <w:rPr>
                <w:rFonts w:eastAsia="Times New Roman"/>
                <w:sz w:val="19"/>
              </w:rPr>
              <w:t>CSPM / CIEM</w:t>
            </w:r>
          </w:p>
        </w:tc>
        <w:tc>
          <w:tcPr>
            <w:tcW w:w="2541" w:type="dxa"/>
            <w:shd w:val="clear" w:color="auto" w:fill="FFF2CC"/>
            <w:tcMar>
              <w:top w:w="75" w:type="dxa"/>
              <w:left w:w="50" w:type="dxa"/>
              <w:bottom w:w="75" w:type="dxa"/>
              <w:right w:w="50" w:type="dxa"/>
            </w:tcMar>
          </w:tcPr>
          <w:p w14:paraId="2C7847D8" w14:textId="77777777" w:rsidR="000369CD" w:rsidRDefault="000369CD" w:rsidP="009F145F">
            <w:pPr>
              <w:jc w:val="center"/>
            </w:pPr>
            <w:proofErr w:type="spellStart"/>
            <w:r>
              <w:rPr>
                <w:rFonts w:eastAsia="Times New Roman"/>
                <w:sz w:val="19"/>
              </w:rPr>
              <w:t>DevSecOps</w:t>
            </w:r>
            <w:proofErr w:type="spellEnd"/>
            <w:r>
              <w:rPr>
                <w:rFonts w:eastAsia="Times New Roman"/>
                <w:sz w:val="19"/>
              </w:rPr>
              <w:t xml:space="preserve"> controls</w:t>
            </w:r>
          </w:p>
        </w:tc>
      </w:tr>
      <w:tr w:rsidR="000369CD" w14:paraId="0958B027" w14:textId="77777777" w:rsidTr="009F145F">
        <w:trPr>
          <w:jc w:val="center"/>
        </w:trPr>
        <w:tc>
          <w:tcPr>
            <w:tcW w:w="2541" w:type="dxa"/>
            <w:shd w:val="clear" w:color="auto" w:fill="FCE4D6"/>
            <w:tcMar>
              <w:top w:w="75" w:type="dxa"/>
              <w:left w:w="50" w:type="dxa"/>
              <w:bottom w:w="75" w:type="dxa"/>
              <w:right w:w="50" w:type="dxa"/>
            </w:tcMar>
          </w:tcPr>
          <w:p w14:paraId="5BA61970" w14:textId="77777777" w:rsidR="000369CD" w:rsidRDefault="000369CD" w:rsidP="009F145F">
            <w:pPr>
              <w:jc w:val="center"/>
            </w:pPr>
            <w:r>
              <w:rPr>
                <w:rFonts w:eastAsia="Times New Roman"/>
                <w:b/>
                <w:sz w:val="19"/>
              </w:rPr>
              <w:t>Central logs</w:t>
            </w:r>
          </w:p>
        </w:tc>
        <w:tc>
          <w:tcPr>
            <w:tcW w:w="2541" w:type="dxa"/>
            <w:shd w:val="clear" w:color="auto" w:fill="FCE4D6"/>
            <w:tcMar>
              <w:top w:w="75" w:type="dxa"/>
              <w:left w:w="50" w:type="dxa"/>
              <w:bottom w:w="75" w:type="dxa"/>
              <w:right w:w="50" w:type="dxa"/>
            </w:tcMar>
          </w:tcPr>
          <w:p w14:paraId="0E2ABFFF" w14:textId="77777777" w:rsidR="000369CD" w:rsidRDefault="000369CD" w:rsidP="009F145F">
            <w:pPr>
              <w:jc w:val="center"/>
            </w:pPr>
            <w:r>
              <w:rPr>
                <w:rFonts w:eastAsia="Times New Roman"/>
                <w:b/>
                <w:sz w:val="19"/>
              </w:rPr>
              <w:t>SIEM + XDR</w:t>
            </w:r>
          </w:p>
        </w:tc>
        <w:tc>
          <w:tcPr>
            <w:tcW w:w="2541" w:type="dxa"/>
            <w:shd w:val="clear" w:color="auto" w:fill="FCE4D6"/>
            <w:tcMar>
              <w:top w:w="75" w:type="dxa"/>
              <w:left w:w="50" w:type="dxa"/>
              <w:bottom w:w="75" w:type="dxa"/>
              <w:right w:w="50" w:type="dxa"/>
            </w:tcMar>
          </w:tcPr>
          <w:p w14:paraId="1914591B" w14:textId="77777777" w:rsidR="000369CD" w:rsidRDefault="000369CD" w:rsidP="009F145F">
            <w:pPr>
              <w:jc w:val="center"/>
            </w:pPr>
            <w:r>
              <w:rPr>
                <w:rFonts w:eastAsia="Times New Roman"/>
                <w:b/>
                <w:sz w:val="19"/>
              </w:rPr>
              <w:t>SOAR playbooks</w:t>
            </w:r>
          </w:p>
        </w:tc>
        <w:tc>
          <w:tcPr>
            <w:tcW w:w="2541" w:type="dxa"/>
            <w:shd w:val="clear" w:color="auto" w:fill="FCE4D6"/>
            <w:tcMar>
              <w:top w:w="75" w:type="dxa"/>
              <w:left w:w="50" w:type="dxa"/>
              <w:bottom w:w="75" w:type="dxa"/>
              <w:right w:w="50" w:type="dxa"/>
            </w:tcMar>
          </w:tcPr>
          <w:p w14:paraId="3CAB0E84" w14:textId="77777777" w:rsidR="000369CD" w:rsidRDefault="000369CD" w:rsidP="009F145F">
            <w:pPr>
              <w:jc w:val="center"/>
            </w:pPr>
            <w:r>
              <w:rPr>
                <w:rFonts w:eastAsia="Times New Roman"/>
                <w:b/>
                <w:sz w:val="19"/>
              </w:rPr>
              <w:t>Immutable backup / recovery</w:t>
            </w:r>
          </w:p>
        </w:tc>
      </w:tr>
    </w:tbl>
    <w:p w14:paraId="2A6A859C" w14:textId="4EE17900" w:rsidR="000369CD" w:rsidRDefault="00AC015C" w:rsidP="000369CD">
      <w:pPr>
        <w:pStyle w:val="CaptionX"/>
        <w:jc w:val="center"/>
      </w:pPr>
      <w:r>
        <w:lastRenderedPageBreak/>
        <w:t>Table</w:t>
      </w:r>
      <w:r w:rsidR="000369CD">
        <w:t xml:space="preserve"> </w:t>
      </w:r>
      <w:r>
        <w:t>3</w:t>
      </w:r>
      <w:r w:rsidR="000369CD">
        <w:t xml:space="preserve"> High</w:t>
      </w:r>
      <w:r w:rsidR="002674BA">
        <w:t>-</w:t>
      </w:r>
      <w:r w:rsidR="000369CD">
        <w:t>level Zero Trust security architecture. Each request is evaluated through identity, device and contextual policy before reaching a specific resource; telemetry feeds detection and response.</w:t>
      </w:r>
    </w:p>
    <w:p w14:paraId="53948969" w14:textId="379B18A0" w:rsidR="000369CD" w:rsidRDefault="000369CD" w:rsidP="000369CD">
      <w:r>
        <w:rPr>
          <w:rFonts w:eastAsia="Times New Roman"/>
          <w:color w:val="000000"/>
        </w:rPr>
        <w:t>The architecture deliberately avoids treating internal network location as trusted. Identity governance controls joiners, movers, leavers and service identities; phishing</w:t>
      </w:r>
      <w:r w:rsidR="002674BA">
        <w:rPr>
          <w:rFonts w:eastAsia="Times New Roman"/>
          <w:color w:val="000000"/>
        </w:rPr>
        <w:t>-</w:t>
      </w:r>
      <w:r>
        <w:rPr>
          <w:rFonts w:eastAsia="Times New Roman"/>
          <w:color w:val="000000"/>
        </w:rPr>
        <w:t>resistant MFA and PAM protect privileged access; ZTNA creates application</w:t>
      </w:r>
      <w:r w:rsidR="002674BA">
        <w:rPr>
          <w:rFonts w:eastAsia="Times New Roman"/>
          <w:color w:val="000000"/>
        </w:rPr>
        <w:t>-</w:t>
      </w:r>
      <w:r>
        <w:rPr>
          <w:rFonts w:eastAsia="Times New Roman"/>
          <w:color w:val="000000"/>
        </w:rPr>
        <w:t xml:space="preserve">specific sessions; and </w:t>
      </w:r>
      <w:r w:rsidR="00AC097B">
        <w:rPr>
          <w:rFonts w:eastAsia="Times New Roman"/>
          <w:color w:val="000000"/>
        </w:rPr>
        <w:t>Micro segmentation</w:t>
      </w:r>
      <w:r>
        <w:rPr>
          <w:rFonts w:eastAsia="Times New Roman"/>
          <w:color w:val="000000"/>
        </w:rPr>
        <w:t xml:space="preserve"> limits workload</w:t>
      </w:r>
      <w:r w:rsidR="002674BA">
        <w:rPr>
          <w:rFonts w:eastAsia="Times New Roman"/>
          <w:color w:val="000000"/>
        </w:rPr>
        <w:t>-</w:t>
      </w:r>
      <w:r>
        <w:rPr>
          <w:rFonts w:eastAsia="Times New Roman"/>
          <w:color w:val="000000"/>
        </w:rPr>
        <w:t>to</w:t>
      </w:r>
      <w:r w:rsidR="002674BA">
        <w:rPr>
          <w:rFonts w:eastAsia="Times New Roman"/>
          <w:color w:val="000000"/>
        </w:rPr>
        <w:t>-</w:t>
      </w:r>
      <w:r>
        <w:rPr>
          <w:rFonts w:eastAsia="Times New Roman"/>
          <w:color w:val="000000"/>
        </w:rPr>
        <w:t>workload movement. CSPM and cloud entitlement management detect misconfiguration and excessive cloud privileges. SIEM/XDR combines identity, endpoint, cloud and application events, while SOAR may revoke tokens or isolate endpoints. High</w:t>
      </w:r>
      <w:r w:rsidR="002674BA">
        <w:rPr>
          <w:rFonts w:eastAsia="Times New Roman"/>
          <w:color w:val="000000"/>
        </w:rPr>
        <w:t>-</w:t>
      </w:r>
      <w:r>
        <w:rPr>
          <w:rFonts w:eastAsia="Times New Roman"/>
          <w:color w:val="000000"/>
        </w:rPr>
        <w:t>impact automation remains subject to tested playbooks and human approval, reflecting Task 1’s warning that unreliable telemetry can cause harmful automated decisions [1], [3], [13], [14].</w:t>
      </w:r>
    </w:p>
    <w:p w14:paraId="046875E3" w14:textId="371E2D66" w:rsidR="000369CD" w:rsidRDefault="000369CD" w:rsidP="00851247">
      <w:pPr>
        <w:pStyle w:val="Heading1"/>
      </w:pPr>
      <w:bookmarkStart w:id="23" w:name="_Toc236065670"/>
      <w:r>
        <w:t>6. Work</w:t>
      </w:r>
      <w:r w:rsidR="002674BA">
        <w:t>-</w:t>
      </w:r>
      <w:r>
        <w:t>Stream 5: Strategic Risk Assessment</w:t>
      </w:r>
      <w:bookmarkEnd w:id="23"/>
    </w:p>
    <w:tbl>
      <w:tblPr>
        <w:tblStyle w:val="TableGrid"/>
        <w:tblW w:w="0" w:type="auto"/>
        <w:jc w:val="center"/>
        <w:tblLook w:val="04A0" w:firstRow="1" w:lastRow="0" w:firstColumn="1" w:lastColumn="0" w:noHBand="0" w:noVBand="1"/>
      </w:tblPr>
      <w:tblGrid>
        <w:gridCol w:w="1670"/>
        <w:gridCol w:w="721"/>
        <w:gridCol w:w="1017"/>
        <w:gridCol w:w="762"/>
        <w:gridCol w:w="2515"/>
        <w:gridCol w:w="2331"/>
      </w:tblGrid>
      <w:tr w:rsidR="000369CD" w14:paraId="0791C76C" w14:textId="77777777" w:rsidTr="009F145F">
        <w:trPr>
          <w:tblHeader/>
          <w:jc w:val="center"/>
        </w:trPr>
        <w:tc>
          <w:tcPr>
            <w:tcW w:w="1800" w:type="dxa"/>
            <w:shd w:val="clear" w:color="auto" w:fill="1F4E79"/>
            <w:tcMar>
              <w:top w:w="70" w:type="dxa"/>
              <w:left w:w="70" w:type="dxa"/>
              <w:bottom w:w="70" w:type="dxa"/>
              <w:right w:w="70" w:type="dxa"/>
            </w:tcMar>
            <w:vAlign w:val="center"/>
          </w:tcPr>
          <w:p w14:paraId="367F38CB" w14:textId="77777777" w:rsidR="000369CD" w:rsidRDefault="000369CD" w:rsidP="009F145F">
            <w:pPr>
              <w:jc w:val="center"/>
            </w:pPr>
            <w:r>
              <w:rPr>
                <w:rFonts w:eastAsia="Times New Roman"/>
                <w:b/>
                <w:sz w:val="19"/>
              </w:rPr>
              <w:t>Risk</w:t>
            </w:r>
          </w:p>
        </w:tc>
        <w:tc>
          <w:tcPr>
            <w:tcW w:w="648" w:type="dxa"/>
            <w:shd w:val="clear" w:color="auto" w:fill="1F4E79"/>
            <w:tcMar>
              <w:top w:w="70" w:type="dxa"/>
              <w:left w:w="70" w:type="dxa"/>
              <w:bottom w:w="70" w:type="dxa"/>
              <w:right w:w="70" w:type="dxa"/>
            </w:tcMar>
            <w:vAlign w:val="center"/>
          </w:tcPr>
          <w:p w14:paraId="49B2877B" w14:textId="77777777" w:rsidR="000369CD" w:rsidRDefault="000369CD" w:rsidP="009F145F">
            <w:pPr>
              <w:jc w:val="center"/>
            </w:pPr>
            <w:r>
              <w:rPr>
                <w:rFonts w:eastAsia="Times New Roman"/>
                <w:b/>
                <w:sz w:val="19"/>
              </w:rPr>
              <w:t>Impact</w:t>
            </w:r>
          </w:p>
        </w:tc>
        <w:tc>
          <w:tcPr>
            <w:tcW w:w="792" w:type="dxa"/>
            <w:shd w:val="clear" w:color="auto" w:fill="1F4E79"/>
            <w:tcMar>
              <w:top w:w="70" w:type="dxa"/>
              <w:left w:w="70" w:type="dxa"/>
              <w:bottom w:w="70" w:type="dxa"/>
              <w:right w:w="70" w:type="dxa"/>
            </w:tcMar>
            <w:vAlign w:val="center"/>
          </w:tcPr>
          <w:p w14:paraId="61045B50" w14:textId="77777777" w:rsidR="000369CD" w:rsidRDefault="000369CD" w:rsidP="009F145F">
            <w:pPr>
              <w:jc w:val="center"/>
            </w:pPr>
            <w:r>
              <w:rPr>
                <w:rFonts w:eastAsia="Times New Roman"/>
                <w:b/>
                <w:sz w:val="19"/>
              </w:rPr>
              <w:t>Likelihood</w:t>
            </w:r>
          </w:p>
        </w:tc>
        <w:tc>
          <w:tcPr>
            <w:tcW w:w="792" w:type="dxa"/>
            <w:shd w:val="clear" w:color="auto" w:fill="1F4E79"/>
            <w:tcMar>
              <w:top w:w="70" w:type="dxa"/>
              <w:left w:w="70" w:type="dxa"/>
              <w:bottom w:w="70" w:type="dxa"/>
              <w:right w:w="70" w:type="dxa"/>
            </w:tcMar>
            <w:vAlign w:val="center"/>
          </w:tcPr>
          <w:p w14:paraId="7F2FFFE6" w14:textId="77777777" w:rsidR="000369CD" w:rsidRDefault="000369CD" w:rsidP="009F145F">
            <w:pPr>
              <w:jc w:val="center"/>
            </w:pPr>
            <w:r>
              <w:rPr>
                <w:rFonts w:eastAsia="Times New Roman"/>
                <w:b/>
                <w:sz w:val="19"/>
              </w:rPr>
              <w:t>Rating</w:t>
            </w:r>
          </w:p>
        </w:tc>
        <w:tc>
          <w:tcPr>
            <w:tcW w:w="3384" w:type="dxa"/>
            <w:shd w:val="clear" w:color="auto" w:fill="1F4E79"/>
            <w:tcMar>
              <w:top w:w="70" w:type="dxa"/>
              <w:left w:w="70" w:type="dxa"/>
              <w:bottom w:w="70" w:type="dxa"/>
              <w:right w:w="70" w:type="dxa"/>
            </w:tcMar>
            <w:vAlign w:val="center"/>
          </w:tcPr>
          <w:p w14:paraId="6F7913B6" w14:textId="77777777" w:rsidR="000369CD" w:rsidRDefault="000369CD" w:rsidP="009F145F">
            <w:pPr>
              <w:jc w:val="center"/>
            </w:pPr>
            <w:r>
              <w:rPr>
                <w:rFonts w:eastAsia="Times New Roman"/>
                <w:b/>
                <w:sz w:val="19"/>
              </w:rPr>
              <w:t>Business effect</w:t>
            </w:r>
          </w:p>
        </w:tc>
        <w:tc>
          <w:tcPr>
            <w:tcW w:w="2952" w:type="dxa"/>
            <w:shd w:val="clear" w:color="auto" w:fill="1F4E79"/>
            <w:tcMar>
              <w:top w:w="70" w:type="dxa"/>
              <w:left w:w="70" w:type="dxa"/>
              <w:bottom w:w="70" w:type="dxa"/>
              <w:right w:w="70" w:type="dxa"/>
            </w:tcMar>
            <w:vAlign w:val="center"/>
          </w:tcPr>
          <w:p w14:paraId="12F62262" w14:textId="77777777" w:rsidR="000369CD" w:rsidRDefault="000369CD" w:rsidP="009F145F">
            <w:pPr>
              <w:jc w:val="center"/>
            </w:pPr>
            <w:r>
              <w:rPr>
                <w:rFonts w:eastAsia="Times New Roman"/>
                <w:b/>
                <w:sz w:val="19"/>
              </w:rPr>
              <w:t>Priority treatment</w:t>
            </w:r>
          </w:p>
        </w:tc>
      </w:tr>
      <w:tr w:rsidR="000369CD" w14:paraId="2D51EACE" w14:textId="77777777" w:rsidTr="009F145F">
        <w:trPr>
          <w:jc w:val="center"/>
        </w:trPr>
        <w:tc>
          <w:tcPr>
            <w:tcW w:w="1800" w:type="dxa"/>
            <w:tcMar>
              <w:top w:w="70" w:type="dxa"/>
              <w:left w:w="70" w:type="dxa"/>
              <w:bottom w:w="70" w:type="dxa"/>
              <w:right w:w="70" w:type="dxa"/>
            </w:tcMar>
          </w:tcPr>
          <w:p w14:paraId="7E9C2816" w14:textId="77777777" w:rsidR="000369CD" w:rsidRDefault="000369CD" w:rsidP="009F145F">
            <w:r>
              <w:rPr>
                <w:rFonts w:eastAsia="Times New Roman"/>
                <w:sz w:val="19"/>
              </w:rPr>
              <w:t>Identity compromise and ransomware</w:t>
            </w:r>
          </w:p>
        </w:tc>
        <w:tc>
          <w:tcPr>
            <w:tcW w:w="648" w:type="dxa"/>
            <w:tcMar>
              <w:top w:w="70" w:type="dxa"/>
              <w:left w:w="70" w:type="dxa"/>
              <w:bottom w:w="70" w:type="dxa"/>
              <w:right w:w="70" w:type="dxa"/>
            </w:tcMar>
          </w:tcPr>
          <w:p w14:paraId="47BADA7D" w14:textId="77777777" w:rsidR="000369CD" w:rsidRDefault="000369CD" w:rsidP="009F145F">
            <w:r>
              <w:rPr>
                <w:rFonts w:eastAsia="Times New Roman"/>
                <w:sz w:val="19"/>
              </w:rPr>
              <w:t>5</w:t>
            </w:r>
          </w:p>
        </w:tc>
        <w:tc>
          <w:tcPr>
            <w:tcW w:w="792" w:type="dxa"/>
            <w:tcMar>
              <w:top w:w="70" w:type="dxa"/>
              <w:left w:w="70" w:type="dxa"/>
              <w:bottom w:w="70" w:type="dxa"/>
              <w:right w:w="70" w:type="dxa"/>
            </w:tcMar>
          </w:tcPr>
          <w:p w14:paraId="665CC90C" w14:textId="77777777" w:rsidR="000369CD" w:rsidRDefault="000369CD" w:rsidP="009F145F">
            <w:r>
              <w:rPr>
                <w:rFonts w:eastAsia="Times New Roman"/>
                <w:sz w:val="19"/>
              </w:rPr>
              <w:t>4</w:t>
            </w:r>
          </w:p>
        </w:tc>
        <w:tc>
          <w:tcPr>
            <w:tcW w:w="792" w:type="dxa"/>
            <w:tcMar>
              <w:top w:w="70" w:type="dxa"/>
              <w:left w:w="70" w:type="dxa"/>
              <w:bottom w:w="70" w:type="dxa"/>
              <w:right w:w="70" w:type="dxa"/>
            </w:tcMar>
          </w:tcPr>
          <w:p w14:paraId="1099B0D2" w14:textId="77777777" w:rsidR="000369CD" w:rsidRDefault="000369CD" w:rsidP="009F145F">
            <w:r>
              <w:rPr>
                <w:rFonts w:eastAsia="Times New Roman"/>
                <w:sz w:val="19"/>
              </w:rPr>
              <w:t>Critical</w:t>
            </w:r>
          </w:p>
        </w:tc>
        <w:tc>
          <w:tcPr>
            <w:tcW w:w="3384" w:type="dxa"/>
            <w:tcMar>
              <w:top w:w="70" w:type="dxa"/>
              <w:left w:w="70" w:type="dxa"/>
              <w:bottom w:w="70" w:type="dxa"/>
              <w:right w:w="70" w:type="dxa"/>
            </w:tcMar>
          </w:tcPr>
          <w:p w14:paraId="73212B7F" w14:textId="77777777" w:rsidR="000369CD" w:rsidRDefault="000369CD" w:rsidP="009F145F">
            <w:r>
              <w:rPr>
                <w:rFonts w:eastAsia="Times New Roman"/>
                <w:sz w:val="19"/>
              </w:rPr>
              <w:t>Stolen credentials or legacy accounts allow initial access, privilege escalation and encryption or theft. Funding, operations and regulatory trust may be affected.</w:t>
            </w:r>
          </w:p>
        </w:tc>
        <w:tc>
          <w:tcPr>
            <w:tcW w:w="2952" w:type="dxa"/>
            <w:tcMar>
              <w:top w:w="70" w:type="dxa"/>
              <w:left w:w="70" w:type="dxa"/>
              <w:bottom w:w="70" w:type="dxa"/>
              <w:right w:w="70" w:type="dxa"/>
            </w:tcMar>
          </w:tcPr>
          <w:p w14:paraId="5A8EA4B7" w14:textId="64B3D8D4" w:rsidR="000369CD" w:rsidRDefault="000369CD" w:rsidP="009F145F">
            <w:r>
              <w:rPr>
                <w:rFonts w:eastAsia="Times New Roman"/>
                <w:sz w:val="19"/>
              </w:rPr>
              <w:t>Phishing</w:t>
            </w:r>
            <w:r w:rsidR="002674BA">
              <w:rPr>
                <w:rFonts w:eastAsia="Times New Roman"/>
                <w:sz w:val="19"/>
              </w:rPr>
              <w:t>-</w:t>
            </w:r>
            <w:r>
              <w:rPr>
                <w:rFonts w:eastAsia="Times New Roman"/>
                <w:sz w:val="19"/>
              </w:rPr>
              <w:t>resistant MFA; IGA/PAM; disable dormant identities; EDR/XDR; segmentation; immutable backups.</w:t>
            </w:r>
          </w:p>
        </w:tc>
      </w:tr>
      <w:tr w:rsidR="000369CD" w14:paraId="207EFF38" w14:textId="77777777" w:rsidTr="009F145F">
        <w:trPr>
          <w:jc w:val="center"/>
        </w:trPr>
        <w:tc>
          <w:tcPr>
            <w:tcW w:w="1800" w:type="dxa"/>
            <w:tcMar>
              <w:top w:w="70" w:type="dxa"/>
              <w:left w:w="70" w:type="dxa"/>
              <w:bottom w:w="70" w:type="dxa"/>
              <w:right w:w="70" w:type="dxa"/>
            </w:tcMar>
          </w:tcPr>
          <w:p w14:paraId="3AA9B103" w14:textId="77777777" w:rsidR="000369CD" w:rsidRDefault="000369CD" w:rsidP="009F145F">
            <w:r>
              <w:rPr>
                <w:rFonts w:eastAsia="Times New Roman"/>
                <w:sz w:val="19"/>
              </w:rPr>
              <w:t>Cloud misconfiguration / excessive privilege</w:t>
            </w:r>
          </w:p>
        </w:tc>
        <w:tc>
          <w:tcPr>
            <w:tcW w:w="648" w:type="dxa"/>
            <w:tcMar>
              <w:top w:w="70" w:type="dxa"/>
              <w:left w:w="70" w:type="dxa"/>
              <w:bottom w:w="70" w:type="dxa"/>
              <w:right w:w="70" w:type="dxa"/>
            </w:tcMar>
          </w:tcPr>
          <w:p w14:paraId="1AF88135" w14:textId="77777777" w:rsidR="000369CD" w:rsidRDefault="000369CD" w:rsidP="009F145F">
            <w:r>
              <w:rPr>
                <w:rFonts w:eastAsia="Times New Roman"/>
                <w:sz w:val="19"/>
              </w:rPr>
              <w:t>5</w:t>
            </w:r>
          </w:p>
        </w:tc>
        <w:tc>
          <w:tcPr>
            <w:tcW w:w="792" w:type="dxa"/>
            <w:tcMar>
              <w:top w:w="70" w:type="dxa"/>
              <w:left w:w="70" w:type="dxa"/>
              <w:bottom w:w="70" w:type="dxa"/>
              <w:right w:w="70" w:type="dxa"/>
            </w:tcMar>
          </w:tcPr>
          <w:p w14:paraId="4A817BCF" w14:textId="77777777" w:rsidR="000369CD" w:rsidRDefault="000369CD" w:rsidP="009F145F">
            <w:r>
              <w:rPr>
                <w:rFonts w:eastAsia="Times New Roman"/>
                <w:sz w:val="19"/>
              </w:rPr>
              <w:t>4</w:t>
            </w:r>
          </w:p>
        </w:tc>
        <w:tc>
          <w:tcPr>
            <w:tcW w:w="792" w:type="dxa"/>
            <w:tcMar>
              <w:top w:w="70" w:type="dxa"/>
              <w:left w:w="70" w:type="dxa"/>
              <w:bottom w:w="70" w:type="dxa"/>
              <w:right w:w="70" w:type="dxa"/>
            </w:tcMar>
          </w:tcPr>
          <w:p w14:paraId="64779ED2" w14:textId="77777777" w:rsidR="000369CD" w:rsidRDefault="000369CD" w:rsidP="009F145F">
            <w:r>
              <w:rPr>
                <w:rFonts w:eastAsia="Times New Roman"/>
                <w:sz w:val="19"/>
              </w:rPr>
              <w:t>Critical</w:t>
            </w:r>
          </w:p>
        </w:tc>
        <w:tc>
          <w:tcPr>
            <w:tcW w:w="3384" w:type="dxa"/>
            <w:tcMar>
              <w:top w:w="70" w:type="dxa"/>
              <w:left w:w="70" w:type="dxa"/>
              <w:bottom w:w="70" w:type="dxa"/>
              <w:right w:w="70" w:type="dxa"/>
            </w:tcMar>
          </w:tcPr>
          <w:p w14:paraId="5C14CA56" w14:textId="77777777" w:rsidR="000369CD" w:rsidRDefault="000369CD" w:rsidP="009F145F">
            <w:r>
              <w:rPr>
                <w:rFonts w:eastAsia="Times New Roman"/>
                <w:sz w:val="19"/>
              </w:rPr>
              <w:t>Public storage, exposed secrets or broad IAM roles could disclose customer and model data or enable destructive changes.</w:t>
            </w:r>
          </w:p>
        </w:tc>
        <w:tc>
          <w:tcPr>
            <w:tcW w:w="2952" w:type="dxa"/>
            <w:tcMar>
              <w:top w:w="70" w:type="dxa"/>
              <w:left w:w="70" w:type="dxa"/>
              <w:bottom w:w="70" w:type="dxa"/>
              <w:right w:w="70" w:type="dxa"/>
            </w:tcMar>
          </w:tcPr>
          <w:p w14:paraId="24A31C3C" w14:textId="77777777" w:rsidR="000369CD" w:rsidRDefault="000369CD" w:rsidP="009F145F">
            <w:r>
              <w:rPr>
                <w:rFonts w:eastAsia="Times New Roman"/>
                <w:sz w:val="19"/>
              </w:rPr>
              <w:t>Secure landing zones; infrastructure as code; CSPM/CIEM; secrets vault; peer review; continuous policy checks.</w:t>
            </w:r>
          </w:p>
        </w:tc>
      </w:tr>
      <w:tr w:rsidR="000369CD" w14:paraId="565DEC50" w14:textId="77777777" w:rsidTr="009F145F">
        <w:trPr>
          <w:jc w:val="center"/>
        </w:trPr>
        <w:tc>
          <w:tcPr>
            <w:tcW w:w="1800" w:type="dxa"/>
            <w:tcMar>
              <w:top w:w="70" w:type="dxa"/>
              <w:left w:w="70" w:type="dxa"/>
              <w:bottom w:w="70" w:type="dxa"/>
              <w:right w:w="70" w:type="dxa"/>
            </w:tcMar>
          </w:tcPr>
          <w:p w14:paraId="4311BD84" w14:textId="23AB381C" w:rsidR="000369CD" w:rsidRDefault="000369CD" w:rsidP="009F145F">
            <w:r>
              <w:rPr>
                <w:rFonts w:eastAsia="Times New Roman"/>
                <w:sz w:val="19"/>
              </w:rPr>
              <w:t>Third</w:t>
            </w:r>
            <w:r w:rsidR="002674BA">
              <w:rPr>
                <w:rFonts w:eastAsia="Times New Roman"/>
                <w:sz w:val="19"/>
              </w:rPr>
              <w:t>-</w:t>
            </w:r>
            <w:r>
              <w:rPr>
                <w:rFonts w:eastAsia="Times New Roman"/>
                <w:sz w:val="19"/>
              </w:rPr>
              <w:t>party or software supply</w:t>
            </w:r>
            <w:r w:rsidR="002674BA">
              <w:rPr>
                <w:rFonts w:eastAsia="Times New Roman"/>
                <w:sz w:val="19"/>
              </w:rPr>
              <w:t>-</w:t>
            </w:r>
            <w:r>
              <w:rPr>
                <w:rFonts w:eastAsia="Times New Roman"/>
                <w:sz w:val="19"/>
              </w:rPr>
              <w:t>chain compromise</w:t>
            </w:r>
          </w:p>
        </w:tc>
        <w:tc>
          <w:tcPr>
            <w:tcW w:w="648" w:type="dxa"/>
            <w:tcMar>
              <w:top w:w="70" w:type="dxa"/>
              <w:left w:w="70" w:type="dxa"/>
              <w:bottom w:w="70" w:type="dxa"/>
              <w:right w:w="70" w:type="dxa"/>
            </w:tcMar>
          </w:tcPr>
          <w:p w14:paraId="1AA0574F" w14:textId="77777777" w:rsidR="000369CD" w:rsidRDefault="000369CD" w:rsidP="009F145F">
            <w:r>
              <w:rPr>
                <w:rFonts w:eastAsia="Times New Roman"/>
                <w:sz w:val="19"/>
              </w:rPr>
              <w:t>5</w:t>
            </w:r>
          </w:p>
        </w:tc>
        <w:tc>
          <w:tcPr>
            <w:tcW w:w="792" w:type="dxa"/>
            <w:tcMar>
              <w:top w:w="70" w:type="dxa"/>
              <w:left w:w="70" w:type="dxa"/>
              <w:bottom w:w="70" w:type="dxa"/>
              <w:right w:w="70" w:type="dxa"/>
            </w:tcMar>
          </w:tcPr>
          <w:p w14:paraId="144229D3" w14:textId="77777777" w:rsidR="000369CD" w:rsidRDefault="000369CD" w:rsidP="009F145F">
            <w:r>
              <w:rPr>
                <w:rFonts w:eastAsia="Times New Roman"/>
                <w:sz w:val="19"/>
              </w:rPr>
              <w:t>3</w:t>
            </w:r>
          </w:p>
        </w:tc>
        <w:tc>
          <w:tcPr>
            <w:tcW w:w="792" w:type="dxa"/>
            <w:tcMar>
              <w:top w:w="70" w:type="dxa"/>
              <w:left w:w="70" w:type="dxa"/>
              <w:bottom w:w="70" w:type="dxa"/>
              <w:right w:w="70" w:type="dxa"/>
            </w:tcMar>
          </w:tcPr>
          <w:p w14:paraId="494B3900" w14:textId="77777777" w:rsidR="000369CD" w:rsidRDefault="000369CD" w:rsidP="009F145F">
            <w:r>
              <w:rPr>
                <w:rFonts w:eastAsia="Times New Roman"/>
                <w:sz w:val="19"/>
              </w:rPr>
              <w:t>High</w:t>
            </w:r>
          </w:p>
        </w:tc>
        <w:tc>
          <w:tcPr>
            <w:tcW w:w="3384" w:type="dxa"/>
            <w:tcMar>
              <w:top w:w="70" w:type="dxa"/>
              <w:left w:w="70" w:type="dxa"/>
              <w:bottom w:w="70" w:type="dxa"/>
              <w:right w:w="70" w:type="dxa"/>
            </w:tcMar>
          </w:tcPr>
          <w:p w14:paraId="65D69B6D" w14:textId="77777777" w:rsidR="000369CD" w:rsidRDefault="000369CD" w:rsidP="009F145F">
            <w:r>
              <w:rPr>
                <w:rFonts w:eastAsia="Times New Roman"/>
                <w:sz w:val="19"/>
              </w:rPr>
              <w:t>A critical SaaS, library or managed provider may provide an indirect route into Aegis or interrupt an important function.</w:t>
            </w:r>
          </w:p>
        </w:tc>
        <w:tc>
          <w:tcPr>
            <w:tcW w:w="2952" w:type="dxa"/>
            <w:tcMar>
              <w:top w:w="70" w:type="dxa"/>
              <w:left w:w="70" w:type="dxa"/>
              <w:bottom w:w="70" w:type="dxa"/>
              <w:right w:w="70" w:type="dxa"/>
            </w:tcMar>
          </w:tcPr>
          <w:p w14:paraId="75158A0C" w14:textId="77777777" w:rsidR="000369CD" w:rsidRDefault="000369CD" w:rsidP="009F145F">
            <w:r>
              <w:rPr>
                <w:rFonts w:eastAsia="Times New Roman"/>
                <w:sz w:val="19"/>
              </w:rPr>
              <w:t>Tiering and due diligence; SBOM/SCA; contract controls; provider monitoring; segmentation; exit and substitution plans.</w:t>
            </w:r>
          </w:p>
        </w:tc>
      </w:tr>
    </w:tbl>
    <w:p w14:paraId="6C3F9FF0" w14:textId="6A0DAFC9" w:rsidR="000369CD" w:rsidRDefault="000369CD" w:rsidP="000369CD">
      <w:pPr>
        <w:pStyle w:val="CaptionX"/>
        <w:jc w:val="center"/>
      </w:pPr>
      <w:r>
        <w:t xml:space="preserve">Table </w:t>
      </w:r>
      <w:r w:rsidR="00AC015C">
        <w:t>4</w:t>
      </w:r>
      <w:r>
        <w:t>. Strategic risk register (1 = low, 5 = severe).</w:t>
      </w:r>
    </w:p>
    <w:p w14:paraId="5FE7A316" w14:textId="27A2D1B9" w:rsidR="000369CD" w:rsidRDefault="000369CD" w:rsidP="000369CD">
      <w:r>
        <w:rPr>
          <w:rFonts w:eastAsia="Times New Roman"/>
          <w:color w:val="000000"/>
        </w:rPr>
        <w:t>The first risk is prioritised because Task 1 showed that attackers frequently operate through apparently legitimate identities and that one unprotected legacy account can create disproportionate impact [7]</w:t>
      </w:r>
      <w:r w:rsidR="002674BA">
        <w:rPr>
          <w:rFonts w:eastAsia="Times New Roman"/>
          <w:color w:val="000000"/>
        </w:rPr>
        <w:t>-</w:t>
      </w:r>
      <w:r>
        <w:rPr>
          <w:rFonts w:eastAsia="Times New Roman"/>
          <w:color w:val="000000"/>
        </w:rPr>
        <w:t>[9]. Risk owners must report residual risk quarterly, with exceptions given a named owner and expiry date.</w:t>
      </w:r>
    </w:p>
    <w:p w14:paraId="54686838" w14:textId="3F28F065" w:rsidR="000369CD" w:rsidRDefault="000369CD" w:rsidP="00851247">
      <w:pPr>
        <w:pStyle w:val="Heading1"/>
      </w:pPr>
      <w:bookmarkStart w:id="24" w:name="_Toc236065671"/>
      <w:r>
        <w:t>7. Work</w:t>
      </w:r>
      <w:r w:rsidR="002674BA">
        <w:t>-</w:t>
      </w:r>
      <w:r>
        <w:t>Stream 6: Ransomware Response and Business Continuity</w:t>
      </w:r>
      <w:bookmarkEnd w:id="24"/>
    </w:p>
    <w:p w14:paraId="44731565" w14:textId="3103EE64" w:rsidR="000369CD" w:rsidRDefault="000369CD" w:rsidP="000369CD">
      <w:r>
        <w:rPr>
          <w:rFonts w:eastAsia="Times New Roman"/>
          <w:color w:val="000000"/>
        </w:rPr>
        <w:t>The playbook must assume a double</w:t>
      </w:r>
      <w:r w:rsidR="002674BA">
        <w:rPr>
          <w:rFonts w:eastAsia="Times New Roman"/>
          <w:color w:val="000000"/>
        </w:rPr>
        <w:t>-</w:t>
      </w:r>
      <w:r>
        <w:rPr>
          <w:rFonts w:eastAsia="Times New Roman"/>
          <w:color w:val="000000"/>
        </w:rPr>
        <w:t>extortion event in which systems are disrupted and data may also be stolen. It will be exercised at least twice per year and after major platform changes.</w:t>
      </w:r>
    </w:p>
    <w:p w14:paraId="0E08907F" w14:textId="77777777" w:rsidR="000369CD" w:rsidRDefault="000369CD" w:rsidP="000369CD">
      <w:r>
        <w:rPr>
          <w:rFonts w:eastAsia="Times New Roman"/>
          <w:b/>
          <w:color w:val="000000"/>
        </w:rPr>
        <w:t xml:space="preserve">1. Detect and declare. </w:t>
      </w:r>
      <w:r>
        <w:rPr>
          <w:rFonts w:eastAsia="Times New Roman"/>
          <w:color w:val="000000"/>
        </w:rPr>
        <w:t>Correlate identity, endpoint, cloud and application alerts. The Security Operations Lead opens an incident record, preserves timestamps and appoints an incident commander.</w:t>
      </w:r>
    </w:p>
    <w:p w14:paraId="799C1294" w14:textId="398F8446" w:rsidR="000369CD" w:rsidRDefault="000369CD" w:rsidP="000369CD">
      <w:r>
        <w:rPr>
          <w:rFonts w:eastAsia="Times New Roman"/>
          <w:b/>
          <w:color w:val="000000"/>
        </w:rPr>
        <w:t xml:space="preserve">2. Contain. </w:t>
      </w:r>
      <w:r>
        <w:rPr>
          <w:rFonts w:eastAsia="Times New Roman"/>
          <w:color w:val="000000"/>
        </w:rPr>
        <w:t>Isolate affected endpoints and cloud workloads, revoke tokens, disable compromised identities, block malicious infrastructure and suspend risky integrations. Business</w:t>
      </w:r>
      <w:r w:rsidR="002674BA">
        <w:rPr>
          <w:rFonts w:eastAsia="Times New Roman"/>
          <w:color w:val="000000"/>
        </w:rPr>
        <w:t>-</w:t>
      </w:r>
      <w:r>
        <w:rPr>
          <w:rFonts w:eastAsia="Times New Roman"/>
          <w:color w:val="000000"/>
        </w:rPr>
        <w:t>critical containment actions require incident</w:t>
      </w:r>
      <w:r w:rsidR="002674BA">
        <w:rPr>
          <w:rFonts w:eastAsia="Times New Roman"/>
          <w:color w:val="000000"/>
        </w:rPr>
        <w:t>-</w:t>
      </w:r>
      <w:r>
        <w:rPr>
          <w:rFonts w:eastAsia="Times New Roman"/>
          <w:color w:val="000000"/>
        </w:rPr>
        <w:t>command approval.</w:t>
      </w:r>
    </w:p>
    <w:p w14:paraId="7381ABAD" w14:textId="77777777" w:rsidR="000369CD" w:rsidRDefault="000369CD" w:rsidP="000369CD">
      <w:r>
        <w:rPr>
          <w:rFonts w:eastAsia="Times New Roman"/>
          <w:b/>
          <w:color w:val="000000"/>
        </w:rPr>
        <w:lastRenderedPageBreak/>
        <w:t xml:space="preserve">3. Preserve evidence and assess exposure. </w:t>
      </w:r>
      <w:r>
        <w:rPr>
          <w:rFonts w:eastAsia="Times New Roman"/>
          <w:color w:val="000000"/>
        </w:rPr>
        <w:t>Capture volatile evidence, logs, ransom notes and affected account activity. The DPO and Legal assess whether personal data was accessed and whether GDPR or DORA reporting thresholds are met.</w:t>
      </w:r>
    </w:p>
    <w:p w14:paraId="50A40C0D" w14:textId="6D6C2A8B" w:rsidR="000369CD" w:rsidRDefault="000369CD" w:rsidP="000369CD">
      <w:r>
        <w:rPr>
          <w:rFonts w:eastAsia="Times New Roman"/>
          <w:b/>
          <w:color w:val="000000"/>
        </w:rPr>
        <w:t xml:space="preserve">4. Communicate. </w:t>
      </w:r>
      <w:r>
        <w:rPr>
          <w:rFonts w:eastAsia="Times New Roman"/>
          <w:color w:val="000000"/>
        </w:rPr>
        <w:t>Use an out</w:t>
      </w:r>
      <w:r w:rsidR="002674BA">
        <w:rPr>
          <w:rFonts w:eastAsia="Times New Roman"/>
          <w:color w:val="000000"/>
        </w:rPr>
        <w:t>-</w:t>
      </w:r>
      <w:r>
        <w:rPr>
          <w:rFonts w:eastAsia="Times New Roman"/>
          <w:color w:val="000000"/>
        </w:rPr>
        <w:t>of</w:t>
      </w:r>
      <w:r w:rsidR="002674BA">
        <w:rPr>
          <w:rFonts w:eastAsia="Times New Roman"/>
          <w:color w:val="000000"/>
        </w:rPr>
        <w:t>-</w:t>
      </w:r>
      <w:r>
        <w:rPr>
          <w:rFonts w:eastAsia="Times New Roman"/>
          <w:color w:val="000000"/>
        </w:rPr>
        <w:t>band channel. The CEO leads board, investor and customer messaging; Legal/DPO manage regulators; HR handles staff instructions; only nominated spokespeople communicate externally. No payment decision is made by the technical team.</w:t>
      </w:r>
    </w:p>
    <w:p w14:paraId="406F2078" w14:textId="16FB213A" w:rsidR="000369CD" w:rsidRDefault="000369CD" w:rsidP="000369CD">
      <w:r>
        <w:rPr>
          <w:rFonts w:eastAsia="Times New Roman"/>
          <w:b/>
          <w:color w:val="000000"/>
        </w:rPr>
        <w:t xml:space="preserve">5. Eradicate and restore. </w:t>
      </w:r>
      <w:r>
        <w:rPr>
          <w:rFonts w:eastAsia="Times New Roman"/>
          <w:color w:val="000000"/>
        </w:rPr>
        <w:t>Remove persistence, rebuild from trusted images, rotate credentials and keys, then restore clean data from offline or immutable backups. Recovery follows business</w:t>
      </w:r>
      <w:r w:rsidR="002674BA">
        <w:rPr>
          <w:rFonts w:eastAsia="Times New Roman"/>
          <w:color w:val="000000"/>
        </w:rPr>
        <w:t>-</w:t>
      </w:r>
      <w:r>
        <w:rPr>
          <w:rFonts w:eastAsia="Times New Roman"/>
          <w:color w:val="000000"/>
        </w:rPr>
        <w:t>impact priorities and defined recovery time and recovery point objectives.</w:t>
      </w:r>
    </w:p>
    <w:p w14:paraId="023D7BF5" w14:textId="2F99B16C" w:rsidR="000369CD" w:rsidRDefault="000369CD" w:rsidP="000369CD">
      <w:r>
        <w:rPr>
          <w:rFonts w:eastAsia="Times New Roman"/>
          <w:b/>
          <w:color w:val="000000"/>
        </w:rPr>
        <w:t xml:space="preserve">6. Validate and learn. </w:t>
      </w:r>
      <w:r>
        <w:rPr>
          <w:rFonts w:eastAsia="Times New Roman"/>
          <w:color w:val="000000"/>
        </w:rPr>
        <w:t>Security validates identity, segmentation and monitoring before services return. A post</w:t>
      </w:r>
      <w:r w:rsidR="002674BA">
        <w:rPr>
          <w:rFonts w:eastAsia="Times New Roman"/>
          <w:color w:val="000000"/>
        </w:rPr>
        <w:t>-</w:t>
      </w:r>
      <w:r>
        <w:rPr>
          <w:rFonts w:eastAsia="Times New Roman"/>
          <w:color w:val="000000"/>
        </w:rPr>
        <w:t>incident review records root cause, control failure, regulatory actions, cost and lessons, and updates the risk register and playbooks.</w:t>
      </w:r>
    </w:p>
    <w:p w14:paraId="0BC909C0" w14:textId="37212252" w:rsidR="000369CD" w:rsidRDefault="000369CD" w:rsidP="000369CD">
      <w:r>
        <w:rPr>
          <w:rFonts w:eastAsia="Times New Roman"/>
          <w:color w:val="000000"/>
        </w:rPr>
        <w:t>Backups must use separate administrative identities, write</w:t>
      </w:r>
      <w:r w:rsidR="002674BA">
        <w:rPr>
          <w:rFonts w:eastAsia="Times New Roman"/>
          <w:color w:val="000000"/>
        </w:rPr>
        <w:t>-</w:t>
      </w:r>
      <w:r>
        <w:rPr>
          <w:rFonts w:eastAsia="Times New Roman"/>
          <w:color w:val="000000"/>
        </w:rPr>
        <w:t>once or object</w:t>
      </w:r>
      <w:r w:rsidR="002674BA">
        <w:rPr>
          <w:rFonts w:eastAsia="Times New Roman"/>
          <w:color w:val="000000"/>
        </w:rPr>
        <w:t>-</w:t>
      </w:r>
      <w:r>
        <w:rPr>
          <w:rFonts w:eastAsia="Times New Roman"/>
          <w:color w:val="000000"/>
        </w:rPr>
        <w:t>lock controls, encryption and routine restoration tests. This counters lateral movement into recovery systems and supports the resilience concerns identified in Task 1. The organisation should measure recovery success by tested restoration time and data integrity, not by the existence of backup jobs alone.</w:t>
      </w:r>
    </w:p>
    <w:p w14:paraId="3A87B084" w14:textId="4CC42D95" w:rsidR="000369CD" w:rsidRDefault="000369CD" w:rsidP="00851247">
      <w:pPr>
        <w:pStyle w:val="Heading1"/>
      </w:pPr>
      <w:bookmarkStart w:id="25" w:name="_Toc236065672"/>
      <w:r>
        <w:t>8. Work</w:t>
      </w:r>
      <w:r w:rsidR="002674BA">
        <w:t>-</w:t>
      </w:r>
      <w:r>
        <w:t>Stream 7: Governance and Strategic Roadmap</w:t>
      </w:r>
      <w:bookmarkEnd w:id="25"/>
    </w:p>
    <w:p w14:paraId="028B9768" w14:textId="77777777" w:rsidR="000369CD" w:rsidRPr="00503654" w:rsidRDefault="000369CD" w:rsidP="00851247">
      <w:pPr>
        <w:pStyle w:val="Heading2"/>
        <w:rPr>
          <w:rStyle w:val="BookTitle"/>
        </w:rPr>
      </w:pPr>
      <w:bookmarkStart w:id="26" w:name="_Toc236065673"/>
      <w:r w:rsidRPr="00503654">
        <w:rPr>
          <w:rStyle w:val="BookTitle"/>
        </w:rPr>
        <w:t>8.1 Cyber Security Steering Committee</w:t>
      </w:r>
      <w:bookmarkEnd w:id="26"/>
    </w:p>
    <w:p w14:paraId="403C24B5" w14:textId="77777777" w:rsidR="000369CD" w:rsidRDefault="000369CD" w:rsidP="000369CD">
      <w:r>
        <w:rPr>
          <w:rFonts w:eastAsia="Times New Roman"/>
          <w:color w:val="000000"/>
        </w:rPr>
        <w:t>The committee should meet monthly for the first year and quarterly thereafter. Permanent members are the CEO (chair and risk acceptance), CISO (secretary and programme owner), CTO (architecture and engineering), CFO (budget and financial impact), Head of Legal/DPO (regulatory and privacy advice), COO (business continuity), Head of Product/AI (model and customer risk), and Procurement lead (supplier risk). The committee approves policy, risk appetite, major exceptions, critical suppliers and response priorities. The CISO provides a concise dashboard covering critical risks, incidents, control coverage, overdue actions and regulatory readiness.</w:t>
      </w:r>
    </w:p>
    <w:p w14:paraId="5E5908E0" w14:textId="51E4BBD7" w:rsidR="000369CD" w:rsidRPr="00503654" w:rsidRDefault="000369CD" w:rsidP="00851247">
      <w:pPr>
        <w:pStyle w:val="Heading2"/>
        <w:rPr>
          <w:rStyle w:val="BookTitle"/>
        </w:rPr>
      </w:pPr>
      <w:bookmarkStart w:id="27" w:name="_Toc236065674"/>
      <w:r w:rsidRPr="00503654">
        <w:rPr>
          <w:rStyle w:val="BookTitle"/>
        </w:rPr>
        <w:t>8.2 Twelve</w:t>
      </w:r>
      <w:r w:rsidR="002674BA">
        <w:rPr>
          <w:rStyle w:val="BookTitle"/>
        </w:rPr>
        <w:t>-</w:t>
      </w:r>
      <w:r w:rsidRPr="00503654">
        <w:rPr>
          <w:rStyle w:val="BookTitle"/>
        </w:rPr>
        <w:t>Month Roadmap</w:t>
      </w:r>
      <w:bookmarkEnd w:id="27"/>
    </w:p>
    <w:tbl>
      <w:tblPr>
        <w:tblStyle w:val="TableGrid"/>
        <w:tblW w:w="0" w:type="auto"/>
        <w:jc w:val="center"/>
        <w:tblLook w:val="04A0" w:firstRow="1" w:lastRow="0" w:firstColumn="1" w:lastColumn="0" w:noHBand="0" w:noVBand="1"/>
      </w:tblPr>
      <w:tblGrid>
        <w:gridCol w:w="1668"/>
        <w:gridCol w:w="4486"/>
        <w:gridCol w:w="2862"/>
      </w:tblGrid>
      <w:tr w:rsidR="000369CD" w14:paraId="0D6FBDCC" w14:textId="77777777" w:rsidTr="009F145F">
        <w:trPr>
          <w:tblHeader/>
          <w:jc w:val="center"/>
        </w:trPr>
        <w:tc>
          <w:tcPr>
            <w:tcW w:w="1944" w:type="dxa"/>
            <w:shd w:val="clear" w:color="auto" w:fill="1F4E79"/>
            <w:tcMar>
              <w:top w:w="70" w:type="dxa"/>
              <w:left w:w="70" w:type="dxa"/>
              <w:bottom w:w="70" w:type="dxa"/>
              <w:right w:w="70" w:type="dxa"/>
            </w:tcMar>
            <w:vAlign w:val="center"/>
          </w:tcPr>
          <w:p w14:paraId="18B6510B" w14:textId="77777777" w:rsidR="000369CD" w:rsidRDefault="000369CD" w:rsidP="009F145F">
            <w:pPr>
              <w:jc w:val="center"/>
            </w:pPr>
            <w:r>
              <w:rPr>
                <w:rFonts w:eastAsia="Times New Roman"/>
                <w:b/>
                <w:sz w:val="19"/>
              </w:rPr>
              <w:t>Period and priority</w:t>
            </w:r>
          </w:p>
        </w:tc>
        <w:tc>
          <w:tcPr>
            <w:tcW w:w="5400" w:type="dxa"/>
            <w:shd w:val="clear" w:color="auto" w:fill="1F4E79"/>
            <w:tcMar>
              <w:top w:w="70" w:type="dxa"/>
              <w:left w:w="70" w:type="dxa"/>
              <w:bottom w:w="70" w:type="dxa"/>
              <w:right w:w="70" w:type="dxa"/>
            </w:tcMar>
            <w:vAlign w:val="center"/>
          </w:tcPr>
          <w:p w14:paraId="254FDA68" w14:textId="77777777" w:rsidR="000369CD" w:rsidRDefault="000369CD" w:rsidP="009F145F">
            <w:pPr>
              <w:jc w:val="center"/>
            </w:pPr>
            <w:r>
              <w:rPr>
                <w:rFonts w:eastAsia="Times New Roman"/>
                <w:b/>
                <w:sz w:val="19"/>
              </w:rPr>
              <w:t>Key deliverables</w:t>
            </w:r>
          </w:p>
        </w:tc>
        <w:tc>
          <w:tcPr>
            <w:tcW w:w="3456" w:type="dxa"/>
            <w:shd w:val="clear" w:color="auto" w:fill="1F4E79"/>
            <w:tcMar>
              <w:top w:w="70" w:type="dxa"/>
              <w:left w:w="70" w:type="dxa"/>
              <w:bottom w:w="70" w:type="dxa"/>
              <w:right w:w="70" w:type="dxa"/>
            </w:tcMar>
            <w:vAlign w:val="center"/>
          </w:tcPr>
          <w:p w14:paraId="037A7F3B" w14:textId="77777777" w:rsidR="000369CD" w:rsidRDefault="000369CD" w:rsidP="009F145F">
            <w:pPr>
              <w:jc w:val="center"/>
            </w:pPr>
            <w:r>
              <w:rPr>
                <w:rFonts w:eastAsia="Times New Roman"/>
                <w:b/>
                <w:sz w:val="19"/>
              </w:rPr>
              <w:t>Success measures</w:t>
            </w:r>
          </w:p>
        </w:tc>
      </w:tr>
      <w:tr w:rsidR="000369CD" w14:paraId="0E4C6327" w14:textId="77777777" w:rsidTr="009F145F">
        <w:trPr>
          <w:jc w:val="center"/>
        </w:trPr>
        <w:tc>
          <w:tcPr>
            <w:tcW w:w="1944" w:type="dxa"/>
            <w:tcMar>
              <w:top w:w="70" w:type="dxa"/>
              <w:left w:w="70" w:type="dxa"/>
              <w:bottom w:w="70" w:type="dxa"/>
              <w:right w:w="70" w:type="dxa"/>
            </w:tcMar>
          </w:tcPr>
          <w:p w14:paraId="12D0F9E7" w14:textId="77777777" w:rsidR="000369CD" w:rsidRDefault="000369CD" w:rsidP="009F145F">
            <w:r>
              <w:rPr>
                <w:rFonts w:eastAsia="Times New Roman"/>
                <w:sz w:val="19"/>
              </w:rPr>
              <w:t>Q1: Establish and reduce immediate exposure</w:t>
            </w:r>
          </w:p>
        </w:tc>
        <w:tc>
          <w:tcPr>
            <w:tcW w:w="5400" w:type="dxa"/>
            <w:tcMar>
              <w:top w:w="70" w:type="dxa"/>
              <w:left w:w="70" w:type="dxa"/>
              <w:bottom w:w="70" w:type="dxa"/>
              <w:right w:w="70" w:type="dxa"/>
            </w:tcMar>
          </w:tcPr>
          <w:p w14:paraId="760FCEA2" w14:textId="77777777" w:rsidR="000369CD" w:rsidRDefault="000369CD" w:rsidP="009F145F">
            <w:r>
              <w:rPr>
                <w:rFonts w:eastAsia="Times New Roman"/>
                <w:sz w:val="19"/>
              </w:rPr>
              <w:t>Recruit CISO leads; appoint MSSP; inventory assets/data/identities/vendors; enforce MFA for privileged and workforce accounts; secure backup administration; approve core policies.</w:t>
            </w:r>
          </w:p>
        </w:tc>
        <w:tc>
          <w:tcPr>
            <w:tcW w:w="3456" w:type="dxa"/>
            <w:tcMar>
              <w:top w:w="70" w:type="dxa"/>
              <w:left w:w="70" w:type="dxa"/>
              <w:bottom w:w="70" w:type="dxa"/>
              <w:right w:w="70" w:type="dxa"/>
            </w:tcMar>
          </w:tcPr>
          <w:p w14:paraId="57771423" w14:textId="596ABA0C" w:rsidR="000369CD" w:rsidRDefault="000369CD" w:rsidP="009F145F">
            <w:r>
              <w:rPr>
                <w:rFonts w:eastAsia="Times New Roman"/>
                <w:sz w:val="19"/>
              </w:rPr>
              <w:t>100% privileged accounts on phishing</w:t>
            </w:r>
            <w:r w:rsidR="002674BA">
              <w:rPr>
                <w:rFonts w:eastAsia="Times New Roman"/>
                <w:sz w:val="19"/>
              </w:rPr>
              <w:t>-</w:t>
            </w:r>
            <w:r>
              <w:rPr>
                <w:rFonts w:eastAsia="Times New Roman"/>
                <w:sz w:val="19"/>
              </w:rPr>
              <w:t>resistant MFA; 95% known assets assigned an owner; critical backups restore</w:t>
            </w:r>
            <w:r w:rsidR="002674BA">
              <w:rPr>
                <w:rFonts w:eastAsia="Times New Roman"/>
                <w:sz w:val="19"/>
              </w:rPr>
              <w:t>-</w:t>
            </w:r>
            <w:r>
              <w:rPr>
                <w:rFonts w:eastAsia="Times New Roman"/>
                <w:sz w:val="19"/>
              </w:rPr>
              <w:t>tested.</w:t>
            </w:r>
          </w:p>
        </w:tc>
      </w:tr>
      <w:tr w:rsidR="000369CD" w14:paraId="75F30919" w14:textId="77777777" w:rsidTr="009F145F">
        <w:trPr>
          <w:jc w:val="center"/>
        </w:trPr>
        <w:tc>
          <w:tcPr>
            <w:tcW w:w="1944" w:type="dxa"/>
            <w:tcMar>
              <w:top w:w="70" w:type="dxa"/>
              <w:left w:w="70" w:type="dxa"/>
              <w:bottom w:w="70" w:type="dxa"/>
              <w:right w:w="70" w:type="dxa"/>
            </w:tcMar>
          </w:tcPr>
          <w:p w14:paraId="238479E1" w14:textId="77777777" w:rsidR="000369CD" w:rsidRDefault="000369CD" w:rsidP="009F145F">
            <w:r>
              <w:rPr>
                <w:rFonts w:eastAsia="Times New Roman"/>
                <w:sz w:val="19"/>
              </w:rPr>
              <w:t>Q2: Build Zero Trust foundations</w:t>
            </w:r>
          </w:p>
        </w:tc>
        <w:tc>
          <w:tcPr>
            <w:tcW w:w="5400" w:type="dxa"/>
            <w:tcMar>
              <w:top w:w="70" w:type="dxa"/>
              <w:left w:w="70" w:type="dxa"/>
              <w:bottom w:w="70" w:type="dxa"/>
              <w:right w:w="70" w:type="dxa"/>
            </w:tcMar>
          </w:tcPr>
          <w:p w14:paraId="2C4474BF" w14:textId="77777777" w:rsidR="000369CD" w:rsidRDefault="000369CD" w:rsidP="009F145F">
            <w:r>
              <w:rPr>
                <w:rFonts w:eastAsia="Times New Roman"/>
                <w:sz w:val="19"/>
              </w:rPr>
              <w:t xml:space="preserve">Deploy IGA joiner/mover/leaver controls, PAM pilot, ZTNA for remote access, CSPM, secure cloud baseline and </w:t>
            </w:r>
            <w:proofErr w:type="spellStart"/>
            <w:r>
              <w:rPr>
                <w:rFonts w:eastAsia="Times New Roman"/>
                <w:sz w:val="19"/>
              </w:rPr>
              <w:t>DevSecOps</w:t>
            </w:r>
            <w:proofErr w:type="spellEnd"/>
            <w:r>
              <w:rPr>
                <w:rFonts w:eastAsia="Times New Roman"/>
                <w:sz w:val="19"/>
              </w:rPr>
              <w:t xml:space="preserve"> scanning; complete GDPR/DORA gap and DPIAs.</w:t>
            </w:r>
          </w:p>
        </w:tc>
        <w:tc>
          <w:tcPr>
            <w:tcW w:w="3456" w:type="dxa"/>
            <w:tcMar>
              <w:top w:w="70" w:type="dxa"/>
              <w:left w:w="70" w:type="dxa"/>
              <w:bottom w:w="70" w:type="dxa"/>
              <w:right w:w="70" w:type="dxa"/>
            </w:tcMar>
          </w:tcPr>
          <w:p w14:paraId="593F8C37" w14:textId="77777777" w:rsidR="000369CD" w:rsidRDefault="000369CD" w:rsidP="009F145F">
            <w:r>
              <w:rPr>
                <w:rFonts w:eastAsia="Times New Roman"/>
                <w:sz w:val="19"/>
              </w:rPr>
              <w:t>90% workforce apps behind SSO; critical cloud misconfigurations remediated within 48 hours; 100% critical processing assessed.</w:t>
            </w:r>
          </w:p>
        </w:tc>
      </w:tr>
      <w:tr w:rsidR="000369CD" w14:paraId="1975C7F1" w14:textId="77777777" w:rsidTr="009F145F">
        <w:trPr>
          <w:jc w:val="center"/>
        </w:trPr>
        <w:tc>
          <w:tcPr>
            <w:tcW w:w="1944" w:type="dxa"/>
            <w:tcMar>
              <w:top w:w="70" w:type="dxa"/>
              <w:left w:w="70" w:type="dxa"/>
              <w:bottom w:w="70" w:type="dxa"/>
              <w:right w:w="70" w:type="dxa"/>
            </w:tcMar>
          </w:tcPr>
          <w:p w14:paraId="07B0EC3C" w14:textId="77777777" w:rsidR="000369CD" w:rsidRDefault="000369CD" w:rsidP="009F145F">
            <w:r>
              <w:rPr>
                <w:rFonts w:eastAsia="Times New Roman"/>
                <w:sz w:val="19"/>
              </w:rPr>
              <w:t>Q3: Detect, segment and assure suppliers</w:t>
            </w:r>
          </w:p>
        </w:tc>
        <w:tc>
          <w:tcPr>
            <w:tcW w:w="5400" w:type="dxa"/>
            <w:tcMar>
              <w:top w:w="70" w:type="dxa"/>
              <w:left w:w="70" w:type="dxa"/>
              <w:bottom w:w="70" w:type="dxa"/>
              <w:right w:w="70" w:type="dxa"/>
            </w:tcMar>
          </w:tcPr>
          <w:p w14:paraId="29637FB5" w14:textId="66A69A78" w:rsidR="000369CD" w:rsidRDefault="000369CD" w:rsidP="009F145F">
            <w:proofErr w:type="spellStart"/>
            <w:r>
              <w:rPr>
                <w:rFonts w:eastAsia="Times New Roman"/>
                <w:sz w:val="19"/>
              </w:rPr>
              <w:t>Centralise</w:t>
            </w:r>
            <w:proofErr w:type="spellEnd"/>
            <w:r>
              <w:rPr>
                <w:rFonts w:eastAsia="Times New Roman"/>
                <w:sz w:val="19"/>
              </w:rPr>
              <w:t xml:space="preserve"> priority logs; deploy XDR/SIEM use cases; microsegment production and backups; assess critical suppliers; run ransomware tabletop and provider</w:t>
            </w:r>
            <w:r w:rsidR="002674BA">
              <w:rPr>
                <w:rFonts w:eastAsia="Times New Roman"/>
                <w:sz w:val="19"/>
              </w:rPr>
              <w:t>-</w:t>
            </w:r>
            <w:r>
              <w:rPr>
                <w:rFonts w:eastAsia="Times New Roman"/>
                <w:sz w:val="19"/>
              </w:rPr>
              <w:t>failure exercise.</w:t>
            </w:r>
          </w:p>
        </w:tc>
        <w:tc>
          <w:tcPr>
            <w:tcW w:w="3456" w:type="dxa"/>
            <w:tcMar>
              <w:top w:w="70" w:type="dxa"/>
              <w:left w:w="70" w:type="dxa"/>
              <w:bottom w:w="70" w:type="dxa"/>
              <w:right w:w="70" w:type="dxa"/>
            </w:tcMar>
          </w:tcPr>
          <w:p w14:paraId="69270849" w14:textId="77777777" w:rsidR="000369CD" w:rsidRDefault="000369CD" w:rsidP="009F145F">
            <w:r>
              <w:rPr>
                <w:rFonts w:eastAsia="Times New Roman"/>
                <w:sz w:val="19"/>
              </w:rPr>
              <w:t>Critical log coverage above 90%; mean time to contain under four hours in exercise; all critical vendors assessed.</w:t>
            </w:r>
          </w:p>
        </w:tc>
      </w:tr>
      <w:tr w:rsidR="000369CD" w14:paraId="52A03A14" w14:textId="77777777" w:rsidTr="009F145F">
        <w:trPr>
          <w:jc w:val="center"/>
        </w:trPr>
        <w:tc>
          <w:tcPr>
            <w:tcW w:w="1944" w:type="dxa"/>
            <w:tcMar>
              <w:top w:w="70" w:type="dxa"/>
              <w:left w:w="70" w:type="dxa"/>
              <w:bottom w:w="70" w:type="dxa"/>
              <w:right w:w="70" w:type="dxa"/>
            </w:tcMar>
          </w:tcPr>
          <w:p w14:paraId="56841FD9" w14:textId="77777777" w:rsidR="000369CD" w:rsidRDefault="000369CD" w:rsidP="009F145F">
            <w:r>
              <w:rPr>
                <w:rFonts w:eastAsia="Times New Roman"/>
                <w:sz w:val="19"/>
              </w:rPr>
              <w:lastRenderedPageBreak/>
              <w:t>Q4: Prove resilience and launch readiness</w:t>
            </w:r>
          </w:p>
        </w:tc>
        <w:tc>
          <w:tcPr>
            <w:tcW w:w="5400" w:type="dxa"/>
            <w:tcMar>
              <w:top w:w="70" w:type="dxa"/>
              <w:left w:w="70" w:type="dxa"/>
              <w:bottom w:w="70" w:type="dxa"/>
              <w:right w:w="70" w:type="dxa"/>
            </w:tcMar>
          </w:tcPr>
          <w:p w14:paraId="25C6A39F" w14:textId="078C7DB5" w:rsidR="000369CD" w:rsidRDefault="000369CD" w:rsidP="009F145F">
            <w:r>
              <w:rPr>
                <w:rFonts w:eastAsia="Times New Roman"/>
                <w:sz w:val="19"/>
              </w:rPr>
              <w:t>Tune SOAR playbooks; conduct independent penetration test and internal compliance audit; close high findings; perform full restoration exercise; board EU go</w:t>
            </w:r>
            <w:r w:rsidR="002674BA">
              <w:rPr>
                <w:rFonts w:eastAsia="Times New Roman"/>
                <w:sz w:val="19"/>
              </w:rPr>
              <w:t>-</w:t>
            </w:r>
            <w:r>
              <w:rPr>
                <w:rFonts w:eastAsia="Times New Roman"/>
                <w:sz w:val="19"/>
              </w:rPr>
              <w:t>live review.</w:t>
            </w:r>
          </w:p>
        </w:tc>
        <w:tc>
          <w:tcPr>
            <w:tcW w:w="3456" w:type="dxa"/>
            <w:tcMar>
              <w:top w:w="70" w:type="dxa"/>
              <w:left w:w="70" w:type="dxa"/>
              <w:bottom w:w="70" w:type="dxa"/>
              <w:right w:w="70" w:type="dxa"/>
            </w:tcMar>
          </w:tcPr>
          <w:p w14:paraId="507FD1CB" w14:textId="77777777" w:rsidR="000369CD" w:rsidRDefault="000369CD" w:rsidP="009F145F">
            <w:r>
              <w:rPr>
                <w:rFonts w:eastAsia="Times New Roman"/>
                <w:sz w:val="19"/>
              </w:rPr>
              <w:t>No overdue critical findings; recovery objectives achieved; board accepts residual risk; GDPR/DORA evidence pack complete.</w:t>
            </w:r>
          </w:p>
        </w:tc>
      </w:tr>
    </w:tbl>
    <w:p w14:paraId="67E0E93B" w14:textId="49F7FACC" w:rsidR="000369CD" w:rsidRDefault="000369CD" w:rsidP="000369CD">
      <w:pPr>
        <w:pStyle w:val="CaptionX"/>
        <w:jc w:val="center"/>
      </w:pPr>
      <w:r>
        <w:t xml:space="preserve">Table </w:t>
      </w:r>
      <w:r w:rsidR="00AC015C">
        <w:t>5</w:t>
      </w:r>
      <w:r>
        <w:t>. Twelve</w:t>
      </w:r>
      <w:r w:rsidR="002674BA">
        <w:t>-</w:t>
      </w:r>
      <w:r>
        <w:t>month implementation roadmap and KPIs.</w:t>
      </w:r>
    </w:p>
    <w:p w14:paraId="3A605FB7" w14:textId="2F288BBE" w:rsidR="000369CD" w:rsidRDefault="000369CD" w:rsidP="000369CD">
      <w:r>
        <w:rPr>
          <w:rFonts w:eastAsia="Times New Roman"/>
          <w:color w:val="000000"/>
        </w:rPr>
        <w:t>Additional board KPIs should include percentage of excessive privileges removed, leaver accounts disabled within four hours, critical vulnerabilities fixed within agreed service levels, phishing</w:t>
      </w:r>
      <w:r w:rsidR="002674BA">
        <w:rPr>
          <w:rFonts w:eastAsia="Times New Roman"/>
          <w:color w:val="000000"/>
        </w:rPr>
        <w:t>-</w:t>
      </w:r>
      <w:r>
        <w:rPr>
          <w:rFonts w:eastAsia="Times New Roman"/>
          <w:color w:val="000000"/>
        </w:rPr>
        <w:t>resistant MFA coverage, tested backup restoration success, high</w:t>
      </w:r>
      <w:r w:rsidR="002674BA">
        <w:rPr>
          <w:rFonts w:eastAsia="Times New Roman"/>
          <w:color w:val="000000"/>
        </w:rPr>
        <w:t>-</w:t>
      </w:r>
      <w:r>
        <w:rPr>
          <w:rFonts w:eastAsia="Times New Roman"/>
          <w:color w:val="000000"/>
        </w:rPr>
        <w:t>risk suppliers with current assessments, and mean time to detect and contain incidents. These outcome measures follow Task 1’s recommendation to judge Zero Trust by reduced access risk and incident impact rather than by the number of products purchased.</w:t>
      </w:r>
    </w:p>
    <w:p w14:paraId="1E44BCCF" w14:textId="77777777" w:rsidR="000369CD" w:rsidRDefault="000369CD" w:rsidP="00851247">
      <w:pPr>
        <w:pStyle w:val="Heading1"/>
      </w:pPr>
      <w:bookmarkStart w:id="28" w:name="_Toc236065675"/>
      <w:r>
        <w:t>9. Conclusion and Recommendations</w:t>
      </w:r>
      <w:bookmarkEnd w:id="28"/>
    </w:p>
    <w:p w14:paraId="4E0C160F" w14:textId="24C43EEC" w:rsidR="000369CD" w:rsidRDefault="000369CD" w:rsidP="000369CD">
      <w:r>
        <w:rPr>
          <w:rFonts w:eastAsia="Times New Roman"/>
          <w:color w:val="000000"/>
        </w:rPr>
        <w:t>Aegis FinTech should approve the proposed security unit and 12</w:t>
      </w:r>
      <w:r w:rsidR="002674BA">
        <w:rPr>
          <w:rFonts w:eastAsia="Times New Roman"/>
          <w:color w:val="000000"/>
        </w:rPr>
        <w:t>-</w:t>
      </w:r>
      <w:r>
        <w:rPr>
          <w:rFonts w:eastAsia="Times New Roman"/>
          <w:color w:val="000000"/>
        </w:rPr>
        <w:t>month roadmap as a business</w:t>
      </w:r>
      <w:r w:rsidR="002674BA">
        <w:rPr>
          <w:rFonts w:eastAsia="Times New Roman"/>
          <w:color w:val="000000"/>
        </w:rPr>
        <w:t>-</w:t>
      </w:r>
      <w:r>
        <w:rPr>
          <w:rFonts w:eastAsia="Times New Roman"/>
          <w:color w:val="000000"/>
        </w:rPr>
        <w:t>enablement programme for EU expansion and Series B assurance. The immediate priorities are identity hardening, a reliable asset and data baseline, secure cloud configuration, protected recovery systems and formal supplier governance. NIST CSF 2.0 provides an executive risk structure, while NIST SP 800</w:t>
      </w:r>
      <w:r w:rsidR="002674BA">
        <w:rPr>
          <w:rFonts w:eastAsia="Times New Roman"/>
          <w:color w:val="000000"/>
        </w:rPr>
        <w:t>-</w:t>
      </w:r>
      <w:r>
        <w:rPr>
          <w:rFonts w:eastAsia="Times New Roman"/>
          <w:color w:val="000000"/>
        </w:rPr>
        <w:t>207 and the CISA maturity model guide the Zero Trust implementation [1], [3], [17].</w:t>
      </w:r>
    </w:p>
    <w:p w14:paraId="40B71484" w14:textId="45C46625" w:rsidR="000369CD" w:rsidRDefault="000369CD" w:rsidP="000369CD">
      <w:r>
        <w:rPr>
          <w:rFonts w:eastAsia="Times New Roman"/>
          <w:color w:val="000000"/>
        </w:rPr>
        <w:t>The board should avoid declaring Zero Trust complete after deploying ZTNA or MFA. Task 1 demonstrated that inconsistent legacy controls, poor permission governance and weak telemetry can undermine the whole design [4]</w:t>
      </w:r>
      <w:r w:rsidR="002674BA">
        <w:rPr>
          <w:rFonts w:eastAsia="Times New Roman"/>
          <w:color w:val="000000"/>
        </w:rPr>
        <w:t>-</w:t>
      </w:r>
      <w:r>
        <w:rPr>
          <w:rFonts w:eastAsia="Times New Roman"/>
          <w:color w:val="000000"/>
        </w:rPr>
        <w:t>[7]. Progress should therefore be phased, evidenced and tested. By month 12, Aegis should be able to show regulators, investors and customers that access is explicitly controlled, incidents are detectable, critical services can be restored, third</w:t>
      </w:r>
      <w:r w:rsidR="002674BA">
        <w:rPr>
          <w:rFonts w:eastAsia="Times New Roman"/>
          <w:color w:val="000000"/>
        </w:rPr>
        <w:t>-</w:t>
      </w:r>
      <w:r>
        <w:rPr>
          <w:rFonts w:eastAsia="Times New Roman"/>
          <w:color w:val="000000"/>
        </w:rPr>
        <w:t>party dependencies are understood and senior management actively owns ICT risk.</w:t>
      </w:r>
    </w:p>
    <w:p w14:paraId="4A9AE857" w14:textId="77777777" w:rsidR="000369CD" w:rsidRDefault="000369CD" w:rsidP="00851247">
      <w:pPr>
        <w:pStyle w:val="Heading1"/>
      </w:pPr>
      <w:bookmarkStart w:id="29" w:name="_Toc236065676"/>
      <w:r>
        <w:t>References</w:t>
      </w:r>
      <w:bookmarkEnd w:id="29"/>
    </w:p>
    <w:p w14:paraId="33D02A06" w14:textId="0A85F702" w:rsidR="000369CD" w:rsidRDefault="000369CD" w:rsidP="000369CD">
      <w:pPr>
        <w:pStyle w:val="Small"/>
        <w:ind w:left="288" w:hanging="288"/>
      </w:pPr>
      <w:r>
        <w:t>[1] S. Rose, O. Borchert, S. Mitchell and S. Connelly, “Zero Trust Architecture,” NIST SP 800</w:t>
      </w:r>
      <w:r w:rsidR="002674BA">
        <w:t>-</w:t>
      </w:r>
      <w:r>
        <w:t>207, Aug. 2020.</w:t>
      </w:r>
    </w:p>
    <w:p w14:paraId="53E8E88B" w14:textId="4EE1DC60" w:rsidR="000369CD" w:rsidRDefault="000369CD" w:rsidP="000369CD">
      <w:pPr>
        <w:pStyle w:val="Small"/>
        <w:ind w:left="288" w:hanging="288"/>
      </w:pPr>
      <w:r>
        <w:t>[2] N. F. Syed et al., “Zero Trust Architecture (ZTA): A Comprehensive Survey,” IEEE Access, vol. 10, pp. 57143</w:t>
      </w:r>
      <w:r w:rsidR="002674BA">
        <w:t>-</w:t>
      </w:r>
      <w:r>
        <w:t>57179, 2022.</w:t>
      </w:r>
    </w:p>
    <w:p w14:paraId="292DF776" w14:textId="77777777" w:rsidR="000369CD" w:rsidRDefault="000369CD" w:rsidP="000369CD">
      <w:pPr>
        <w:pStyle w:val="Small"/>
        <w:ind w:left="288" w:hanging="288"/>
      </w:pPr>
      <w:r>
        <w:t>[3] Cybersecurity and Infrastructure Security Agency, “Zero Trust Maturity Model, Version 2.0,” Apr. 2023.</w:t>
      </w:r>
    </w:p>
    <w:p w14:paraId="637B30F9" w14:textId="77777777" w:rsidR="000369CD" w:rsidRDefault="000369CD" w:rsidP="000369CD">
      <w:pPr>
        <w:pStyle w:val="Small"/>
        <w:ind w:left="288" w:hanging="288"/>
      </w:pPr>
      <w:r>
        <w:t>[4] W. Yeoh, M. Liu, M. Shore and F. Jiang, “Zero trust cybersecurity: Critical success factors and a maturity assessment framework,” Computers &amp; Security, vol. 133, 2023.</w:t>
      </w:r>
    </w:p>
    <w:p w14:paraId="0812A8C3" w14:textId="77777777" w:rsidR="000369CD" w:rsidRDefault="000369CD" w:rsidP="000369CD">
      <w:pPr>
        <w:pStyle w:val="Small"/>
        <w:ind w:left="288" w:hanging="288"/>
      </w:pPr>
      <w:r>
        <w:t>[5] L. Ferretti et al., “Survivable zero trust for cloud computing environments,” Computers &amp; Security, vol. 110, 2021.</w:t>
      </w:r>
    </w:p>
    <w:p w14:paraId="4EE0EE52" w14:textId="5171C941" w:rsidR="000369CD" w:rsidRDefault="000369CD" w:rsidP="000369CD">
      <w:pPr>
        <w:pStyle w:val="Small"/>
        <w:ind w:left="288" w:hanging="288"/>
      </w:pPr>
      <w:r>
        <w:t xml:space="preserve">[6] P. </w:t>
      </w:r>
      <w:proofErr w:type="spellStart"/>
      <w:r>
        <w:t>Phiayura</w:t>
      </w:r>
      <w:proofErr w:type="spellEnd"/>
      <w:r>
        <w:t xml:space="preserve"> and S. </w:t>
      </w:r>
      <w:proofErr w:type="spellStart"/>
      <w:r>
        <w:t>Teerakanok</w:t>
      </w:r>
      <w:proofErr w:type="spellEnd"/>
      <w:r>
        <w:t>, “A comprehensive framework for migrating to zero trust architecture,” IEEE Access, vol. 11, pp. 19487</w:t>
      </w:r>
      <w:r w:rsidR="002674BA">
        <w:t>-</w:t>
      </w:r>
      <w:r>
        <w:t>19511, 2023.</w:t>
      </w:r>
    </w:p>
    <w:p w14:paraId="2623A372" w14:textId="3ABA7A4F" w:rsidR="000369CD" w:rsidRDefault="000369CD" w:rsidP="000369CD">
      <w:pPr>
        <w:pStyle w:val="Small"/>
        <w:ind w:left="288" w:hanging="288"/>
      </w:pPr>
      <w:r>
        <w:lastRenderedPageBreak/>
        <w:t>[7] Microsoft Security, “Midnight Blizzard: Guidance for responders on nation</w:t>
      </w:r>
      <w:r w:rsidR="002674BA">
        <w:t>-</w:t>
      </w:r>
      <w:r>
        <w:t>state attack,” Jan. 25, 2024.</w:t>
      </w:r>
    </w:p>
    <w:p w14:paraId="40421638" w14:textId="77777777" w:rsidR="000369CD" w:rsidRDefault="000369CD" w:rsidP="000369CD">
      <w:pPr>
        <w:pStyle w:val="Small"/>
        <w:ind w:left="288" w:hanging="288"/>
      </w:pPr>
      <w:r>
        <w:t>[8] Verizon Business, “2025 Data Breach Investigations Report,” 2025.</w:t>
      </w:r>
    </w:p>
    <w:p w14:paraId="425B38F6" w14:textId="459BC743" w:rsidR="000369CD" w:rsidRDefault="000369CD" w:rsidP="000369CD">
      <w:pPr>
        <w:pStyle w:val="Small"/>
        <w:ind w:left="288" w:hanging="288"/>
      </w:pPr>
      <w:r>
        <w:t>[9] IBM X</w:t>
      </w:r>
      <w:r w:rsidR="002674BA">
        <w:t>-</w:t>
      </w:r>
      <w:r>
        <w:t>Force, “X</w:t>
      </w:r>
      <w:r w:rsidR="002674BA">
        <w:t>-</w:t>
      </w:r>
      <w:r>
        <w:t>Force Threat Intelligence Index 2025,” 2025.</w:t>
      </w:r>
    </w:p>
    <w:p w14:paraId="40A50E4F" w14:textId="77777777" w:rsidR="000369CD" w:rsidRDefault="000369CD" w:rsidP="000369CD">
      <w:pPr>
        <w:pStyle w:val="Small"/>
        <w:ind w:left="288" w:hanging="288"/>
      </w:pPr>
      <w:r>
        <w:t>[10] Google Cloud, “</w:t>
      </w:r>
      <w:proofErr w:type="spellStart"/>
      <w:r>
        <w:t>BeyondCorp</w:t>
      </w:r>
      <w:proofErr w:type="spellEnd"/>
      <w:r>
        <w:t>: Zero Trust Enterprise Security.”</w:t>
      </w:r>
    </w:p>
    <w:p w14:paraId="1722B77B" w14:textId="1F833B43" w:rsidR="000369CD" w:rsidRDefault="000369CD" w:rsidP="000369CD">
      <w:pPr>
        <w:pStyle w:val="Small"/>
        <w:ind w:left="288" w:hanging="288"/>
      </w:pPr>
      <w:r>
        <w:t xml:space="preserve">[11] Z. </w:t>
      </w:r>
      <w:proofErr w:type="spellStart"/>
      <w:r>
        <w:t>Adahman</w:t>
      </w:r>
      <w:proofErr w:type="spellEnd"/>
      <w:r>
        <w:t>, A. W. Malik and Z. Anwar, “An analysis of zero</w:t>
      </w:r>
      <w:r w:rsidR="002674BA">
        <w:t>-</w:t>
      </w:r>
      <w:r>
        <w:t>trust architecture and its cost</w:t>
      </w:r>
      <w:r w:rsidR="002674BA">
        <w:t>-</w:t>
      </w:r>
      <w:r>
        <w:t>effectiveness for organizational security,” Computers &amp; Security, vol. 122, 2022.</w:t>
      </w:r>
    </w:p>
    <w:p w14:paraId="29E5A7CD" w14:textId="633C01F6" w:rsidR="000369CD" w:rsidRDefault="000369CD" w:rsidP="000369CD">
      <w:pPr>
        <w:pStyle w:val="Small"/>
        <w:ind w:left="288" w:hanging="288"/>
      </w:pPr>
      <w:r>
        <w:t>[12] R. Chandramouli and Z. Butcher, “A Zero Trust Architecture Model for Access Control in Cloud</w:t>
      </w:r>
      <w:r w:rsidR="002674BA">
        <w:t>-</w:t>
      </w:r>
      <w:r>
        <w:t>Native Applications in Multi</w:t>
      </w:r>
      <w:r w:rsidR="002674BA">
        <w:t>-</w:t>
      </w:r>
      <w:r>
        <w:t>Cloud Environments,” NIST SP 800</w:t>
      </w:r>
      <w:r w:rsidR="002674BA">
        <w:t>-</w:t>
      </w:r>
      <w:r>
        <w:t>207A, Sept. 2023.</w:t>
      </w:r>
    </w:p>
    <w:p w14:paraId="6A632D33" w14:textId="56D6DC81" w:rsidR="000369CD" w:rsidRDefault="000369CD" w:rsidP="000369CD">
      <w:pPr>
        <w:pStyle w:val="Small"/>
        <w:ind w:left="288" w:hanging="288"/>
      </w:pPr>
      <w:r>
        <w:t>[13] National Cybersecurity Center of Excellence, “General ZTA reference architecture,” NIST SP 1800</w:t>
      </w:r>
      <w:r w:rsidR="002674BA">
        <w:t>-</w:t>
      </w:r>
      <w:r>
        <w:t>35B, 2025.</w:t>
      </w:r>
    </w:p>
    <w:p w14:paraId="79C9F389" w14:textId="3420CB25" w:rsidR="000369CD" w:rsidRDefault="000369CD" w:rsidP="000369CD">
      <w:pPr>
        <w:pStyle w:val="Small"/>
        <w:ind w:left="288" w:hanging="288"/>
      </w:pPr>
      <w:r>
        <w:t>[14] Cybersecurity and Infrastructure Security Agency, “Implementing phishing</w:t>
      </w:r>
      <w:r w:rsidR="002674BA">
        <w:t>-</w:t>
      </w:r>
      <w:r>
        <w:t>resistant MFA,” Oct. 2022.</w:t>
      </w:r>
    </w:p>
    <w:p w14:paraId="5390D231" w14:textId="77777777" w:rsidR="000369CD" w:rsidRDefault="000369CD" w:rsidP="000369CD">
      <w:pPr>
        <w:pStyle w:val="Small"/>
        <w:ind w:left="288" w:hanging="288"/>
      </w:pPr>
      <w:r>
        <w:t>[15] European Parliament and Council, Regulation (EU) 2016/679 (General Data Protection Regulation), Arts. 32, 33 and 35, 2016.</w:t>
      </w:r>
    </w:p>
    <w:p w14:paraId="75DC9291" w14:textId="77777777" w:rsidR="000369CD" w:rsidRDefault="000369CD" w:rsidP="000369CD">
      <w:pPr>
        <w:pStyle w:val="Small"/>
        <w:ind w:left="288" w:hanging="288"/>
      </w:pPr>
      <w:r>
        <w:t>[16] European Parliament and Council, Regulation (EU) 2022/2554 (Digital Operational Resilience Act), Arts. 5, 11 and 28, 2022.</w:t>
      </w:r>
    </w:p>
    <w:p w14:paraId="29EFACAE" w14:textId="77777777" w:rsidR="000369CD" w:rsidRDefault="000369CD" w:rsidP="000369CD">
      <w:pPr>
        <w:pStyle w:val="Small"/>
        <w:ind w:left="288" w:hanging="288"/>
      </w:pPr>
      <w:r>
        <w:t>[17] National Institute of Standards and Technology, “The NIST Cybersecurity Framework (CSF) 2.0,” NIST CSWP 29, Feb. 2024.</w:t>
      </w:r>
    </w:p>
    <w:p w14:paraId="00B931F3" w14:textId="77777777" w:rsidR="00A06973" w:rsidRPr="000369CD" w:rsidRDefault="00A06973" w:rsidP="00A06973">
      <w:pPr>
        <w:tabs>
          <w:tab w:val="left" w:pos="2400"/>
        </w:tabs>
        <w:rPr>
          <w:b/>
          <w:bCs/>
          <w:sz w:val="28"/>
          <w:szCs w:val="26"/>
          <w:lang w:val="en-US"/>
        </w:rPr>
      </w:pPr>
    </w:p>
    <w:p w14:paraId="510A54E9" w14:textId="77777777" w:rsidR="00A06973" w:rsidRDefault="00A06973" w:rsidP="001C4AFE">
      <w:pPr>
        <w:rPr>
          <w:b/>
          <w:bCs/>
          <w:sz w:val="28"/>
          <w:szCs w:val="26"/>
        </w:rPr>
      </w:pPr>
    </w:p>
    <w:p w14:paraId="03496557" w14:textId="77777777" w:rsidR="00A06973" w:rsidRDefault="00A06973" w:rsidP="001C4AFE">
      <w:pPr>
        <w:rPr>
          <w:b/>
          <w:bCs/>
          <w:sz w:val="28"/>
          <w:szCs w:val="26"/>
        </w:rPr>
      </w:pPr>
    </w:p>
    <w:p w14:paraId="626FC6E8" w14:textId="77777777" w:rsidR="00A06973" w:rsidRDefault="00A06973" w:rsidP="001C4AFE">
      <w:pPr>
        <w:rPr>
          <w:b/>
          <w:bCs/>
          <w:sz w:val="28"/>
          <w:szCs w:val="26"/>
        </w:rPr>
      </w:pPr>
    </w:p>
    <w:p w14:paraId="1AB03A2A" w14:textId="77777777" w:rsidR="00A06973" w:rsidRDefault="00A06973" w:rsidP="001C4AFE">
      <w:pPr>
        <w:rPr>
          <w:b/>
          <w:bCs/>
          <w:sz w:val="28"/>
          <w:szCs w:val="26"/>
        </w:rPr>
      </w:pPr>
    </w:p>
    <w:p w14:paraId="16FB9918" w14:textId="77777777" w:rsidR="00A06973" w:rsidRDefault="00A06973" w:rsidP="001C4AFE">
      <w:pPr>
        <w:rPr>
          <w:b/>
          <w:bCs/>
          <w:sz w:val="28"/>
          <w:szCs w:val="26"/>
        </w:rPr>
      </w:pPr>
    </w:p>
    <w:p w14:paraId="63A2DD45" w14:textId="77777777" w:rsidR="00444179" w:rsidRDefault="00444179" w:rsidP="001C4AFE"/>
    <w:p w14:paraId="435C360F" w14:textId="77777777" w:rsidR="00444179" w:rsidRDefault="00444179" w:rsidP="001C4AFE"/>
    <w:p w14:paraId="6EDEDFEE" w14:textId="77777777" w:rsidR="00444179" w:rsidRDefault="00444179" w:rsidP="001C4AFE"/>
    <w:p w14:paraId="2D9365CD" w14:textId="77777777" w:rsidR="00444179" w:rsidRDefault="00444179" w:rsidP="001C4AFE"/>
    <w:p w14:paraId="628E97A7" w14:textId="77777777" w:rsidR="00444179" w:rsidRDefault="00444179" w:rsidP="001C4AFE"/>
    <w:p w14:paraId="6A2D1DE4" w14:textId="77777777" w:rsidR="00444179" w:rsidRDefault="00444179" w:rsidP="001C4AFE"/>
    <w:p w14:paraId="4AC9242E" w14:textId="77777777" w:rsidR="00444179" w:rsidRDefault="00444179" w:rsidP="001C4AFE"/>
    <w:p w14:paraId="74F1A6A6" w14:textId="77777777" w:rsidR="00444179" w:rsidRDefault="00444179" w:rsidP="001C4AFE"/>
    <w:p w14:paraId="279D634E" w14:textId="77777777" w:rsidR="00444179" w:rsidRDefault="00444179" w:rsidP="001C4AFE"/>
    <w:p w14:paraId="414BAB36" w14:textId="77777777" w:rsidR="00444179" w:rsidRDefault="00444179" w:rsidP="001C4AFE"/>
    <w:p w14:paraId="41314C51" w14:textId="77777777" w:rsidR="00444179" w:rsidRDefault="00444179" w:rsidP="001C4AFE"/>
    <w:p w14:paraId="62A89810" w14:textId="77777777" w:rsidR="00444179" w:rsidRPr="005C760E" w:rsidRDefault="00444179" w:rsidP="001C4AFE"/>
    <w:sectPr w:rsidR="00444179" w:rsidRPr="005C760E" w:rsidSect="00444179">
      <w:type w:val="continuous"/>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EDDFCA1" w14:textId="77777777" w:rsidR="002B05ED" w:rsidRDefault="002B05ED" w:rsidP="006831A7">
      <w:pPr>
        <w:spacing w:after="0" w:line="240" w:lineRule="auto"/>
      </w:pPr>
      <w:r>
        <w:separator/>
      </w:r>
    </w:p>
  </w:endnote>
  <w:endnote w:type="continuationSeparator" w:id="0">
    <w:p w14:paraId="6B6AAEB0" w14:textId="77777777" w:rsidR="002B05ED" w:rsidRDefault="002B05ED" w:rsidP="00683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241B975" w14:textId="77777777" w:rsidR="002B05ED" w:rsidRDefault="002B05ED" w:rsidP="006831A7">
      <w:pPr>
        <w:spacing w:after="0" w:line="240" w:lineRule="auto"/>
      </w:pPr>
      <w:r>
        <w:separator/>
      </w:r>
    </w:p>
  </w:footnote>
  <w:footnote w:type="continuationSeparator" w:id="0">
    <w:p w14:paraId="545B7C24" w14:textId="77777777" w:rsidR="002B05ED" w:rsidRDefault="002B05ED" w:rsidP="006831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936D01"/>
    <w:multiLevelType w:val="hybridMultilevel"/>
    <w:tmpl w:val="FEB05F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7250090">
    <w:abstractNumId w:val="0"/>
  </w:num>
  <w:num w:numId="2" w16cid:durableId="727726044">
    <w:abstractNumId w:val="1"/>
  </w:num>
  <w:num w:numId="3" w16cid:durableId="2069302122">
    <w:abstractNumId w:val="2"/>
  </w:num>
  <w:num w:numId="4" w16cid:durableId="1551065031">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369CD"/>
    <w:rsid w:val="000473C3"/>
    <w:rsid w:val="00091347"/>
    <w:rsid w:val="000956D7"/>
    <w:rsid w:val="00122B06"/>
    <w:rsid w:val="0014222E"/>
    <w:rsid w:val="00145087"/>
    <w:rsid w:val="0019430C"/>
    <w:rsid w:val="001C4AFE"/>
    <w:rsid w:val="002674BA"/>
    <w:rsid w:val="00286D4B"/>
    <w:rsid w:val="002B05ED"/>
    <w:rsid w:val="00444179"/>
    <w:rsid w:val="004A1A34"/>
    <w:rsid w:val="00503654"/>
    <w:rsid w:val="005111D8"/>
    <w:rsid w:val="0054798F"/>
    <w:rsid w:val="00574A9B"/>
    <w:rsid w:val="005C760E"/>
    <w:rsid w:val="00666CCA"/>
    <w:rsid w:val="006831A7"/>
    <w:rsid w:val="006A24E4"/>
    <w:rsid w:val="007019BC"/>
    <w:rsid w:val="007E6721"/>
    <w:rsid w:val="00851247"/>
    <w:rsid w:val="00852025"/>
    <w:rsid w:val="009C07A5"/>
    <w:rsid w:val="00A06973"/>
    <w:rsid w:val="00A477F4"/>
    <w:rsid w:val="00A52B06"/>
    <w:rsid w:val="00A93841"/>
    <w:rsid w:val="00AC015C"/>
    <w:rsid w:val="00AC097B"/>
    <w:rsid w:val="00BA4598"/>
    <w:rsid w:val="00C25599"/>
    <w:rsid w:val="00C60981"/>
    <w:rsid w:val="00D86293"/>
    <w:rsid w:val="00DD068B"/>
    <w:rsid w:val="00E02627"/>
    <w:rsid w:val="00E83B0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4FDB3"/>
  <w15:chartTrackingRefBased/>
  <w15:docId w15:val="{A6F751A7-7A00-4975-BB85-59EBA69F2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6A24E4"/>
    <w:pPr>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851247"/>
    <w:pPr>
      <w:jc w:val="left"/>
      <w:outlineLvl w:val="0"/>
    </w:pPr>
    <w:rPr>
      <w:rFonts w:eastAsia="Times New Roman"/>
      <w:b/>
      <w:bCs/>
      <w:color w:val="000000"/>
      <w:sz w:val="32"/>
    </w:rPr>
  </w:style>
  <w:style w:type="paragraph" w:styleId="Heading2">
    <w:name w:val="heading 2"/>
    <w:basedOn w:val="Heading1"/>
    <w:next w:val="Normal"/>
    <w:link w:val="Heading2Char"/>
    <w:uiPriority w:val="9"/>
    <w:unhideWhenUsed/>
    <w:qFormat/>
    <w:rsid w:val="000369CD"/>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2"/>
      </w:numPr>
      <w:jc w:val="left"/>
    </w:pPr>
    <w:rPr>
      <w:sz w:val="20"/>
      <w:szCs w:val="20"/>
    </w:rPr>
  </w:style>
  <w:style w:type="paragraph" w:customStyle="1" w:styleId="SubSubH">
    <w:name w:val="SubSubH"/>
    <w:basedOn w:val="ListParagraph"/>
    <w:link w:val="SubSubHChar"/>
    <w:qFormat/>
    <w:rsid w:val="005C760E"/>
    <w:pPr>
      <w:numPr>
        <w:numId w:val="3"/>
      </w:numPr>
      <w:ind w:left="1080"/>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paragraph" w:customStyle="1" w:styleId="SMUNORMALARIAL">
    <w:name w:val="SMU NORMAL ARIAL"/>
    <w:basedOn w:val="Normal"/>
    <w:qFormat/>
    <w:rsid w:val="00444179"/>
    <w:pPr>
      <w:spacing w:after="0" w:line="240" w:lineRule="auto"/>
      <w:jc w:val="left"/>
    </w:pPr>
    <w:rPr>
      <w:rFonts w:ascii="Arial" w:eastAsia="Times New Roman" w:hAnsi="Arial" w:cs="Times New Roman"/>
      <w:color w:val="00000A"/>
      <w:sz w:val="22"/>
      <w:szCs w:val="24"/>
      <w:lang w:eastAsia="en-GB"/>
    </w:rPr>
  </w:style>
  <w:style w:type="paragraph" w:styleId="Header">
    <w:name w:val="header"/>
    <w:basedOn w:val="Normal"/>
    <w:link w:val="HeaderChar"/>
    <w:uiPriority w:val="99"/>
    <w:unhideWhenUsed/>
    <w:rsid w:val="00683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1A7"/>
    <w:rPr>
      <w:rFonts w:ascii="Times New Roman" w:eastAsiaTheme="minorEastAsia" w:hAnsi="Times New Roman"/>
      <w:sz w:val="24"/>
    </w:rPr>
  </w:style>
  <w:style w:type="paragraph" w:styleId="Footer">
    <w:name w:val="footer"/>
    <w:basedOn w:val="Normal"/>
    <w:link w:val="FooterChar"/>
    <w:uiPriority w:val="99"/>
    <w:unhideWhenUsed/>
    <w:rsid w:val="00683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1A7"/>
    <w:rPr>
      <w:rFonts w:ascii="Times New Roman" w:eastAsiaTheme="minorEastAsia" w:hAnsi="Times New Roman"/>
      <w:sz w:val="24"/>
    </w:rPr>
  </w:style>
  <w:style w:type="character" w:customStyle="1" w:styleId="Heading1Char">
    <w:name w:val="Heading 1 Char"/>
    <w:basedOn w:val="DefaultParagraphFont"/>
    <w:link w:val="Heading1"/>
    <w:uiPriority w:val="9"/>
    <w:rsid w:val="00851247"/>
    <w:rPr>
      <w:rFonts w:ascii="Times New Roman" w:eastAsia="Times New Roman" w:hAnsi="Times New Roman"/>
      <w:b/>
      <w:bCs/>
      <w:color w:val="000000"/>
      <w:sz w:val="32"/>
    </w:rPr>
  </w:style>
  <w:style w:type="paragraph" w:styleId="TOCHeading">
    <w:name w:val="TOC Heading"/>
    <w:basedOn w:val="Heading1"/>
    <w:next w:val="Normal"/>
    <w:uiPriority w:val="39"/>
    <w:unhideWhenUsed/>
    <w:qFormat/>
    <w:rsid w:val="00C25599"/>
    <w:pPr>
      <w:outlineLvl w:val="9"/>
    </w:pPr>
    <w:rPr>
      <w:lang w:val="en-US"/>
    </w:rPr>
  </w:style>
  <w:style w:type="paragraph" w:styleId="TOC1">
    <w:name w:val="toc 1"/>
    <w:basedOn w:val="Normal"/>
    <w:next w:val="Normal"/>
    <w:autoRedefine/>
    <w:uiPriority w:val="39"/>
    <w:unhideWhenUsed/>
    <w:rsid w:val="00C25599"/>
    <w:pPr>
      <w:spacing w:before="120" w:after="0"/>
      <w:jc w:val="left"/>
    </w:pPr>
    <w:rPr>
      <w:rFonts w:asciiTheme="minorHAnsi" w:hAnsiTheme="minorHAnsi" w:cstheme="minorHAnsi"/>
      <w:b/>
      <w:bCs/>
      <w:i/>
      <w:iCs/>
      <w:szCs w:val="28"/>
    </w:rPr>
  </w:style>
  <w:style w:type="character" w:customStyle="1" w:styleId="s1">
    <w:name w:val="s1"/>
    <w:basedOn w:val="DefaultParagraphFont"/>
    <w:rsid w:val="00852025"/>
  </w:style>
  <w:style w:type="character" w:customStyle="1" w:styleId="apple-converted-space">
    <w:name w:val="apple-converted-space"/>
    <w:basedOn w:val="DefaultParagraphFont"/>
    <w:rsid w:val="00852025"/>
  </w:style>
  <w:style w:type="paragraph" w:styleId="List">
    <w:name w:val="List"/>
    <w:basedOn w:val="Normal"/>
    <w:uiPriority w:val="99"/>
    <w:unhideWhenUsed/>
    <w:rsid w:val="00BA4598"/>
    <w:pPr>
      <w:spacing w:after="0" w:line="240" w:lineRule="auto"/>
      <w:ind w:left="360" w:hanging="360"/>
      <w:contextualSpacing/>
      <w:jc w:val="left"/>
    </w:pPr>
    <w:rPr>
      <w:sz w:val="20"/>
      <w:lang w:val="en-US"/>
    </w:rPr>
  </w:style>
  <w:style w:type="paragraph" w:customStyle="1" w:styleId="Small">
    <w:name w:val="Small"/>
    <w:rsid w:val="00A06973"/>
    <w:pPr>
      <w:spacing w:after="200" w:line="276" w:lineRule="auto"/>
    </w:pPr>
    <w:rPr>
      <w:rFonts w:ascii="Times New Roman" w:eastAsia="Times New Roman" w:hAnsi="Times New Roman"/>
      <w:color w:val="000000"/>
      <w:lang w:val="en-US"/>
    </w:rPr>
  </w:style>
  <w:style w:type="paragraph" w:styleId="TOC2">
    <w:name w:val="toc 2"/>
    <w:basedOn w:val="Normal"/>
    <w:next w:val="Normal"/>
    <w:autoRedefine/>
    <w:uiPriority w:val="39"/>
    <w:unhideWhenUsed/>
    <w:rsid w:val="00A06973"/>
    <w:pPr>
      <w:spacing w:before="120" w:after="0"/>
      <w:ind w:left="240"/>
      <w:jc w:val="left"/>
    </w:pPr>
    <w:rPr>
      <w:rFonts w:asciiTheme="minorHAnsi" w:hAnsiTheme="minorHAnsi" w:cstheme="minorHAnsi"/>
      <w:b/>
      <w:bCs/>
      <w:sz w:val="22"/>
      <w:szCs w:val="26"/>
    </w:rPr>
  </w:style>
  <w:style w:type="paragraph" w:styleId="TOC3">
    <w:name w:val="toc 3"/>
    <w:basedOn w:val="Normal"/>
    <w:next w:val="Normal"/>
    <w:autoRedefine/>
    <w:uiPriority w:val="39"/>
    <w:semiHidden/>
    <w:unhideWhenUsed/>
    <w:rsid w:val="00A06973"/>
    <w:pPr>
      <w:spacing w:after="0"/>
      <w:ind w:left="480"/>
      <w:jc w:val="left"/>
    </w:pPr>
    <w:rPr>
      <w:rFonts w:asciiTheme="minorHAnsi" w:hAnsiTheme="minorHAnsi" w:cstheme="minorHAnsi"/>
      <w:sz w:val="20"/>
      <w:szCs w:val="24"/>
    </w:rPr>
  </w:style>
  <w:style w:type="paragraph" w:styleId="TOC4">
    <w:name w:val="toc 4"/>
    <w:basedOn w:val="Normal"/>
    <w:next w:val="Normal"/>
    <w:autoRedefine/>
    <w:uiPriority w:val="39"/>
    <w:semiHidden/>
    <w:unhideWhenUsed/>
    <w:rsid w:val="00A06973"/>
    <w:pPr>
      <w:spacing w:after="0"/>
      <w:ind w:left="720"/>
      <w:jc w:val="left"/>
    </w:pPr>
    <w:rPr>
      <w:rFonts w:asciiTheme="minorHAnsi" w:hAnsiTheme="minorHAnsi" w:cstheme="minorHAnsi"/>
      <w:sz w:val="20"/>
      <w:szCs w:val="24"/>
    </w:rPr>
  </w:style>
  <w:style w:type="paragraph" w:styleId="TOC5">
    <w:name w:val="toc 5"/>
    <w:basedOn w:val="Normal"/>
    <w:next w:val="Normal"/>
    <w:autoRedefine/>
    <w:uiPriority w:val="39"/>
    <w:semiHidden/>
    <w:unhideWhenUsed/>
    <w:rsid w:val="00A06973"/>
    <w:pPr>
      <w:spacing w:after="0"/>
      <w:ind w:left="960"/>
      <w:jc w:val="left"/>
    </w:pPr>
    <w:rPr>
      <w:rFonts w:asciiTheme="minorHAnsi" w:hAnsiTheme="minorHAnsi" w:cstheme="minorHAnsi"/>
      <w:sz w:val="20"/>
      <w:szCs w:val="24"/>
    </w:rPr>
  </w:style>
  <w:style w:type="paragraph" w:styleId="TOC6">
    <w:name w:val="toc 6"/>
    <w:basedOn w:val="Normal"/>
    <w:next w:val="Normal"/>
    <w:autoRedefine/>
    <w:uiPriority w:val="39"/>
    <w:semiHidden/>
    <w:unhideWhenUsed/>
    <w:rsid w:val="00A06973"/>
    <w:pPr>
      <w:spacing w:after="0"/>
      <w:ind w:left="1200"/>
      <w:jc w:val="left"/>
    </w:pPr>
    <w:rPr>
      <w:rFonts w:asciiTheme="minorHAnsi" w:hAnsiTheme="minorHAnsi" w:cstheme="minorHAnsi"/>
      <w:sz w:val="20"/>
      <w:szCs w:val="24"/>
    </w:rPr>
  </w:style>
  <w:style w:type="paragraph" w:styleId="TOC7">
    <w:name w:val="toc 7"/>
    <w:basedOn w:val="Normal"/>
    <w:next w:val="Normal"/>
    <w:autoRedefine/>
    <w:uiPriority w:val="39"/>
    <w:semiHidden/>
    <w:unhideWhenUsed/>
    <w:rsid w:val="00A06973"/>
    <w:pPr>
      <w:spacing w:after="0"/>
      <w:ind w:left="1440"/>
      <w:jc w:val="left"/>
    </w:pPr>
    <w:rPr>
      <w:rFonts w:asciiTheme="minorHAnsi" w:hAnsiTheme="minorHAnsi" w:cstheme="minorHAnsi"/>
      <w:sz w:val="20"/>
      <w:szCs w:val="24"/>
    </w:rPr>
  </w:style>
  <w:style w:type="paragraph" w:styleId="TOC8">
    <w:name w:val="toc 8"/>
    <w:basedOn w:val="Normal"/>
    <w:next w:val="Normal"/>
    <w:autoRedefine/>
    <w:uiPriority w:val="39"/>
    <w:semiHidden/>
    <w:unhideWhenUsed/>
    <w:rsid w:val="00A06973"/>
    <w:pPr>
      <w:spacing w:after="0"/>
      <w:ind w:left="1680"/>
      <w:jc w:val="left"/>
    </w:pPr>
    <w:rPr>
      <w:rFonts w:asciiTheme="minorHAnsi" w:hAnsiTheme="minorHAnsi" w:cstheme="minorHAnsi"/>
      <w:sz w:val="20"/>
      <w:szCs w:val="24"/>
    </w:rPr>
  </w:style>
  <w:style w:type="paragraph" w:styleId="TOC9">
    <w:name w:val="toc 9"/>
    <w:basedOn w:val="Normal"/>
    <w:next w:val="Normal"/>
    <w:autoRedefine/>
    <w:uiPriority w:val="39"/>
    <w:semiHidden/>
    <w:unhideWhenUsed/>
    <w:rsid w:val="00A06973"/>
    <w:pPr>
      <w:spacing w:after="0"/>
      <w:ind w:left="1920"/>
      <w:jc w:val="left"/>
    </w:pPr>
    <w:rPr>
      <w:rFonts w:asciiTheme="minorHAnsi" w:hAnsiTheme="minorHAnsi" w:cstheme="minorHAnsi"/>
      <w:sz w:val="20"/>
      <w:szCs w:val="24"/>
    </w:rPr>
  </w:style>
  <w:style w:type="character" w:customStyle="1" w:styleId="Heading2Char">
    <w:name w:val="Heading 2 Char"/>
    <w:basedOn w:val="DefaultParagraphFont"/>
    <w:link w:val="Heading2"/>
    <w:uiPriority w:val="9"/>
    <w:rsid w:val="000369CD"/>
    <w:rPr>
      <w:rFonts w:ascii="Times New Roman" w:eastAsia="Times New Roman" w:hAnsi="Times New Roman" w:cstheme="majorBidi"/>
      <w:caps/>
      <w:color w:val="000000"/>
      <w:spacing w:val="-15"/>
      <w:sz w:val="32"/>
      <w:szCs w:val="72"/>
    </w:rPr>
  </w:style>
  <w:style w:type="paragraph" w:customStyle="1" w:styleId="p2">
    <w:name w:val="p2"/>
    <w:basedOn w:val="Normal"/>
    <w:rsid w:val="000369CD"/>
    <w:pPr>
      <w:spacing w:before="100" w:beforeAutospacing="1" w:after="100" w:afterAutospacing="1" w:line="240" w:lineRule="auto"/>
      <w:jc w:val="left"/>
    </w:pPr>
    <w:rPr>
      <w:rFonts w:eastAsia="Times New Roman" w:cs="Times New Roman"/>
      <w:szCs w:val="24"/>
      <w:lang w:eastAsia="en-GB"/>
    </w:rPr>
  </w:style>
  <w:style w:type="table" w:styleId="TableGrid">
    <w:name w:val="Table Grid"/>
    <w:basedOn w:val="TableNormal"/>
    <w:uiPriority w:val="59"/>
    <w:rsid w:val="000369CD"/>
    <w:pPr>
      <w:spacing w:after="0" w:line="240" w:lineRule="auto"/>
    </w:pPr>
    <w:rPr>
      <w:rFonts w:eastAsiaTheme="minorEastAsia"/>
      <w:color w:val="00000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ionX">
    <w:name w:val="CaptionX"/>
    <w:rsid w:val="000369CD"/>
    <w:pPr>
      <w:spacing w:after="200" w:line="276" w:lineRule="auto"/>
    </w:pPr>
    <w:rPr>
      <w:rFonts w:ascii="Times New Roman" w:eastAsia="Times New Roman" w:hAnsi="Times New Roman"/>
      <w:color w:val="000000"/>
      <w:sz w:val="20"/>
      <w:lang w:val="en-US"/>
    </w:rPr>
  </w:style>
  <w:style w:type="character" w:styleId="BookTitle">
    <w:name w:val="Book Title"/>
    <w:basedOn w:val="DefaultParagraphFont"/>
    <w:uiPriority w:val="33"/>
    <w:qFormat/>
    <w:rsid w:val="00503654"/>
    <w:rPr>
      <w:b/>
      <w:bCs/>
      <w:i/>
      <w:iCs/>
      <w:spacing w:val="5"/>
    </w:rPr>
  </w:style>
  <w:style w:type="paragraph" w:styleId="NoSpacing">
    <w:name w:val="No Spacing"/>
    <w:link w:val="NoSpacingChar"/>
    <w:uiPriority w:val="1"/>
    <w:qFormat/>
    <w:rsid w:val="00503654"/>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503654"/>
    <w:rPr>
      <w:rFonts w:eastAsiaTheme="minorEastAsia"/>
      <w:lang w:val="en-US" w:eastAsia="zh-CN"/>
    </w:rPr>
  </w:style>
  <w:style w:type="paragraph" w:customStyle="1" w:styleId="p1">
    <w:name w:val="p1"/>
    <w:basedOn w:val="Normal"/>
    <w:rsid w:val="00AC015C"/>
    <w:pPr>
      <w:spacing w:before="100" w:beforeAutospacing="1" w:after="100" w:afterAutospacing="1" w:line="240" w:lineRule="auto"/>
      <w:jc w:val="left"/>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2312694</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4D0B8D-AA9D-4896-8AC8-18D42D536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16</Pages>
  <Words>6361</Words>
  <Characters>36259</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DATA SECURITY AND COMPLIANCE</vt:lpstr>
    </vt:vector>
  </TitlesOfParts>
  <Company/>
  <LinksUpToDate>false</LinksUpToDate>
  <CharactersWithSpaces>42535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SECURITY AND COMPLIANCE</dc:title>
  <dc:subject>RESEARCH AND REPORT ON DATA AND COMPLIANCE</dc:subject>
  <dc:creator>Sarah Ismail</dc:creator>
  <cp:keywords/>
  <dc:description/>
  <cp:lastModifiedBy>Sarah Ismail (2312694)</cp:lastModifiedBy>
  <cp:revision>15</cp:revision>
  <dcterms:created xsi:type="dcterms:W3CDTF">2026-07-27T11:45:00Z</dcterms:created>
  <dcterms:modified xsi:type="dcterms:W3CDTF">2026-07-27T17:06:00Z</dcterms:modified>
</cp:coreProperties>
</file>