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A15F6" w14:textId="14662B5D" w:rsidR="008B72BD" w:rsidRPr="00AB4F02" w:rsidRDefault="008B72BD">
      <w:r w:rsidRPr="00AB4F02">
        <w:t>WHAT</w:t>
      </w:r>
    </w:p>
    <w:p w14:paraId="2FCF107C" w14:textId="0B1C4B1C" w:rsidR="00B43632" w:rsidRPr="00AB4F02" w:rsidRDefault="007B68A6">
      <w:r w:rsidRPr="00AB4F02">
        <w:t xml:space="preserve">The first 1000 days refers to the period from conception to a child's second birthday, spanning approximately 270 days of pregnancy and 730 days of early childhood (Australian Government, 2021). According to Australian </w:t>
      </w:r>
      <w:proofErr w:type="gramStart"/>
      <w:r w:rsidRPr="00AB4F02">
        <w:t>Government(</w:t>
      </w:r>
      <w:proofErr w:type="gramEnd"/>
      <w:r w:rsidRPr="00AB4F02">
        <w:t xml:space="preserve">2021), the first 1000 days are considered an extremely crucial timeframe for a child’s development, with profound impacts on a child’s future health, cognitive abilities, and overall well-being. According to </w:t>
      </w:r>
      <w:proofErr w:type="spellStart"/>
      <w:r w:rsidRPr="00AB4F02">
        <w:t>Karakochuk</w:t>
      </w:r>
      <w:proofErr w:type="spellEnd"/>
      <w:r w:rsidRPr="00AB4F02">
        <w:t xml:space="preserve"> et al. (2018), during this period a child’s brain undergoes rapid growth and development. The first 1000 days is categorised into three periods: Pregnancy, </w:t>
      </w:r>
      <w:proofErr w:type="gramStart"/>
      <w:r w:rsidRPr="00AB4F02">
        <w:t>Infancy</w:t>
      </w:r>
      <w:proofErr w:type="gramEnd"/>
      <w:r w:rsidRPr="00AB4F02">
        <w:t xml:space="preserve"> and toddler years. </w:t>
      </w:r>
    </w:p>
    <w:p w14:paraId="598D7140" w14:textId="77777777" w:rsidR="001158FA" w:rsidRPr="00AB4F02" w:rsidRDefault="001158FA" w:rsidP="001158FA">
      <w:pPr>
        <w:pStyle w:val="NormalWeb"/>
        <w:spacing w:before="0" w:beforeAutospacing="0" w:after="0" w:afterAutospacing="0"/>
        <w:rPr>
          <w:sz w:val="22"/>
          <w:szCs w:val="22"/>
        </w:rPr>
      </w:pPr>
      <w:r w:rsidRPr="00AB4F02">
        <w:rPr>
          <w:rFonts w:ascii="Calibri" w:eastAsia="+mn-ea" w:hAnsi="Calibri" w:cs="+mn-cs"/>
          <w:color w:val="000000"/>
          <w:kern w:val="24"/>
          <w:sz w:val="22"/>
          <w:szCs w:val="22"/>
        </w:rPr>
        <w:t xml:space="preserve">As stated by NHS (2023), pregnancy also has three developmental stages which are called trimesters. During the first trimester is when baby is conceived and the foetus’ circulatory system and heart starts to form, while </w:t>
      </w:r>
      <w:proofErr w:type="gramStart"/>
      <w:r w:rsidRPr="00AB4F02">
        <w:rPr>
          <w:rFonts w:ascii="Calibri" w:eastAsia="+mn-ea" w:hAnsi="Calibri" w:cs="+mn-cs"/>
          <w:color w:val="000000"/>
          <w:kern w:val="24"/>
          <w:sz w:val="22"/>
          <w:szCs w:val="22"/>
        </w:rPr>
        <w:t>later on</w:t>
      </w:r>
      <w:proofErr w:type="gramEnd"/>
      <w:r w:rsidRPr="00AB4F02">
        <w:rPr>
          <w:rFonts w:ascii="Calibri" w:eastAsia="+mn-ea" w:hAnsi="Calibri" w:cs="+mn-cs"/>
          <w:color w:val="000000"/>
          <w:kern w:val="24"/>
          <w:sz w:val="22"/>
          <w:szCs w:val="22"/>
        </w:rPr>
        <w:t xml:space="preserve"> in this trimester baby starts to develop their arms and legs NHS (2023). Moving onto the second trimester, this is when baby is starting to settle, and mother could start feeling the baby move (NHS,2023). The third trimester is when baby is about ready to be born according to NHS (2023).</w:t>
      </w:r>
    </w:p>
    <w:p w14:paraId="223E77CC" w14:textId="77777777" w:rsidR="001158FA" w:rsidRPr="00AB4F02" w:rsidRDefault="001158FA" w:rsidP="001158FA">
      <w:pPr>
        <w:pStyle w:val="NormalWeb"/>
        <w:spacing w:before="0" w:beforeAutospacing="0" w:after="0" w:afterAutospacing="0"/>
        <w:rPr>
          <w:sz w:val="22"/>
          <w:szCs w:val="22"/>
        </w:rPr>
      </w:pPr>
      <w:r w:rsidRPr="00AB4F02">
        <w:rPr>
          <w:rFonts w:ascii="Calibri" w:eastAsia="+mn-ea" w:hAnsi="Calibri" w:cs="+mn-cs"/>
          <w:color w:val="000000"/>
          <w:kern w:val="24"/>
          <w:sz w:val="22"/>
          <w:szCs w:val="22"/>
        </w:rPr>
        <w:t xml:space="preserve">Infancy is once to baby is born to about one years old (Nationwide Children’s Hospital, 2022).  According to Brodie (2018), in this period, an infant begins to develop cognitively, </w:t>
      </w:r>
      <w:proofErr w:type="gramStart"/>
      <w:r w:rsidRPr="00AB4F02">
        <w:rPr>
          <w:rFonts w:ascii="Calibri" w:eastAsia="+mn-ea" w:hAnsi="Calibri" w:cs="+mn-cs"/>
          <w:color w:val="000000"/>
          <w:kern w:val="24"/>
          <w:sz w:val="22"/>
          <w:szCs w:val="22"/>
        </w:rPr>
        <w:t>physically</w:t>
      </w:r>
      <w:proofErr w:type="gramEnd"/>
      <w:r w:rsidRPr="00AB4F02">
        <w:rPr>
          <w:rFonts w:ascii="Calibri" w:eastAsia="+mn-ea" w:hAnsi="Calibri" w:cs="+mn-cs"/>
          <w:color w:val="000000"/>
          <w:kern w:val="24"/>
          <w:sz w:val="22"/>
          <w:szCs w:val="22"/>
        </w:rPr>
        <w:t xml:space="preserve"> and emotionally. For example, at 2 months old a baby begins to develop physically by being able to briefly hold objects once placed in their hands. Which later develops to chewing on objects and recognising their own hands when they reach about 4 months (Brodie, 2018).</w:t>
      </w:r>
    </w:p>
    <w:p w14:paraId="518694E4" w14:textId="77777777" w:rsidR="001158FA" w:rsidRPr="00AB4F02" w:rsidRDefault="001158FA" w:rsidP="001158FA">
      <w:pPr>
        <w:pStyle w:val="NormalWeb"/>
        <w:spacing w:before="0" w:beforeAutospacing="0" w:after="0" w:afterAutospacing="0"/>
        <w:rPr>
          <w:sz w:val="22"/>
          <w:szCs w:val="22"/>
        </w:rPr>
      </w:pPr>
      <w:r w:rsidRPr="00AB4F02">
        <w:rPr>
          <w:rFonts w:ascii="Calibri" w:eastAsia="+mn-ea" w:hAnsi="Calibri" w:cs="+mn-cs"/>
          <w:color w:val="000000"/>
          <w:kern w:val="24"/>
          <w:sz w:val="22"/>
          <w:szCs w:val="22"/>
        </w:rPr>
        <w:t>Finally, the toddler years is the period between infancy and early childhood (</w:t>
      </w:r>
      <w:proofErr w:type="spellStart"/>
      <w:r w:rsidRPr="00AB4F02">
        <w:rPr>
          <w:rFonts w:ascii="Calibri" w:eastAsia="+mn-ea" w:hAnsi="Calibri" w:cs="+mn-cs"/>
          <w:color w:val="000000"/>
          <w:kern w:val="24"/>
          <w:sz w:val="22"/>
          <w:szCs w:val="22"/>
        </w:rPr>
        <w:t>Karakochuk</w:t>
      </w:r>
      <w:proofErr w:type="spellEnd"/>
      <w:r w:rsidRPr="00AB4F02">
        <w:rPr>
          <w:rFonts w:ascii="Calibri" w:eastAsia="+mn-ea" w:hAnsi="Calibri" w:cs="+mn-cs"/>
          <w:color w:val="000000"/>
          <w:kern w:val="24"/>
          <w:sz w:val="22"/>
          <w:szCs w:val="22"/>
        </w:rPr>
        <w:t xml:space="preserve"> </w:t>
      </w:r>
      <w:proofErr w:type="gramStart"/>
      <w:r w:rsidRPr="00AB4F02">
        <w:rPr>
          <w:rFonts w:ascii="Calibri" w:eastAsia="+mn-ea" w:hAnsi="Calibri" w:cs="+mn-cs"/>
          <w:color w:val="000000"/>
          <w:kern w:val="24"/>
          <w:sz w:val="22"/>
          <w:szCs w:val="22"/>
        </w:rPr>
        <w:t>et al. ,</w:t>
      </w:r>
      <w:proofErr w:type="gramEnd"/>
      <w:r w:rsidRPr="00AB4F02">
        <w:rPr>
          <w:rFonts w:ascii="Calibri" w:eastAsia="+mn-ea" w:hAnsi="Calibri" w:cs="+mn-cs"/>
          <w:color w:val="000000"/>
          <w:kern w:val="24"/>
          <w:sz w:val="22"/>
          <w:szCs w:val="22"/>
        </w:rPr>
        <w:t xml:space="preserve"> 2018). According to Brodie (2018), this period is crucial for a child’s development. </w:t>
      </w:r>
      <w:proofErr w:type="gramStart"/>
      <w:r w:rsidRPr="00AB4F02">
        <w:rPr>
          <w:rFonts w:ascii="Calibri" w:eastAsia="+mn-ea" w:hAnsi="Calibri" w:cs="+mn-cs"/>
          <w:color w:val="000000"/>
          <w:kern w:val="24"/>
          <w:sz w:val="22"/>
          <w:szCs w:val="22"/>
        </w:rPr>
        <w:t>In view of the fact that</w:t>
      </w:r>
      <w:proofErr w:type="gramEnd"/>
      <w:r w:rsidRPr="00AB4F02">
        <w:rPr>
          <w:rFonts w:ascii="Calibri" w:eastAsia="+mn-ea" w:hAnsi="Calibri" w:cs="+mn-cs"/>
          <w:color w:val="000000"/>
          <w:kern w:val="24"/>
          <w:sz w:val="22"/>
          <w:szCs w:val="22"/>
        </w:rPr>
        <w:t xml:space="preserve"> at this stage, children develop memory, language, imagination and fine motor skills. While also seeking independence and developing strong bonds with loved ones (Brodie, 2018). </w:t>
      </w:r>
    </w:p>
    <w:p w14:paraId="5BABBE32" w14:textId="77777777" w:rsidR="001158FA" w:rsidRPr="00AB4F02" w:rsidRDefault="001158FA"/>
    <w:p w14:paraId="5CA45F46" w14:textId="21DFF31F" w:rsidR="00C42FB5" w:rsidRPr="00AB4F02" w:rsidRDefault="008B72BD">
      <w:r w:rsidRPr="00AB4F02">
        <w:t>WHY</w:t>
      </w:r>
    </w:p>
    <w:p w14:paraId="49BF68AE" w14:textId="77777777" w:rsidR="00C42FB5" w:rsidRPr="00AB4F02" w:rsidRDefault="00C42FB5" w:rsidP="00C42FB5">
      <w:pPr>
        <w:pStyle w:val="NormalWeb"/>
        <w:spacing w:before="0" w:beforeAutospacing="0" w:after="0" w:afterAutospacing="0"/>
        <w:rPr>
          <w:sz w:val="22"/>
          <w:szCs w:val="22"/>
        </w:rPr>
      </w:pPr>
      <w:r w:rsidRPr="00AB4F02">
        <w:rPr>
          <w:rFonts w:ascii="Calibri" w:eastAsia="+mn-ea" w:hAnsi="Calibri" w:cs="+mn-cs"/>
          <w:color w:val="2F5597"/>
          <w:kern w:val="24"/>
          <w:sz w:val="22"/>
          <w:szCs w:val="22"/>
        </w:rPr>
        <w:t xml:space="preserve">According to Australian </w:t>
      </w:r>
      <w:proofErr w:type="gramStart"/>
      <w:r w:rsidRPr="00AB4F02">
        <w:rPr>
          <w:rFonts w:ascii="Calibri" w:eastAsia="+mn-ea" w:hAnsi="Calibri" w:cs="+mn-cs"/>
          <w:color w:val="2F5597"/>
          <w:kern w:val="24"/>
          <w:sz w:val="22"/>
          <w:szCs w:val="22"/>
        </w:rPr>
        <w:t>Government(</w:t>
      </w:r>
      <w:proofErr w:type="gramEnd"/>
      <w:r w:rsidRPr="00AB4F02">
        <w:rPr>
          <w:rFonts w:ascii="Calibri" w:eastAsia="+mn-ea" w:hAnsi="Calibri" w:cs="+mn-cs"/>
          <w:color w:val="2F5597"/>
          <w:kern w:val="24"/>
          <w:sz w:val="22"/>
          <w:szCs w:val="22"/>
        </w:rPr>
        <w:t>2021), the first 1000 days are considered an extremely crucial timeframe for a child’s development, with profound impacts on a child’s future health, cognitive abilities, and overall well-being.</w:t>
      </w:r>
    </w:p>
    <w:p w14:paraId="4F1FBE91" w14:textId="77777777" w:rsidR="00C42FB5" w:rsidRPr="00AB4F02" w:rsidRDefault="00C42FB5" w:rsidP="00C42FB5">
      <w:pPr>
        <w:pStyle w:val="NormalWeb"/>
        <w:spacing w:before="0" w:beforeAutospacing="0" w:after="0" w:afterAutospacing="0"/>
        <w:rPr>
          <w:sz w:val="22"/>
          <w:szCs w:val="22"/>
        </w:rPr>
      </w:pPr>
      <w:r w:rsidRPr="00AB4F02">
        <w:rPr>
          <w:rFonts w:ascii="Calibri" w:eastAsia="+mn-ea" w:hAnsi="Calibri" w:cs="+mn-cs"/>
          <w:color w:val="2F5597"/>
          <w:kern w:val="24"/>
          <w:sz w:val="22"/>
          <w:szCs w:val="22"/>
        </w:rPr>
        <w:t>During pregnancy, maternal health and nutrition play a significant role in foetal development (Australian Government, 2021). According to Australian Government (2021), nutrition, stress management, avoiding harmful substances, and environmental factors are key aspects of pregnancy as it allows mothers to lay a strong foundation of their child’s health and development. For example, by ensuring proper nutrition and care during pregnancy and early childhood, the mother is reducing the risk of obesity or type 2 diabetes (</w:t>
      </w:r>
      <w:proofErr w:type="spellStart"/>
      <w:r w:rsidRPr="00AB4F02">
        <w:rPr>
          <w:rFonts w:ascii="Calibri" w:eastAsia="+mn-ea" w:hAnsi="Calibri" w:cs="+mn-cs"/>
          <w:color w:val="2F5597"/>
          <w:kern w:val="24"/>
          <w:sz w:val="22"/>
          <w:szCs w:val="22"/>
        </w:rPr>
        <w:t>Likhar</w:t>
      </w:r>
      <w:proofErr w:type="spellEnd"/>
      <w:r w:rsidRPr="00AB4F02">
        <w:rPr>
          <w:rFonts w:ascii="Calibri" w:eastAsia="+mn-ea" w:hAnsi="Calibri" w:cs="+mn-cs"/>
          <w:color w:val="2F5597"/>
          <w:kern w:val="24"/>
          <w:sz w:val="22"/>
          <w:szCs w:val="22"/>
        </w:rPr>
        <w:t xml:space="preserve"> and Patil 2022).  </w:t>
      </w:r>
    </w:p>
    <w:p w14:paraId="0FDEA070" w14:textId="77777777" w:rsidR="00C42FB5" w:rsidRPr="00AB4F02" w:rsidRDefault="00C42FB5" w:rsidP="00C42FB5">
      <w:pPr>
        <w:pStyle w:val="NormalWeb"/>
        <w:spacing w:before="0" w:beforeAutospacing="0" w:after="0" w:afterAutospacing="0"/>
        <w:rPr>
          <w:sz w:val="22"/>
          <w:szCs w:val="22"/>
        </w:rPr>
      </w:pPr>
      <w:r w:rsidRPr="00AB4F02">
        <w:rPr>
          <w:rFonts w:ascii="Calibri" w:eastAsia="+mn-ea" w:hAnsi="Calibri" w:cs="+mn-cs"/>
          <w:color w:val="2F5597"/>
          <w:kern w:val="24"/>
          <w:sz w:val="22"/>
          <w:szCs w:val="22"/>
        </w:rPr>
        <w:t xml:space="preserve">According to Brodie (2018), it is vitally important to engage with children at all stages of their first 1000 days. Brodie (2018) explains, this is when emotional development begins, while forming attachments and learning to manage and recognise feelings and emotions. Agreeing with Brodie (2018), Bowlby (1979) believes a secure attachment provides children with </w:t>
      </w:r>
      <w:proofErr w:type="spellStart"/>
      <w:r w:rsidRPr="00AB4F02">
        <w:rPr>
          <w:rFonts w:ascii="Calibri" w:eastAsia="+mn-ea" w:hAnsi="Calibri" w:cs="+mn-cs"/>
          <w:color w:val="2F5597"/>
          <w:kern w:val="24"/>
          <w:sz w:val="22"/>
          <w:szCs w:val="22"/>
        </w:rPr>
        <w:t>at</w:t>
      </w:r>
      <w:proofErr w:type="spellEnd"/>
      <w:r w:rsidRPr="00AB4F02">
        <w:rPr>
          <w:rFonts w:ascii="Calibri" w:eastAsia="+mn-ea" w:hAnsi="Calibri" w:cs="+mn-cs"/>
          <w:color w:val="2F5597"/>
          <w:kern w:val="24"/>
          <w:sz w:val="22"/>
          <w:szCs w:val="22"/>
        </w:rPr>
        <w:t xml:space="preserve"> sense of trust and stability, enabling them to explore the world and build healthy relationships. </w:t>
      </w:r>
    </w:p>
    <w:p w14:paraId="6ABDA168" w14:textId="77777777" w:rsidR="00C42FB5" w:rsidRPr="00AB4F02" w:rsidRDefault="00C42FB5" w:rsidP="00C42FB5">
      <w:pPr>
        <w:pStyle w:val="NormalWeb"/>
        <w:spacing w:before="0" w:beforeAutospacing="0" w:after="0" w:afterAutospacing="0"/>
        <w:rPr>
          <w:sz w:val="22"/>
          <w:szCs w:val="22"/>
        </w:rPr>
      </w:pPr>
      <w:r w:rsidRPr="00AB4F02">
        <w:rPr>
          <w:rFonts w:ascii="Calibri" w:eastAsia="+mn-ea" w:hAnsi="Calibri" w:cs="+mn-cs"/>
          <w:color w:val="2F5597"/>
          <w:kern w:val="24"/>
          <w:sz w:val="22"/>
          <w:szCs w:val="22"/>
        </w:rPr>
        <w:t xml:space="preserve">As a practitioner, it is highly important to ensure babies and children receive positive experiences within the setting. While also working </w:t>
      </w:r>
      <w:proofErr w:type="spellStart"/>
      <w:r w:rsidRPr="00AB4F02">
        <w:rPr>
          <w:rFonts w:ascii="Calibri" w:eastAsia="+mn-ea" w:hAnsi="Calibri" w:cs="+mn-cs"/>
          <w:color w:val="2F5597"/>
          <w:kern w:val="24"/>
          <w:sz w:val="22"/>
          <w:szCs w:val="22"/>
        </w:rPr>
        <w:t>along side</w:t>
      </w:r>
      <w:proofErr w:type="spellEnd"/>
      <w:r w:rsidRPr="00AB4F02">
        <w:rPr>
          <w:rFonts w:ascii="Calibri" w:eastAsia="+mn-ea" w:hAnsi="Calibri" w:cs="+mn-cs"/>
          <w:color w:val="2F5597"/>
          <w:kern w:val="24"/>
          <w:sz w:val="22"/>
          <w:szCs w:val="22"/>
        </w:rPr>
        <w:t xml:space="preserve"> parents to ensure children are given the best possible start in life. Because this sets a foundation for success in beginning school and building relationships (Brodie,2018).   </w:t>
      </w:r>
    </w:p>
    <w:p w14:paraId="63344926" w14:textId="77777777" w:rsidR="00C42FB5" w:rsidRPr="00AB4F02" w:rsidRDefault="00C42FB5"/>
    <w:p w14:paraId="61107F05" w14:textId="0C6EA1D0" w:rsidR="00125332" w:rsidRPr="00AB4F02" w:rsidRDefault="0033392C">
      <w:r w:rsidRPr="00AB4F02">
        <w:t>Exceptional caregiving</w:t>
      </w:r>
    </w:p>
    <w:p w14:paraId="672A7378" w14:textId="77777777" w:rsidR="00822B26" w:rsidRPr="00AB4F02" w:rsidRDefault="00822B26" w:rsidP="0033392C">
      <w:pPr>
        <w:spacing w:after="0" w:line="240" w:lineRule="auto"/>
        <w:rPr>
          <w:rFonts w:eastAsiaTheme="minorEastAsia" w:hAnsi="Calibri"/>
          <w:color w:val="000000" w:themeColor="text1"/>
          <w:kern w:val="24"/>
          <w:lang w:eastAsia="en-GB"/>
        </w:rPr>
      </w:pPr>
      <w:r w:rsidRPr="00822B26">
        <w:rPr>
          <w:rFonts w:eastAsiaTheme="minorEastAsia" w:hAnsi="Calibri"/>
          <w:color w:val="000000" w:themeColor="text1"/>
          <w:kern w:val="24"/>
          <w:lang w:eastAsia="en-GB"/>
        </w:rPr>
        <w:t xml:space="preserve">According to Bayat (2017), exceptional care giving in an early years and educational setting refers to practitioners ensuring and providing high quality and responsive care in which supports the holistic </w:t>
      </w:r>
      <w:r w:rsidRPr="00822B26">
        <w:rPr>
          <w:rFonts w:eastAsiaTheme="minorEastAsia" w:hAnsi="Calibri"/>
          <w:color w:val="000000" w:themeColor="text1"/>
          <w:kern w:val="24"/>
          <w:lang w:eastAsia="en-GB"/>
        </w:rPr>
        <w:lastRenderedPageBreak/>
        <w:t xml:space="preserve">development of children. Going beyond basic needs, practitioners must focus on building secure relationships while also creating an environment where children feel safe and valued (Bayat, 2017).    </w:t>
      </w:r>
    </w:p>
    <w:p w14:paraId="166A3C2C" w14:textId="77777777" w:rsidR="009514C0" w:rsidRPr="00AB4F02" w:rsidRDefault="009514C0" w:rsidP="0033392C">
      <w:pPr>
        <w:spacing w:after="0" w:line="240" w:lineRule="auto"/>
        <w:rPr>
          <w:rFonts w:eastAsiaTheme="minorEastAsia" w:hAnsi="Calibri"/>
          <w:color w:val="000000" w:themeColor="text1"/>
          <w:kern w:val="24"/>
          <w:lang w:eastAsia="en-GB"/>
        </w:rPr>
      </w:pPr>
    </w:p>
    <w:p w14:paraId="1CF5977E" w14:textId="0CFE4369" w:rsidR="00125332" w:rsidRPr="00AB4F02" w:rsidRDefault="00417863">
      <w:r w:rsidRPr="00AB4F02">
        <w:t xml:space="preserve">According to Johnson and Watts (2019), providing learning opportunities and exceptional care giving go </w:t>
      </w:r>
      <w:proofErr w:type="gramStart"/>
      <w:r w:rsidRPr="00AB4F02">
        <w:t>hand-in-hand</w:t>
      </w:r>
      <w:proofErr w:type="gramEnd"/>
      <w:r w:rsidRPr="00AB4F02">
        <w:t xml:space="preserve">, both significantly contributing to a child’s holistic development. Opportunities for learning in an </w:t>
      </w:r>
      <w:proofErr w:type="gramStart"/>
      <w:r w:rsidRPr="00AB4F02">
        <w:t>early years</w:t>
      </w:r>
      <w:proofErr w:type="gramEnd"/>
      <w:r w:rsidRPr="00AB4F02">
        <w:t xml:space="preserve"> setting consists of a variety of experiences, activities, and social interactions in which contribute to the development of a child’s essential emotional, cognitive and physical skills (Johnson and Watts, 2019). These opportunities could include play-based learning, for example role play or building blocks. According to Johnson and Watts (2019), play-based learning is fundamental in early childhood as it allows children to explore the world around them, allowing them to express themselves and experiment. Agreeing with Johnson and Watts (2019) is Bayat (2017), as she believes children with additional learning needs benefit greatly from opportunities like play-based learning, as it maximizes the potential for independence by giving them an opportunity to make their own decisions. Another learning opportunity for young children is story-telling and conversational exchanges. According to Bayat (2017), experiences like this allow children to further their language and communication skills by widening their vocabulary and developing comprehension and imagination. As a practitioner, it is vital to ensure inclusive and diverse learning experiences by creating stimulating environments that promote discovery and to support children with their individual needs and interests, tailoring activities to each child’s developmental stage (Johnson and Watts, 2019).  </w:t>
      </w:r>
    </w:p>
    <w:p w14:paraId="5F01E2E0" w14:textId="77777777" w:rsidR="00C15B7A" w:rsidRPr="00AB4F02" w:rsidRDefault="00C15B7A"/>
    <w:p w14:paraId="7CE59595" w14:textId="4190DF2C" w:rsidR="00C15B7A" w:rsidRPr="00AB4F02" w:rsidRDefault="00C15B7A">
      <w:r w:rsidRPr="00AB4F02">
        <w:t xml:space="preserve">According to Dickinson and Morse (2019), being responsive refers to caregivers having the ability to appropriately respond to a child’s individual needs and interests. Exceptional caregiving builds on these principles through providing a high level of sensitivity and trust by understanding cues and observing. An example of being responsive to a child or baby is active listening. According to Dickinson and Morse (2019), being fully present and paying full attention to what a child is saying or trying to express, both verbally and nonverbally, shows them that their feelings and ideas are valued. For example, reciprocating a child’s excitement when showing a drawing or something they have made gives a child a sense of accomplishment. Dickinson and Morse (2019) also mention the importance of encouragement of independence. As a practitioner, it is important to recognize children’s verbal and nonverbal signals such as crying and babbling (Johnson and Watts, 2019). An example of a practitioner being responsive while being an exceptional caregiver, is understanding that a child clinging to a parent or caregiver may need reassurance in a new, unknown environment. </w:t>
      </w:r>
      <w:proofErr w:type="gramStart"/>
      <w:r w:rsidRPr="00AB4F02">
        <w:t>Therefore</w:t>
      </w:r>
      <w:proofErr w:type="gramEnd"/>
      <w:r w:rsidRPr="00AB4F02">
        <w:t xml:space="preserve"> it is up to the practitioner to comfort this child to show trust and build a secure and safe relationship (Johnson and Watts, 2019). This example connects to Bowlby’s Attachment Theory, as it emphasizes the importance of children and infants receiving positive experiences and building secure attachments. According to </w:t>
      </w:r>
      <w:proofErr w:type="gramStart"/>
      <w:r w:rsidRPr="00AB4F02">
        <w:t>Brodie(</w:t>
      </w:r>
      <w:proofErr w:type="gramEnd"/>
      <w:r w:rsidRPr="00AB4F02">
        <w:t>2018), a responsive and exceptional caregiver allows children to be in tune with their emotions by creating an environment that makes them feel safe to express themselves without fear of judgement or rejection.</w:t>
      </w:r>
    </w:p>
    <w:p w14:paraId="39D19822" w14:textId="77777777" w:rsidR="00C172B2" w:rsidRPr="00AB4F02" w:rsidRDefault="00C172B2"/>
    <w:p w14:paraId="5E913B2D" w14:textId="109F3BDD" w:rsidR="00125332" w:rsidRPr="00AB4F02" w:rsidRDefault="00CC05C5">
      <w:r w:rsidRPr="00AB4F02">
        <w:t xml:space="preserve">According to </w:t>
      </w:r>
      <w:proofErr w:type="spellStart"/>
      <w:r w:rsidRPr="00AB4F02">
        <w:t>Peill</w:t>
      </w:r>
      <w:proofErr w:type="spellEnd"/>
      <w:r w:rsidRPr="00AB4F02">
        <w:t xml:space="preserve"> (2022), lack of leadership and poor management can result in a lack of clear objectives for a team. </w:t>
      </w:r>
      <w:proofErr w:type="gramStart"/>
      <w:r w:rsidRPr="00AB4F02">
        <w:t>Therefore</w:t>
      </w:r>
      <w:proofErr w:type="gramEnd"/>
      <w:r w:rsidRPr="00AB4F02">
        <w:t xml:space="preserve"> a lack of leadership can lead towards confusion and inconsistency in an early years setting. This could also lead to practitioners feeling unsupported in the work place due </w:t>
      </w:r>
      <w:proofErr w:type="gramStart"/>
      <w:r w:rsidRPr="00AB4F02">
        <w:t>to  leaders</w:t>
      </w:r>
      <w:proofErr w:type="gramEnd"/>
      <w:r w:rsidRPr="00AB4F02">
        <w:t xml:space="preserve"> failing to provide guidance or professional development (</w:t>
      </w:r>
      <w:proofErr w:type="spellStart"/>
      <w:r w:rsidRPr="00AB4F02">
        <w:t>Peill</w:t>
      </w:r>
      <w:proofErr w:type="spellEnd"/>
      <w:r w:rsidRPr="00AB4F02">
        <w:t xml:space="preserve">, 2022). Snowballing from the previous factors, lack of support can also cause staff dissatisfaction which can lead to high staff turnover </w:t>
      </w:r>
      <w:proofErr w:type="spellStart"/>
      <w:r w:rsidRPr="00AB4F02">
        <w:t>Peill</w:t>
      </w:r>
      <w:proofErr w:type="spellEnd"/>
      <w:r w:rsidRPr="00AB4F02">
        <w:t xml:space="preserve"> (2022). These factors can significantly affect and disrupt the quality of care for the </w:t>
      </w:r>
      <w:r w:rsidRPr="00AB4F02">
        <w:lastRenderedPageBreak/>
        <w:t>children, because the children are not receiving consistency therefore it is difficult to build secure attachments</w:t>
      </w:r>
    </w:p>
    <w:p w14:paraId="288A76A5" w14:textId="77777777" w:rsidR="008461E3" w:rsidRPr="008461E3" w:rsidRDefault="008461E3" w:rsidP="008461E3">
      <w:pPr>
        <w:spacing w:after="0" w:line="240" w:lineRule="auto"/>
        <w:rPr>
          <w:rFonts w:ascii="Times New Roman" w:eastAsia="Times New Roman" w:hAnsi="Times New Roman" w:cs="Times New Roman"/>
          <w:lang w:eastAsia="en-GB"/>
        </w:rPr>
      </w:pPr>
      <w:r w:rsidRPr="008461E3">
        <w:rPr>
          <w:rFonts w:eastAsiaTheme="minorEastAsia" w:hAnsi="Calibri"/>
          <w:color w:val="000000" w:themeColor="dark1"/>
          <w:kern w:val="24"/>
          <w:lang w:eastAsia="en-GB"/>
        </w:rPr>
        <w:t xml:space="preserve">There are many ways to address these poor practices according to </w:t>
      </w:r>
      <w:proofErr w:type="spellStart"/>
      <w:r w:rsidRPr="008461E3">
        <w:rPr>
          <w:rFonts w:eastAsiaTheme="minorEastAsia" w:hAnsi="Calibri"/>
          <w:color w:val="000000" w:themeColor="dark1"/>
          <w:kern w:val="24"/>
          <w:lang w:eastAsia="en-GB"/>
        </w:rPr>
        <w:t>Peill</w:t>
      </w:r>
      <w:proofErr w:type="spellEnd"/>
      <w:r w:rsidRPr="008461E3">
        <w:rPr>
          <w:rFonts w:eastAsiaTheme="minorEastAsia" w:hAnsi="Calibri"/>
          <w:color w:val="000000" w:themeColor="dark1"/>
          <w:kern w:val="24"/>
          <w:lang w:eastAsia="en-GB"/>
        </w:rPr>
        <w:t xml:space="preserve"> (2022). For example, a setting could provide leaders with training. Through developing specific skills in early childhood management, leaders will be able to ensure the children are provided with high quality care. And to improve the dissatisfaction of staff, leaders could arrange team building activities. This promotes collaboration and could possibly build and improve morale amongst staff (Bigham, 2014). Another solution suggested by Bigham (2014) is a feedback mechanism. Encouraging open feedback from staff to management can improve work life and communication between staff, creating a smooth running </w:t>
      </w:r>
      <w:proofErr w:type="gramStart"/>
      <w:r w:rsidRPr="008461E3">
        <w:rPr>
          <w:rFonts w:eastAsiaTheme="minorEastAsia" w:hAnsi="Calibri"/>
          <w:color w:val="000000" w:themeColor="dark1"/>
          <w:kern w:val="24"/>
          <w:lang w:eastAsia="en-GB"/>
        </w:rPr>
        <w:t>work space</w:t>
      </w:r>
      <w:proofErr w:type="gramEnd"/>
      <w:r w:rsidRPr="008461E3">
        <w:rPr>
          <w:rFonts w:eastAsiaTheme="minorEastAsia" w:hAnsi="Calibri"/>
          <w:color w:val="000000" w:themeColor="dark1"/>
          <w:kern w:val="24"/>
          <w:lang w:eastAsia="en-GB"/>
        </w:rPr>
        <w:t>. Solutions like this can positively impact children’s experiences in early childhood settings as they are receiving high quality care from happy and confident practitioners (</w:t>
      </w:r>
      <w:proofErr w:type="spellStart"/>
      <w:r w:rsidRPr="008461E3">
        <w:rPr>
          <w:rFonts w:eastAsiaTheme="minorEastAsia" w:hAnsi="Calibri"/>
          <w:color w:val="000000" w:themeColor="dark1"/>
          <w:kern w:val="24"/>
          <w:lang w:eastAsia="en-GB"/>
        </w:rPr>
        <w:t>Peill</w:t>
      </w:r>
      <w:proofErr w:type="spellEnd"/>
      <w:r w:rsidRPr="008461E3">
        <w:rPr>
          <w:rFonts w:eastAsiaTheme="minorEastAsia" w:hAnsi="Calibri"/>
          <w:color w:val="000000" w:themeColor="dark1"/>
          <w:kern w:val="24"/>
          <w:lang w:eastAsia="en-GB"/>
        </w:rPr>
        <w:t xml:space="preserve">, 2022). </w:t>
      </w:r>
    </w:p>
    <w:p w14:paraId="18300762" w14:textId="77777777" w:rsidR="00070A0C" w:rsidRPr="00AB4F02" w:rsidRDefault="00070A0C" w:rsidP="00125332">
      <w:pPr>
        <w:pStyle w:val="NormalWeb"/>
        <w:spacing w:before="0" w:beforeAutospacing="0" w:after="240" w:afterAutospacing="0" w:line="360" w:lineRule="auto"/>
        <w:rPr>
          <w:rFonts w:ascii="Arial" w:hAnsi="Arial" w:cs="Arial"/>
          <w:sz w:val="22"/>
          <w:szCs w:val="22"/>
        </w:rPr>
      </w:pPr>
    </w:p>
    <w:p w14:paraId="0B43204A" w14:textId="77777777" w:rsidR="00C15FB5" w:rsidRPr="00C15FB5" w:rsidRDefault="00C15FB5" w:rsidP="00C15FB5">
      <w:pPr>
        <w:spacing w:after="0" w:line="240" w:lineRule="auto"/>
        <w:rPr>
          <w:rFonts w:ascii="Times New Roman" w:eastAsia="Times New Roman" w:hAnsi="Times New Roman" w:cs="Times New Roman"/>
          <w:lang w:eastAsia="en-GB"/>
        </w:rPr>
      </w:pPr>
      <w:r w:rsidRPr="00C15FB5">
        <w:rPr>
          <w:rFonts w:eastAsiaTheme="minorEastAsia" w:hAnsi="Calibri"/>
          <w:color w:val="000000" w:themeColor="dark1"/>
          <w:kern w:val="24"/>
          <w:lang w:eastAsia="en-GB"/>
        </w:rPr>
        <w:t xml:space="preserve">According to Maryville University (2021), it is extremely important for practitioners to build an understanding and respect when cultural differences are introduced to a setting. As there are many challenges that arise also, including language </w:t>
      </w:r>
      <w:proofErr w:type="gramStart"/>
      <w:r w:rsidRPr="00C15FB5">
        <w:rPr>
          <w:rFonts w:eastAsiaTheme="minorEastAsia" w:hAnsi="Calibri"/>
          <w:color w:val="000000" w:themeColor="dark1"/>
          <w:kern w:val="24"/>
          <w:lang w:eastAsia="en-GB"/>
        </w:rPr>
        <w:t>barriers  and</w:t>
      </w:r>
      <w:proofErr w:type="gramEnd"/>
      <w:r w:rsidRPr="00C15FB5">
        <w:rPr>
          <w:rFonts w:eastAsiaTheme="minorEastAsia" w:hAnsi="Calibri"/>
          <w:color w:val="000000" w:themeColor="dark1"/>
          <w:kern w:val="24"/>
          <w:lang w:eastAsia="en-GB"/>
        </w:rPr>
        <w:t xml:space="preserve"> diverse practices and beliefs. According to Maryville University (2021), communication can be challenging when faced with a child or family that speak a different language. For example, practitioners may find it difficult to engage fully with a child or family who have limited vocabulary in the local language therefore both parties may miss out on vital information and updates, this could affect the child negatively and may disrupt the chance of receiving high quality care (Maryville University, 2021). Maryville </w:t>
      </w:r>
      <w:proofErr w:type="gramStart"/>
      <w:r w:rsidRPr="00C15FB5">
        <w:rPr>
          <w:rFonts w:eastAsiaTheme="minorEastAsia" w:hAnsi="Calibri"/>
          <w:color w:val="000000" w:themeColor="dark1"/>
          <w:kern w:val="24"/>
          <w:lang w:eastAsia="en-GB"/>
        </w:rPr>
        <w:t>University(</w:t>
      </w:r>
      <w:proofErr w:type="gramEnd"/>
      <w:r w:rsidRPr="00C15FB5">
        <w:rPr>
          <w:rFonts w:eastAsiaTheme="minorEastAsia" w:hAnsi="Calibri"/>
          <w:color w:val="000000" w:themeColor="dark1"/>
          <w:kern w:val="24"/>
          <w:lang w:eastAsia="en-GB"/>
        </w:rPr>
        <w:t xml:space="preserve">2021) also mention that high quality care could be disrupted by diverse practices and beliefs. For example, different families have different practices around child-rearing and discipline that may go against a practitioner’s norms or policies. This could include dietary preferences and attitudes towards gender roles. </w:t>
      </w:r>
    </w:p>
    <w:p w14:paraId="293A6F9B" w14:textId="77777777" w:rsidR="00C15FB5" w:rsidRPr="00C15FB5" w:rsidRDefault="00C15FB5" w:rsidP="00C15FB5">
      <w:pPr>
        <w:spacing w:after="0" w:line="240" w:lineRule="auto"/>
        <w:rPr>
          <w:rFonts w:ascii="Times New Roman" w:eastAsia="Times New Roman" w:hAnsi="Times New Roman" w:cs="Times New Roman"/>
          <w:lang w:eastAsia="en-GB"/>
        </w:rPr>
      </w:pPr>
      <w:r w:rsidRPr="00C15FB5">
        <w:rPr>
          <w:rFonts w:eastAsiaTheme="minorEastAsia" w:hAnsi="Calibri"/>
          <w:color w:val="000000" w:themeColor="dark1"/>
          <w:kern w:val="24"/>
          <w:lang w:eastAsia="en-GB"/>
        </w:rPr>
        <w:t xml:space="preserve">According to Maryville University (2021), there are many solutions to overcome these challenges. One being, cultural competence training- this would include providing staff with the opportunity to learn about diversity and inclusion, while possibly working with translators and diverse community groups to widen their knowledge about a variety of cultures. Another solution may be creating an inclusive environment by ensuring that classrooms and activities reflect a wide range of culture and experiences (Maryville University, 2021). </w:t>
      </w:r>
    </w:p>
    <w:p w14:paraId="78EACD55" w14:textId="77777777" w:rsidR="00D4476B" w:rsidRDefault="00D4476B" w:rsidP="00AE2D19">
      <w:pPr>
        <w:spacing w:after="0" w:line="240" w:lineRule="auto"/>
        <w:rPr>
          <w:rFonts w:eastAsiaTheme="minorEastAsia" w:hAnsi="Calibri"/>
          <w:color w:val="000000" w:themeColor="text1"/>
          <w:kern w:val="24"/>
          <w:lang w:val="en-US" w:eastAsia="en-GB"/>
        </w:rPr>
      </w:pPr>
    </w:p>
    <w:p w14:paraId="02035731" w14:textId="77777777" w:rsidR="00D4476B" w:rsidRDefault="00D4476B" w:rsidP="00AE2D19">
      <w:pPr>
        <w:spacing w:after="0" w:line="240" w:lineRule="auto"/>
        <w:rPr>
          <w:rFonts w:eastAsiaTheme="minorEastAsia" w:hAnsi="Calibri"/>
          <w:color w:val="000000" w:themeColor="text1"/>
          <w:kern w:val="24"/>
          <w:lang w:val="en-US" w:eastAsia="en-GB"/>
        </w:rPr>
      </w:pPr>
    </w:p>
    <w:p w14:paraId="2DF4B2FE" w14:textId="62D43508" w:rsidR="008A795E" w:rsidRPr="00AB4F02" w:rsidRDefault="00AE2D19" w:rsidP="00AE2D19">
      <w:pPr>
        <w:spacing w:after="0" w:line="240" w:lineRule="auto"/>
        <w:rPr>
          <w:rFonts w:eastAsiaTheme="minorEastAsia" w:hAnsi="Calibri"/>
          <w:color w:val="000000" w:themeColor="text1"/>
          <w:kern w:val="24"/>
          <w:lang w:val="en-US" w:eastAsia="en-GB"/>
        </w:rPr>
      </w:pPr>
      <w:r w:rsidRPr="00AE2D19">
        <w:rPr>
          <w:rFonts w:eastAsiaTheme="minorEastAsia" w:hAnsi="Calibri"/>
          <w:color w:val="000000" w:themeColor="text1"/>
          <w:kern w:val="24"/>
          <w:lang w:val="en-US" w:eastAsia="en-GB"/>
        </w:rPr>
        <w:t xml:space="preserve">The role of an Early Years practitioner in supporting children within the first 1000 days includes creating a safe and stimulating environment through providing high quality care, while also taking consideration towards a child’s holistic development (Brodie, 2018). </w:t>
      </w:r>
      <w:r w:rsidR="008A795E" w:rsidRPr="00AB4F02">
        <w:rPr>
          <w:rFonts w:eastAsiaTheme="minorEastAsia" w:hAnsi="Calibri"/>
          <w:color w:val="000000" w:themeColor="text1"/>
          <w:kern w:val="24"/>
          <w:lang w:val="en-US" w:eastAsia="en-GB"/>
        </w:rPr>
        <w:t xml:space="preserve"> </w:t>
      </w:r>
    </w:p>
    <w:p w14:paraId="484A35E7" w14:textId="301A9A7E" w:rsidR="00AE2D19" w:rsidRPr="00AE2D19" w:rsidRDefault="008A795E" w:rsidP="00AE2D19">
      <w:pPr>
        <w:spacing w:after="0" w:line="240" w:lineRule="auto"/>
        <w:rPr>
          <w:rFonts w:ascii="Times New Roman" w:eastAsia="Times New Roman" w:hAnsi="Times New Roman" w:cs="Times New Roman"/>
          <w:lang w:eastAsia="en-GB"/>
        </w:rPr>
      </w:pPr>
      <w:r w:rsidRPr="00AB4F02">
        <w:rPr>
          <w:rFonts w:eastAsiaTheme="minorEastAsia" w:hAnsi="Calibri"/>
          <w:color w:val="000000" w:themeColor="text1"/>
          <w:kern w:val="24"/>
          <w:lang w:eastAsia="en-GB"/>
        </w:rPr>
        <w:t>According to Brodie (2018), p</w:t>
      </w:r>
      <w:r w:rsidR="00AE2D19" w:rsidRPr="00AE2D19">
        <w:rPr>
          <w:rFonts w:eastAsiaTheme="minorEastAsia" w:hAnsi="Calibri"/>
          <w:color w:val="000000" w:themeColor="text1"/>
          <w:kern w:val="24"/>
          <w:lang w:eastAsia="en-GB"/>
        </w:rPr>
        <w:t>ractitioners work with families to encourage positive relationships</w:t>
      </w:r>
      <w:r w:rsidRPr="00AB4F02">
        <w:rPr>
          <w:rFonts w:eastAsiaTheme="minorEastAsia" w:hAnsi="Calibri"/>
          <w:color w:val="000000" w:themeColor="text1"/>
          <w:kern w:val="24"/>
          <w:lang w:eastAsia="en-GB"/>
        </w:rPr>
        <w:t xml:space="preserve"> </w:t>
      </w:r>
      <w:r w:rsidR="00AE2D19" w:rsidRPr="00AE2D19">
        <w:rPr>
          <w:rFonts w:eastAsiaTheme="minorEastAsia" w:hAnsi="Calibri"/>
          <w:color w:val="000000" w:themeColor="text1"/>
          <w:kern w:val="24"/>
          <w:lang w:eastAsia="en-GB"/>
        </w:rPr>
        <w:t>and health practices. And by following</w:t>
      </w:r>
      <w:r w:rsidRPr="00AB4F02">
        <w:rPr>
          <w:rFonts w:eastAsiaTheme="minorEastAsia" w:hAnsi="Calibri"/>
          <w:color w:val="000000" w:themeColor="text1"/>
          <w:kern w:val="24"/>
          <w:lang w:eastAsia="en-GB"/>
        </w:rPr>
        <w:t xml:space="preserve"> </w:t>
      </w:r>
      <w:r w:rsidR="00AE2D19" w:rsidRPr="00AE2D19">
        <w:rPr>
          <w:rFonts w:eastAsiaTheme="minorEastAsia" w:hAnsi="Calibri"/>
          <w:color w:val="000000" w:themeColor="text1"/>
          <w:kern w:val="24"/>
          <w:lang w:eastAsia="en-GB"/>
        </w:rPr>
        <w:t xml:space="preserve">an understanding each child’s individual needs, they facilitate experiences that inspire to explore and learn. </w:t>
      </w:r>
      <w:r w:rsidR="00D44B3F" w:rsidRPr="00AB4F02">
        <w:rPr>
          <w:rFonts w:eastAsiaTheme="minorEastAsia" w:hAnsi="Calibri"/>
          <w:color w:val="000000" w:themeColor="text1"/>
          <w:kern w:val="24"/>
          <w:lang w:eastAsia="en-GB"/>
        </w:rPr>
        <w:t xml:space="preserve">As </w:t>
      </w:r>
      <w:r w:rsidR="003C154B" w:rsidRPr="00AB4F02">
        <w:rPr>
          <w:rFonts w:eastAsiaTheme="minorEastAsia" w:hAnsi="Calibri"/>
          <w:color w:val="000000" w:themeColor="text1"/>
          <w:kern w:val="24"/>
          <w:lang w:eastAsia="en-GB"/>
        </w:rPr>
        <w:t>enabling adults, p</w:t>
      </w:r>
      <w:r w:rsidR="00450190" w:rsidRPr="00AB4F02">
        <w:rPr>
          <w:rFonts w:eastAsiaTheme="minorEastAsia" w:hAnsi="Calibri"/>
          <w:color w:val="000000" w:themeColor="text1"/>
          <w:kern w:val="24"/>
          <w:lang w:eastAsia="en-GB"/>
        </w:rPr>
        <w:t>ractitioners</w:t>
      </w:r>
      <w:r w:rsidR="00AE2D19" w:rsidRPr="00AE2D19">
        <w:rPr>
          <w:rFonts w:eastAsiaTheme="minorEastAsia" w:hAnsi="Calibri"/>
          <w:color w:val="000000" w:themeColor="text1"/>
          <w:kern w:val="24"/>
          <w:lang w:eastAsia="en-GB"/>
        </w:rPr>
        <w:t xml:space="preserve"> also </w:t>
      </w:r>
      <w:r w:rsidR="00450190" w:rsidRPr="00AB4F02">
        <w:rPr>
          <w:rFonts w:eastAsiaTheme="minorEastAsia" w:hAnsi="Calibri"/>
          <w:color w:val="000000" w:themeColor="text1"/>
          <w:kern w:val="24"/>
          <w:lang w:eastAsia="en-GB"/>
        </w:rPr>
        <w:t xml:space="preserve">follow observation </w:t>
      </w:r>
      <w:r w:rsidR="00C950EC" w:rsidRPr="00AB4F02">
        <w:rPr>
          <w:rFonts w:eastAsiaTheme="minorEastAsia" w:hAnsi="Calibri"/>
          <w:color w:val="000000" w:themeColor="text1"/>
          <w:kern w:val="24"/>
          <w:lang w:eastAsia="en-GB"/>
        </w:rPr>
        <w:t>strategies to identify</w:t>
      </w:r>
      <w:r w:rsidR="00AE2D19" w:rsidRPr="00AE2D19">
        <w:rPr>
          <w:rFonts w:eastAsiaTheme="minorEastAsia" w:hAnsi="Calibri"/>
          <w:color w:val="000000" w:themeColor="text1"/>
          <w:kern w:val="24"/>
          <w:lang w:eastAsia="en-GB"/>
        </w:rPr>
        <w:t xml:space="preserve"> developmental delays, so they can </w:t>
      </w:r>
      <w:r w:rsidR="00BD4476" w:rsidRPr="00AB4F02">
        <w:rPr>
          <w:rFonts w:eastAsiaTheme="minorEastAsia" w:hAnsi="Calibri"/>
          <w:color w:val="000000" w:themeColor="text1"/>
          <w:kern w:val="24"/>
          <w:lang w:eastAsia="en-GB"/>
        </w:rPr>
        <w:t>accommodate</w:t>
      </w:r>
      <w:r w:rsidR="00C950EC" w:rsidRPr="00AB4F02">
        <w:rPr>
          <w:rFonts w:eastAsiaTheme="minorEastAsia" w:hAnsi="Calibri"/>
          <w:color w:val="000000" w:themeColor="text1"/>
          <w:kern w:val="24"/>
          <w:lang w:eastAsia="en-GB"/>
        </w:rPr>
        <w:t xml:space="preserve"> </w:t>
      </w:r>
      <w:r w:rsidR="00AE2D19" w:rsidRPr="00AE2D19">
        <w:rPr>
          <w:rFonts w:eastAsiaTheme="minorEastAsia" w:hAnsi="Calibri"/>
          <w:color w:val="000000" w:themeColor="text1"/>
          <w:kern w:val="24"/>
          <w:lang w:eastAsia="en-GB"/>
        </w:rPr>
        <w:t xml:space="preserve">that child </w:t>
      </w:r>
      <w:r w:rsidR="00BD4476" w:rsidRPr="00AB4F02">
        <w:rPr>
          <w:rFonts w:eastAsiaTheme="minorEastAsia" w:hAnsi="Calibri"/>
          <w:color w:val="000000" w:themeColor="text1"/>
          <w:kern w:val="24"/>
          <w:lang w:eastAsia="en-GB"/>
        </w:rPr>
        <w:t xml:space="preserve">with </w:t>
      </w:r>
      <w:r w:rsidR="00AE2D19" w:rsidRPr="00AE2D19">
        <w:rPr>
          <w:rFonts w:eastAsiaTheme="minorEastAsia" w:hAnsi="Calibri"/>
          <w:color w:val="000000" w:themeColor="text1"/>
          <w:kern w:val="24"/>
          <w:lang w:eastAsia="en-GB"/>
        </w:rPr>
        <w:t>the services they need sooner</w:t>
      </w:r>
      <w:r w:rsidR="00BD4476" w:rsidRPr="00AB4F02">
        <w:rPr>
          <w:rFonts w:eastAsiaTheme="minorEastAsia" w:hAnsi="Calibri"/>
          <w:color w:val="000000" w:themeColor="text1"/>
          <w:kern w:val="24"/>
          <w:lang w:eastAsia="en-GB"/>
        </w:rPr>
        <w:t xml:space="preserve"> (Brodie, 2018)</w:t>
      </w:r>
      <w:r w:rsidR="00AE2D19" w:rsidRPr="00AE2D19">
        <w:rPr>
          <w:rFonts w:eastAsiaTheme="minorEastAsia" w:hAnsi="Calibri"/>
          <w:color w:val="000000" w:themeColor="text1"/>
          <w:kern w:val="24"/>
          <w:lang w:eastAsia="en-GB"/>
        </w:rPr>
        <w:t xml:space="preserve">. Early Years practitioners work alongside families, helping </w:t>
      </w:r>
      <w:r w:rsidR="00E9342B" w:rsidRPr="00AB4F02">
        <w:rPr>
          <w:rFonts w:eastAsiaTheme="minorEastAsia" w:hAnsi="Calibri"/>
          <w:color w:val="000000" w:themeColor="text1"/>
          <w:kern w:val="24"/>
          <w:lang w:eastAsia="en-GB"/>
        </w:rPr>
        <w:t>to guide</w:t>
      </w:r>
      <w:r w:rsidR="00AE2D19" w:rsidRPr="00AE2D19">
        <w:rPr>
          <w:rFonts w:eastAsiaTheme="minorEastAsia" w:hAnsi="Calibri"/>
          <w:color w:val="000000" w:themeColor="text1"/>
          <w:kern w:val="24"/>
          <w:lang w:eastAsia="en-GB"/>
        </w:rPr>
        <w:t xml:space="preserve"> and </w:t>
      </w:r>
      <w:r w:rsidR="00E9342B" w:rsidRPr="00AB4F02">
        <w:rPr>
          <w:rFonts w:eastAsiaTheme="minorEastAsia" w:hAnsi="Calibri"/>
          <w:color w:val="000000" w:themeColor="text1"/>
          <w:kern w:val="24"/>
          <w:lang w:eastAsia="en-GB"/>
        </w:rPr>
        <w:t>educate</w:t>
      </w:r>
      <w:r w:rsidR="00AE2D19" w:rsidRPr="00AE2D19">
        <w:rPr>
          <w:rFonts w:eastAsiaTheme="minorEastAsia" w:hAnsi="Calibri"/>
          <w:color w:val="000000" w:themeColor="text1"/>
          <w:kern w:val="24"/>
          <w:lang w:eastAsia="en-GB"/>
        </w:rPr>
        <w:t xml:space="preserve"> them to</w:t>
      </w:r>
      <w:r w:rsidR="00E9342B" w:rsidRPr="00AB4F02">
        <w:rPr>
          <w:rFonts w:eastAsiaTheme="minorEastAsia" w:hAnsi="Calibri"/>
          <w:color w:val="000000" w:themeColor="text1"/>
          <w:kern w:val="24"/>
          <w:lang w:eastAsia="en-GB"/>
        </w:rPr>
        <w:t xml:space="preserve"> </w:t>
      </w:r>
      <w:r w:rsidR="00AE2D19" w:rsidRPr="00AE2D19">
        <w:rPr>
          <w:rFonts w:eastAsiaTheme="minorEastAsia" w:hAnsi="Calibri"/>
          <w:color w:val="000000" w:themeColor="text1"/>
          <w:kern w:val="24"/>
          <w:lang w:eastAsia="en-GB"/>
        </w:rPr>
        <w:t>develop homes as secure bases from which a child will continue into their future.</w:t>
      </w:r>
    </w:p>
    <w:p w14:paraId="365E2EE8" w14:textId="77777777" w:rsidR="00D77677" w:rsidRPr="00AB4F02" w:rsidRDefault="00D77677" w:rsidP="00125332">
      <w:pPr>
        <w:pStyle w:val="NormalWeb"/>
        <w:spacing w:before="0" w:beforeAutospacing="0" w:after="240" w:afterAutospacing="0" w:line="360" w:lineRule="auto"/>
        <w:rPr>
          <w:rFonts w:ascii="Arial" w:hAnsi="Arial" w:cs="Arial"/>
          <w:sz w:val="22"/>
          <w:szCs w:val="22"/>
        </w:rPr>
      </w:pPr>
    </w:p>
    <w:p w14:paraId="228716C2" w14:textId="0EB0F971" w:rsidR="00C15FB5" w:rsidRPr="00AB4F02" w:rsidRDefault="00D77677" w:rsidP="00125332">
      <w:pPr>
        <w:pStyle w:val="NormalWeb"/>
        <w:spacing w:before="0" w:beforeAutospacing="0" w:after="240" w:afterAutospacing="0" w:line="360" w:lineRule="auto"/>
        <w:rPr>
          <w:rFonts w:ascii="Arial" w:hAnsi="Arial" w:cs="Arial"/>
          <w:sz w:val="22"/>
          <w:szCs w:val="22"/>
        </w:rPr>
      </w:pPr>
      <w:r w:rsidRPr="00AB4F02">
        <w:rPr>
          <w:rFonts w:ascii="Arial" w:hAnsi="Arial" w:cs="Arial"/>
          <w:sz w:val="22"/>
          <w:szCs w:val="22"/>
        </w:rPr>
        <w:t xml:space="preserve">The role of an Early Years practitioner in supporting families and caregivers within the first 1000 days includes offering a warm and welcoming environment, which encourages trust and creating an </w:t>
      </w:r>
      <w:proofErr w:type="gramStart"/>
      <w:r w:rsidRPr="00AB4F02">
        <w:rPr>
          <w:rFonts w:ascii="Arial" w:hAnsi="Arial" w:cs="Arial"/>
          <w:sz w:val="22"/>
          <w:szCs w:val="22"/>
        </w:rPr>
        <w:t>open door</w:t>
      </w:r>
      <w:proofErr w:type="gramEnd"/>
      <w:r w:rsidRPr="00AB4F02">
        <w:rPr>
          <w:rFonts w:ascii="Arial" w:hAnsi="Arial" w:cs="Arial"/>
          <w:sz w:val="22"/>
          <w:szCs w:val="22"/>
        </w:rPr>
        <w:t xml:space="preserve"> policy (Brodie, 2018). According to Brodie (2018), it is an early </w:t>
      </w:r>
      <w:proofErr w:type="gramStart"/>
      <w:r w:rsidRPr="00AB4F02">
        <w:rPr>
          <w:rFonts w:ascii="Arial" w:hAnsi="Arial" w:cs="Arial"/>
          <w:sz w:val="22"/>
          <w:szCs w:val="22"/>
        </w:rPr>
        <w:lastRenderedPageBreak/>
        <w:t>years</w:t>
      </w:r>
      <w:proofErr w:type="gramEnd"/>
      <w:r w:rsidRPr="00AB4F02">
        <w:rPr>
          <w:rFonts w:ascii="Arial" w:hAnsi="Arial" w:cs="Arial"/>
          <w:sz w:val="22"/>
          <w:szCs w:val="22"/>
        </w:rPr>
        <w:t xml:space="preserve"> practitioner’s role to value a parent’s opinion and involving them in the process of planning and decision-making, as this can build trust and respect between both parties if done effectively. An example of involving parents in the process of planning is to work with parents to mirror what they are doing at home such as having the same thing for breakfast or reading as a certain point in the day (Brodie, 2018). It is also vitally important as a practitioner to listen to what parents/carers have to say and accommodate any concerns that arise, so that everyone feels valued and included (Brodie,2018).</w:t>
      </w:r>
    </w:p>
    <w:p w14:paraId="6CE2D307" w14:textId="77777777" w:rsidR="00A41360" w:rsidRPr="00AB4F02" w:rsidRDefault="00A41360" w:rsidP="006B72FB">
      <w:pPr>
        <w:spacing w:after="0" w:line="240" w:lineRule="auto"/>
        <w:rPr>
          <w:rFonts w:eastAsiaTheme="minorEastAsia" w:hAnsi="Calibri"/>
          <w:color w:val="000000" w:themeColor="text1"/>
          <w:kern w:val="24"/>
          <w:lang w:eastAsia="en-GB"/>
        </w:rPr>
      </w:pPr>
    </w:p>
    <w:p w14:paraId="60DCF254" w14:textId="77777777" w:rsidR="00A41360" w:rsidRPr="00AB4F02" w:rsidRDefault="00A41360" w:rsidP="006B72FB">
      <w:pPr>
        <w:spacing w:after="0" w:line="240" w:lineRule="auto"/>
        <w:rPr>
          <w:rFonts w:eastAsiaTheme="minorEastAsia" w:hAnsi="Calibri"/>
          <w:color w:val="000000" w:themeColor="text1"/>
          <w:kern w:val="24"/>
          <w:lang w:eastAsia="en-GB"/>
        </w:rPr>
      </w:pPr>
    </w:p>
    <w:p w14:paraId="770A64F9" w14:textId="77777777" w:rsidR="00A41360" w:rsidRPr="00AB4F02" w:rsidRDefault="00A41360" w:rsidP="006B72FB">
      <w:pPr>
        <w:spacing w:after="0" w:line="240" w:lineRule="auto"/>
        <w:rPr>
          <w:rFonts w:eastAsiaTheme="minorEastAsia" w:hAnsi="Calibri"/>
          <w:color w:val="000000" w:themeColor="text1"/>
          <w:kern w:val="24"/>
          <w:lang w:eastAsia="en-GB"/>
        </w:rPr>
      </w:pPr>
    </w:p>
    <w:p w14:paraId="3301DC73" w14:textId="77777777" w:rsidR="00A41360" w:rsidRPr="00AB4F02" w:rsidRDefault="00A41360" w:rsidP="006B72FB">
      <w:pPr>
        <w:spacing w:after="0" w:line="240" w:lineRule="auto"/>
        <w:rPr>
          <w:rFonts w:eastAsiaTheme="minorEastAsia" w:hAnsi="Calibri"/>
          <w:color w:val="000000" w:themeColor="text1"/>
          <w:kern w:val="24"/>
          <w:lang w:eastAsia="en-GB"/>
        </w:rPr>
      </w:pPr>
    </w:p>
    <w:p w14:paraId="03A4AF4A" w14:textId="64D0A2C9" w:rsidR="006B72FB" w:rsidRPr="006B72FB" w:rsidRDefault="006B72FB" w:rsidP="006B72FB">
      <w:pPr>
        <w:spacing w:after="0" w:line="240" w:lineRule="auto"/>
        <w:rPr>
          <w:rFonts w:ascii="Times New Roman" w:eastAsia="Times New Roman" w:hAnsi="Times New Roman" w:cs="Times New Roman"/>
          <w:lang w:eastAsia="en-GB"/>
        </w:rPr>
      </w:pPr>
      <w:r w:rsidRPr="006B72FB">
        <w:rPr>
          <w:rFonts w:eastAsiaTheme="minorEastAsia" w:hAnsi="Calibri"/>
          <w:color w:val="000000" w:themeColor="text1"/>
          <w:kern w:val="24"/>
          <w:lang w:eastAsia="en-GB"/>
        </w:rPr>
        <w:t>What is partnership working?</w:t>
      </w:r>
    </w:p>
    <w:p w14:paraId="5FE552DE" w14:textId="77777777" w:rsidR="006B72FB" w:rsidRPr="006B72FB" w:rsidRDefault="006B72FB" w:rsidP="006B72FB">
      <w:pPr>
        <w:spacing w:after="0" w:line="240" w:lineRule="auto"/>
        <w:rPr>
          <w:rFonts w:ascii="Times New Roman" w:eastAsia="Times New Roman" w:hAnsi="Times New Roman" w:cs="Times New Roman"/>
          <w:lang w:eastAsia="en-GB"/>
        </w:rPr>
      </w:pPr>
      <w:r w:rsidRPr="006B72FB">
        <w:rPr>
          <w:rFonts w:eastAsiaTheme="minorEastAsia" w:hAnsi="Calibri"/>
          <w:color w:val="000000" w:themeColor="text1"/>
          <w:kern w:val="24"/>
          <w:lang w:eastAsia="en-GB"/>
        </w:rPr>
        <w:t xml:space="preserve">Partnership working involves collaborating and effectively communicating with families and other professionals to ensure the children receive the best care possible (Chu and </w:t>
      </w:r>
      <w:proofErr w:type="spellStart"/>
      <w:r w:rsidRPr="006B72FB">
        <w:rPr>
          <w:rFonts w:eastAsiaTheme="minorEastAsia" w:hAnsi="Calibri"/>
          <w:color w:val="000000" w:themeColor="text1"/>
          <w:kern w:val="24"/>
          <w:lang w:eastAsia="en-GB"/>
        </w:rPr>
        <w:t>Jhuo</w:t>
      </w:r>
      <w:proofErr w:type="spellEnd"/>
      <w:r w:rsidRPr="006B72FB">
        <w:rPr>
          <w:rFonts w:eastAsiaTheme="minorEastAsia" w:hAnsi="Calibri"/>
          <w:color w:val="000000" w:themeColor="text1"/>
          <w:kern w:val="24"/>
          <w:lang w:eastAsia="en-GB"/>
        </w:rPr>
        <w:t xml:space="preserve">, 2022). For example, phoning home regularly to update parents on any progress and observations. According to Chu and </w:t>
      </w:r>
      <w:proofErr w:type="spellStart"/>
      <w:r w:rsidRPr="006B72FB">
        <w:rPr>
          <w:rFonts w:eastAsiaTheme="minorEastAsia" w:hAnsi="Calibri"/>
          <w:color w:val="000000" w:themeColor="text1"/>
          <w:kern w:val="24"/>
          <w:lang w:eastAsia="en-GB"/>
        </w:rPr>
        <w:t>Jhuo</w:t>
      </w:r>
      <w:proofErr w:type="spellEnd"/>
      <w:r w:rsidRPr="006B72FB">
        <w:rPr>
          <w:rFonts w:eastAsiaTheme="minorEastAsia" w:hAnsi="Calibri"/>
          <w:color w:val="000000" w:themeColor="text1"/>
          <w:kern w:val="24"/>
          <w:lang w:eastAsia="en-GB"/>
        </w:rPr>
        <w:t xml:space="preserve"> (2022), professional partnerships also include multi-agency collaboration such as speech and language therapists or perhaps physio therapists if a child has a physical disability. Chu and </w:t>
      </w:r>
      <w:proofErr w:type="spellStart"/>
      <w:r w:rsidRPr="006B72FB">
        <w:rPr>
          <w:rFonts w:eastAsiaTheme="minorEastAsia" w:hAnsi="Calibri"/>
          <w:color w:val="000000" w:themeColor="text1"/>
          <w:kern w:val="24"/>
          <w:lang w:eastAsia="en-GB"/>
        </w:rPr>
        <w:t>Jhuo</w:t>
      </w:r>
      <w:proofErr w:type="spellEnd"/>
      <w:r w:rsidRPr="006B72FB">
        <w:rPr>
          <w:rFonts w:eastAsiaTheme="minorEastAsia" w:hAnsi="Calibri"/>
          <w:color w:val="000000" w:themeColor="text1"/>
          <w:kern w:val="24"/>
          <w:lang w:eastAsia="en-GB"/>
        </w:rPr>
        <w:t xml:space="preserve"> (2022) suggest that all professionals must share information appropriately to ensure coordination and effective interventions. </w:t>
      </w:r>
    </w:p>
    <w:p w14:paraId="78D31330" w14:textId="77777777" w:rsidR="006B72FB" w:rsidRPr="00AB4F02" w:rsidRDefault="006B72FB" w:rsidP="00125332">
      <w:pPr>
        <w:pStyle w:val="NormalWeb"/>
        <w:spacing w:before="0" w:beforeAutospacing="0" w:after="240" w:afterAutospacing="0" w:line="360" w:lineRule="auto"/>
        <w:rPr>
          <w:rFonts w:ascii="Arial" w:hAnsi="Arial" w:cs="Arial"/>
          <w:sz w:val="22"/>
          <w:szCs w:val="22"/>
        </w:rPr>
      </w:pPr>
    </w:p>
    <w:p w14:paraId="219C9467" w14:textId="77777777" w:rsidR="00AB4F02" w:rsidRPr="00AB4F02" w:rsidRDefault="00AB4F02" w:rsidP="00AB4F02">
      <w:pPr>
        <w:pStyle w:val="NormalWeb"/>
        <w:spacing w:before="0" w:beforeAutospacing="0" w:after="240" w:afterAutospacing="0" w:line="360" w:lineRule="auto"/>
        <w:rPr>
          <w:rFonts w:ascii="Arial" w:hAnsi="Arial" w:cs="Arial"/>
          <w:sz w:val="22"/>
          <w:szCs w:val="22"/>
        </w:rPr>
      </w:pPr>
      <w:r w:rsidRPr="00AB4F02">
        <w:rPr>
          <w:rFonts w:ascii="Arial" w:hAnsi="Arial" w:cs="Arial"/>
          <w:sz w:val="22"/>
          <w:szCs w:val="22"/>
        </w:rPr>
        <w:t>Why is it important to work in partnership during this period?</w:t>
      </w:r>
    </w:p>
    <w:p w14:paraId="3C8E349F" w14:textId="0EF5EA7E" w:rsidR="00AB4F02" w:rsidRPr="00AB4F02" w:rsidRDefault="00AB4F02" w:rsidP="00AB4F02">
      <w:pPr>
        <w:pStyle w:val="NormalWeb"/>
        <w:spacing w:before="0" w:beforeAutospacing="0" w:after="240" w:afterAutospacing="0" w:line="360" w:lineRule="auto"/>
        <w:rPr>
          <w:rFonts w:ascii="Arial" w:hAnsi="Arial" w:cs="Arial"/>
          <w:sz w:val="22"/>
          <w:szCs w:val="22"/>
        </w:rPr>
      </w:pPr>
      <w:r w:rsidRPr="00AB4F02">
        <w:rPr>
          <w:rFonts w:ascii="Arial" w:hAnsi="Arial" w:cs="Arial"/>
          <w:sz w:val="22"/>
          <w:szCs w:val="22"/>
        </w:rPr>
        <w:t xml:space="preserve">According to Open University (2024), partnership working allows practitioners to share knowledge and understanding with one another. This being important as practitioners can then individualize activities, targeting individual needs and interests of the children. </w:t>
      </w:r>
      <w:proofErr w:type="gramStart"/>
      <w:r w:rsidRPr="00AB4F02">
        <w:rPr>
          <w:rFonts w:ascii="Arial" w:hAnsi="Arial" w:cs="Arial"/>
          <w:sz w:val="22"/>
          <w:szCs w:val="22"/>
        </w:rPr>
        <w:t>Therefore</w:t>
      </w:r>
      <w:proofErr w:type="gramEnd"/>
      <w:r w:rsidRPr="00AB4F02">
        <w:rPr>
          <w:rFonts w:ascii="Arial" w:hAnsi="Arial" w:cs="Arial"/>
          <w:sz w:val="22"/>
          <w:szCs w:val="22"/>
        </w:rPr>
        <w:t xml:space="preserve"> allowing children to develop cognitively at their own pace (Brodie,2018). It is also exceedingly important to collaborate sincerely with families as this can be an extremely stressful time for both parents and children. Being sincere and allowing parents to share concerns builds trust and positive relationships, therefore parents will feel more at ease when leaving their children at the setting.</w:t>
      </w:r>
    </w:p>
    <w:p w14:paraId="30AF25C6" w14:textId="77777777" w:rsidR="00070A0C" w:rsidRDefault="00070A0C" w:rsidP="00125332">
      <w:pPr>
        <w:pStyle w:val="NormalWeb"/>
        <w:spacing w:before="0" w:beforeAutospacing="0" w:after="240" w:afterAutospacing="0" w:line="360" w:lineRule="auto"/>
        <w:rPr>
          <w:rFonts w:ascii="Arial" w:hAnsi="Arial" w:cs="Arial"/>
        </w:rPr>
      </w:pPr>
    </w:p>
    <w:p w14:paraId="567B3CF8" w14:textId="77777777" w:rsidR="001158FA" w:rsidRDefault="001158FA" w:rsidP="00125332">
      <w:pPr>
        <w:pStyle w:val="NormalWeb"/>
        <w:spacing w:before="0" w:beforeAutospacing="0" w:after="240" w:afterAutospacing="0" w:line="360" w:lineRule="auto"/>
        <w:rPr>
          <w:rFonts w:ascii="Arial" w:hAnsi="Arial" w:cs="Arial"/>
        </w:rPr>
      </w:pPr>
    </w:p>
    <w:p w14:paraId="0F6B8F08" w14:textId="77777777" w:rsidR="001158FA" w:rsidRDefault="001158FA" w:rsidP="00125332">
      <w:pPr>
        <w:pStyle w:val="NormalWeb"/>
        <w:spacing w:before="0" w:beforeAutospacing="0" w:after="240" w:afterAutospacing="0" w:line="360" w:lineRule="auto"/>
        <w:rPr>
          <w:rFonts w:ascii="Arial" w:hAnsi="Arial" w:cs="Arial"/>
        </w:rPr>
      </w:pPr>
    </w:p>
    <w:p w14:paraId="37DEAD68" w14:textId="77777777" w:rsidR="001158FA" w:rsidRDefault="001158FA" w:rsidP="00125332">
      <w:pPr>
        <w:pStyle w:val="NormalWeb"/>
        <w:spacing w:before="0" w:beforeAutospacing="0" w:after="240" w:afterAutospacing="0" w:line="360" w:lineRule="auto"/>
        <w:rPr>
          <w:rFonts w:ascii="Arial" w:hAnsi="Arial" w:cs="Arial"/>
        </w:rPr>
      </w:pPr>
    </w:p>
    <w:p w14:paraId="03C10A98" w14:textId="77777777" w:rsidR="001158FA" w:rsidRDefault="001158FA" w:rsidP="00125332">
      <w:pPr>
        <w:pStyle w:val="NormalWeb"/>
        <w:spacing w:before="0" w:beforeAutospacing="0" w:after="240" w:afterAutospacing="0" w:line="360" w:lineRule="auto"/>
        <w:rPr>
          <w:rFonts w:ascii="Arial" w:hAnsi="Arial" w:cs="Arial"/>
        </w:rPr>
      </w:pPr>
    </w:p>
    <w:p w14:paraId="25F1C32B" w14:textId="77777777" w:rsidR="001158FA" w:rsidRDefault="001158FA" w:rsidP="00125332">
      <w:pPr>
        <w:pStyle w:val="NormalWeb"/>
        <w:spacing w:before="0" w:beforeAutospacing="0" w:after="240" w:afterAutospacing="0" w:line="360" w:lineRule="auto"/>
        <w:rPr>
          <w:rFonts w:ascii="Arial" w:hAnsi="Arial" w:cs="Arial"/>
        </w:rPr>
      </w:pPr>
    </w:p>
    <w:p w14:paraId="23326200" w14:textId="77777777" w:rsidR="00101DA1" w:rsidRPr="00125332" w:rsidRDefault="00101DA1" w:rsidP="00125332">
      <w:pPr>
        <w:pStyle w:val="NormalWeb"/>
        <w:spacing w:before="0" w:beforeAutospacing="0" w:after="240" w:afterAutospacing="0" w:line="360" w:lineRule="auto"/>
        <w:rPr>
          <w:rFonts w:ascii="Arial" w:hAnsi="Arial" w:cs="Arial"/>
        </w:rPr>
      </w:pPr>
    </w:p>
    <w:p w14:paraId="58F67B7C" w14:textId="3057227A" w:rsidR="00125332" w:rsidRDefault="00125332"/>
    <w:sectPr w:rsidR="00125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8A6"/>
    <w:rsid w:val="00032438"/>
    <w:rsid w:val="00070A0C"/>
    <w:rsid w:val="000A71F2"/>
    <w:rsid w:val="00101DA1"/>
    <w:rsid w:val="001158FA"/>
    <w:rsid w:val="00125332"/>
    <w:rsid w:val="00154BA6"/>
    <w:rsid w:val="0033392C"/>
    <w:rsid w:val="0038136B"/>
    <w:rsid w:val="003C154B"/>
    <w:rsid w:val="003D173A"/>
    <w:rsid w:val="00417863"/>
    <w:rsid w:val="00450190"/>
    <w:rsid w:val="005703F7"/>
    <w:rsid w:val="005F4D66"/>
    <w:rsid w:val="00661273"/>
    <w:rsid w:val="006B72FB"/>
    <w:rsid w:val="006E3A93"/>
    <w:rsid w:val="00727802"/>
    <w:rsid w:val="007B68A6"/>
    <w:rsid w:val="00822B26"/>
    <w:rsid w:val="008461E3"/>
    <w:rsid w:val="008A795E"/>
    <w:rsid w:val="008B72BD"/>
    <w:rsid w:val="009514C0"/>
    <w:rsid w:val="00A41360"/>
    <w:rsid w:val="00A56262"/>
    <w:rsid w:val="00AB4F02"/>
    <w:rsid w:val="00AE2D19"/>
    <w:rsid w:val="00B2259B"/>
    <w:rsid w:val="00B43632"/>
    <w:rsid w:val="00BD4476"/>
    <w:rsid w:val="00C15B7A"/>
    <w:rsid w:val="00C15FB5"/>
    <w:rsid w:val="00C172B2"/>
    <w:rsid w:val="00C42FB5"/>
    <w:rsid w:val="00C73886"/>
    <w:rsid w:val="00C950EC"/>
    <w:rsid w:val="00CB01F3"/>
    <w:rsid w:val="00CC05C5"/>
    <w:rsid w:val="00CF4CD0"/>
    <w:rsid w:val="00D4476B"/>
    <w:rsid w:val="00D44B3F"/>
    <w:rsid w:val="00D77677"/>
    <w:rsid w:val="00D81C79"/>
    <w:rsid w:val="00E9342B"/>
    <w:rsid w:val="00F532EC"/>
    <w:rsid w:val="00F75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1EF38"/>
  <w15:chartTrackingRefBased/>
  <w15:docId w15:val="{7A222C1F-B160-4139-B7C2-098B96D3F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53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25332"/>
    <w:rPr>
      <w:color w:val="0563C1" w:themeColor="hyperlink"/>
      <w:u w:val="single"/>
    </w:rPr>
  </w:style>
  <w:style w:type="character" w:styleId="UnresolvedMention">
    <w:name w:val="Unresolved Mention"/>
    <w:basedOn w:val="DefaultParagraphFont"/>
    <w:uiPriority w:val="99"/>
    <w:semiHidden/>
    <w:unhideWhenUsed/>
    <w:rsid w:val="001253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94778">
      <w:bodyDiv w:val="1"/>
      <w:marLeft w:val="0"/>
      <w:marRight w:val="0"/>
      <w:marTop w:val="0"/>
      <w:marBottom w:val="0"/>
      <w:divBdr>
        <w:top w:val="none" w:sz="0" w:space="0" w:color="auto"/>
        <w:left w:val="none" w:sz="0" w:space="0" w:color="auto"/>
        <w:bottom w:val="none" w:sz="0" w:space="0" w:color="auto"/>
        <w:right w:val="none" w:sz="0" w:space="0" w:color="auto"/>
      </w:divBdr>
    </w:div>
    <w:div w:id="381448423">
      <w:bodyDiv w:val="1"/>
      <w:marLeft w:val="0"/>
      <w:marRight w:val="0"/>
      <w:marTop w:val="0"/>
      <w:marBottom w:val="0"/>
      <w:divBdr>
        <w:top w:val="none" w:sz="0" w:space="0" w:color="auto"/>
        <w:left w:val="none" w:sz="0" w:space="0" w:color="auto"/>
        <w:bottom w:val="none" w:sz="0" w:space="0" w:color="auto"/>
        <w:right w:val="none" w:sz="0" w:space="0" w:color="auto"/>
      </w:divBdr>
      <w:divsChild>
        <w:div w:id="655106094">
          <w:marLeft w:val="0"/>
          <w:marRight w:val="0"/>
          <w:marTop w:val="0"/>
          <w:marBottom w:val="0"/>
          <w:divBdr>
            <w:top w:val="none" w:sz="0" w:space="0" w:color="auto"/>
            <w:left w:val="none" w:sz="0" w:space="0" w:color="auto"/>
            <w:bottom w:val="none" w:sz="0" w:space="0" w:color="auto"/>
            <w:right w:val="none" w:sz="0" w:space="0" w:color="auto"/>
          </w:divBdr>
        </w:div>
      </w:divsChild>
    </w:div>
    <w:div w:id="646516195">
      <w:bodyDiv w:val="1"/>
      <w:marLeft w:val="0"/>
      <w:marRight w:val="0"/>
      <w:marTop w:val="0"/>
      <w:marBottom w:val="0"/>
      <w:divBdr>
        <w:top w:val="none" w:sz="0" w:space="0" w:color="auto"/>
        <w:left w:val="none" w:sz="0" w:space="0" w:color="auto"/>
        <w:bottom w:val="none" w:sz="0" w:space="0" w:color="auto"/>
        <w:right w:val="none" w:sz="0" w:space="0" w:color="auto"/>
      </w:divBdr>
    </w:div>
    <w:div w:id="650716170">
      <w:bodyDiv w:val="1"/>
      <w:marLeft w:val="0"/>
      <w:marRight w:val="0"/>
      <w:marTop w:val="0"/>
      <w:marBottom w:val="0"/>
      <w:divBdr>
        <w:top w:val="none" w:sz="0" w:space="0" w:color="auto"/>
        <w:left w:val="none" w:sz="0" w:space="0" w:color="auto"/>
        <w:bottom w:val="none" w:sz="0" w:space="0" w:color="auto"/>
        <w:right w:val="none" w:sz="0" w:space="0" w:color="auto"/>
      </w:divBdr>
    </w:div>
    <w:div w:id="985621586">
      <w:bodyDiv w:val="1"/>
      <w:marLeft w:val="0"/>
      <w:marRight w:val="0"/>
      <w:marTop w:val="0"/>
      <w:marBottom w:val="0"/>
      <w:divBdr>
        <w:top w:val="none" w:sz="0" w:space="0" w:color="auto"/>
        <w:left w:val="none" w:sz="0" w:space="0" w:color="auto"/>
        <w:bottom w:val="none" w:sz="0" w:space="0" w:color="auto"/>
        <w:right w:val="none" w:sz="0" w:space="0" w:color="auto"/>
      </w:divBdr>
    </w:div>
    <w:div w:id="994721103">
      <w:bodyDiv w:val="1"/>
      <w:marLeft w:val="0"/>
      <w:marRight w:val="0"/>
      <w:marTop w:val="0"/>
      <w:marBottom w:val="0"/>
      <w:divBdr>
        <w:top w:val="none" w:sz="0" w:space="0" w:color="auto"/>
        <w:left w:val="none" w:sz="0" w:space="0" w:color="auto"/>
        <w:bottom w:val="none" w:sz="0" w:space="0" w:color="auto"/>
        <w:right w:val="none" w:sz="0" w:space="0" w:color="auto"/>
      </w:divBdr>
    </w:div>
    <w:div w:id="1263995703">
      <w:bodyDiv w:val="1"/>
      <w:marLeft w:val="0"/>
      <w:marRight w:val="0"/>
      <w:marTop w:val="0"/>
      <w:marBottom w:val="0"/>
      <w:divBdr>
        <w:top w:val="none" w:sz="0" w:space="0" w:color="auto"/>
        <w:left w:val="none" w:sz="0" w:space="0" w:color="auto"/>
        <w:bottom w:val="none" w:sz="0" w:space="0" w:color="auto"/>
        <w:right w:val="none" w:sz="0" w:space="0" w:color="auto"/>
      </w:divBdr>
    </w:div>
    <w:div w:id="1500972273">
      <w:bodyDiv w:val="1"/>
      <w:marLeft w:val="0"/>
      <w:marRight w:val="0"/>
      <w:marTop w:val="0"/>
      <w:marBottom w:val="0"/>
      <w:divBdr>
        <w:top w:val="none" w:sz="0" w:space="0" w:color="auto"/>
        <w:left w:val="none" w:sz="0" w:space="0" w:color="auto"/>
        <w:bottom w:val="none" w:sz="0" w:space="0" w:color="auto"/>
        <w:right w:val="none" w:sz="0" w:space="0" w:color="auto"/>
      </w:divBdr>
      <w:divsChild>
        <w:div w:id="1333334476">
          <w:marLeft w:val="0"/>
          <w:marRight w:val="0"/>
          <w:marTop w:val="0"/>
          <w:marBottom w:val="0"/>
          <w:divBdr>
            <w:top w:val="none" w:sz="0" w:space="0" w:color="auto"/>
            <w:left w:val="none" w:sz="0" w:space="0" w:color="auto"/>
            <w:bottom w:val="none" w:sz="0" w:space="0" w:color="auto"/>
            <w:right w:val="none" w:sz="0" w:space="0" w:color="auto"/>
          </w:divBdr>
        </w:div>
      </w:divsChild>
    </w:div>
    <w:div w:id="1560243755">
      <w:bodyDiv w:val="1"/>
      <w:marLeft w:val="0"/>
      <w:marRight w:val="0"/>
      <w:marTop w:val="0"/>
      <w:marBottom w:val="0"/>
      <w:divBdr>
        <w:top w:val="none" w:sz="0" w:space="0" w:color="auto"/>
        <w:left w:val="none" w:sz="0" w:space="0" w:color="auto"/>
        <w:bottom w:val="none" w:sz="0" w:space="0" w:color="auto"/>
        <w:right w:val="none" w:sz="0" w:space="0" w:color="auto"/>
      </w:divBdr>
      <w:divsChild>
        <w:div w:id="1760953780">
          <w:marLeft w:val="0"/>
          <w:marRight w:val="0"/>
          <w:marTop w:val="0"/>
          <w:marBottom w:val="0"/>
          <w:divBdr>
            <w:top w:val="none" w:sz="0" w:space="0" w:color="auto"/>
            <w:left w:val="none" w:sz="0" w:space="0" w:color="auto"/>
            <w:bottom w:val="none" w:sz="0" w:space="0" w:color="auto"/>
            <w:right w:val="none" w:sz="0" w:space="0" w:color="auto"/>
          </w:divBdr>
        </w:div>
      </w:divsChild>
    </w:div>
    <w:div w:id="1585601066">
      <w:bodyDiv w:val="1"/>
      <w:marLeft w:val="0"/>
      <w:marRight w:val="0"/>
      <w:marTop w:val="0"/>
      <w:marBottom w:val="0"/>
      <w:divBdr>
        <w:top w:val="none" w:sz="0" w:space="0" w:color="auto"/>
        <w:left w:val="none" w:sz="0" w:space="0" w:color="auto"/>
        <w:bottom w:val="none" w:sz="0" w:space="0" w:color="auto"/>
        <w:right w:val="none" w:sz="0" w:space="0" w:color="auto"/>
      </w:divBdr>
      <w:divsChild>
        <w:div w:id="1409616249">
          <w:marLeft w:val="0"/>
          <w:marRight w:val="0"/>
          <w:marTop w:val="0"/>
          <w:marBottom w:val="0"/>
          <w:divBdr>
            <w:top w:val="none" w:sz="0" w:space="0" w:color="auto"/>
            <w:left w:val="none" w:sz="0" w:space="0" w:color="auto"/>
            <w:bottom w:val="none" w:sz="0" w:space="0" w:color="auto"/>
            <w:right w:val="none" w:sz="0" w:space="0" w:color="auto"/>
          </w:divBdr>
        </w:div>
      </w:divsChild>
    </w:div>
    <w:div w:id="1729499947">
      <w:bodyDiv w:val="1"/>
      <w:marLeft w:val="0"/>
      <w:marRight w:val="0"/>
      <w:marTop w:val="0"/>
      <w:marBottom w:val="0"/>
      <w:divBdr>
        <w:top w:val="none" w:sz="0" w:space="0" w:color="auto"/>
        <w:left w:val="none" w:sz="0" w:space="0" w:color="auto"/>
        <w:bottom w:val="none" w:sz="0" w:space="0" w:color="auto"/>
        <w:right w:val="none" w:sz="0" w:space="0" w:color="auto"/>
      </w:divBdr>
    </w:div>
    <w:div w:id="1858620216">
      <w:bodyDiv w:val="1"/>
      <w:marLeft w:val="0"/>
      <w:marRight w:val="0"/>
      <w:marTop w:val="0"/>
      <w:marBottom w:val="0"/>
      <w:divBdr>
        <w:top w:val="none" w:sz="0" w:space="0" w:color="auto"/>
        <w:left w:val="none" w:sz="0" w:space="0" w:color="auto"/>
        <w:bottom w:val="none" w:sz="0" w:space="0" w:color="auto"/>
        <w:right w:val="none" w:sz="0" w:space="0" w:color="auto"/>
      </w:divBdr>
    </w:div>
    <w:div w:id="2117629842">
      <w:bodyDiv w:val="1"/>
      <w:marLeft w:val="0"/>
      <w:marRight w:val="0"/>
      <w:marTop w:val="0"/>
      <w:marBottom w:val="0"/>
      <w:divBdr>
        <w:top w:val="none" w:sz="0" w:space="0" w:color="auto"/>
        <w:left w:val="none" w:sz="0" w:space="0" w:color="auto"/>
        <w:bottom w:val="none" w:sz="0" w:space="0" w:color="auto"/>
        <w:right w:val="none" w:sz="0" w:space="0" w:color="auto"/>
      </w:divBdr>
      <w:divsChild>
        <w:div w:id="538200956">
          <w:marLeft w:val="0"/>
          <w:marRight w:val="0"/>
          <w:marTop w:val="0"/>
          <w:marBottom w:val="0"/>
          <w:divBdr>
            <w:top w:val="none" w:sz="0" w:space="0" w:color="auto"/>
            <w:left w:val="none" w:sz="0" w:space="0" w:color="auto"/>
            <w:bottom w:val="none" w:sz="0" w:space="0" w:color="auto"/>
            <w:right w:val="none" w:sz="0" w:space="0" w:color="auto"/>
          </w:divBdr>
          <w:divsChild>
            <w:div w:id="1791633001">
              <w:marLeft w:val="0"/>
              <w:marRight w:val="0"/>
              <w:marTop w:val="0"/>
              <w:marBottom w:val="0"/>
              <w:divBdr>
                <w:top w:val="none" w:sz="0" w:space="0" w:color="auto"/>
                <w:left w:val="none" w:sz="0" w:space="0" w:color="auto"/>
                <w:bottom w:val="none" w:sz="0" w:space="0" w:color="auto"/>
                <w:right w:val="none" w:sz="0" w:space="0" w:color="auto"/>
              </w:divBdr>
              <w:divsChild>
                <w:div w:id="1405835877">
                  <w:marLeft w:val="0"/>
                  <w:marRight w:val="0"/>
                  <w:marTop w:val="0"/>
                  <w:marBottom w:val="0"/>
                  <w:divBdr>
                    <w:top w:val="none" w:sz="0" w:space="0" w:color="auto"/>
                    <w:left w:val="none" w:sz="0" w:space="0" w:color="auto"/>
                    <w:bottom w:val="none" w:sz="0" w:space="0" w:color="auto"/>
                    <w:right w:val="none" w:sz="0" w:space="0" w:color="auto"/>
                  </w:divBdr>
                  <w:divsChild>
                    <w:div w:id="2011637478">
                      <w:marLeft w:val="0"/>
                      <w:marRight w:val="0"/>
                      <w:marTop w:val="0"/>
                      <w:marBottom w:val="0"/>
                      <w:divBdr>
                        <w:top w:val="none" w:sz="0" w:space="0" w:color="auto"/>
                        <w:left w:val="none" w:sz="0" w:space="0" w:color="auto"/>
                        <w:bottom w:val="none" w:sz="0" w:space="0" w:color="auto"/>
                        <w:right w:val="none" w:sz="0" w:space="0" w:color="auto"/>
                      </w:divBdr>
                      <w:divsChild>
                        <w:div w:id="233013060">
                          <w:marLeft w:val="0"/>
                          <w:marRight w:val="0"/>
                          <w:marTop w:val="0"/>
                          <w:marBottom w:val="0"/>
                          <w:divBdr>
                            <w:top w:val="none" w:sz="0" w:space="0" w:color="auto"/>
                            <w:left w:val="none" w:sz="0" w:space="0" w:color="auto"/>
                            <w:bottom w:val="none" w:sz="0" w:space="0" w:color="auto"/>
                            <w:right w:val="none" w:sz="0" w:space="0" w:color="auto"/>
                          </w:divBdr>
                          <w:divsChild>
                            <w:div w:id="169850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03390D-79DD-4067-BDC6-A80D8ADFD1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97744-048D-4A24-86C3-3E69C3DA290C}">
  <ds:schemaRefs>
    <ds:schemaRef ds:uri="http://schemas.microsoft.com/sharepoint/v3/contenttype/forms"/>
  </ds:schemaRefs>
</ds:datastoreItem>
</file>

<file path=customXml/itemProps3.xml><?xml version="1.0" encoding="utf-8"?>
<ds:datastoreItem xmlns:ds="http://schemas.openxmlformats.org/officeDocument/2006/customXml" ds:itemID="{009D009D-E933-4BA9-BBEF-3D1E289C1CE6}">
  <ds:schemaRefs>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0085e1a2-9cbf-4b92-866b-21f3c89040b6"/>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Liliwen Evans</dc:creator>
  <cp:keywords/>
  <dc:description/>
  <cp:lastModifiedBy>Liliwen Evans (2409002)</cp:lastModifiedBy>
  <cp:revision>2</cp:revision>
  <dcterms:created xsi:type="dcterms:W3CDTF">2025-01-19T20:49:00Z</dcterms:created>
  <dcterms:modified xsi:type="dcterms:W3CDTF">2025-01-19T20:49:00Z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