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23BCC6" w14:textId="16B214D0" w:rsidR="00901D31" w:rsidRPr="00F72EEE" w:rsidRDefault="00EB3097" w:rsidP="00901D31">
      <w:pPr>
        <w:jc w:val="center"/>
        <w:rPr>
          <w:rFonts w:ascii="Arial" w:hAnsi="Arial" w:cs="Arial"/>
          <w:sz w:val="24"/>
          <w:szCs w:val="24"/>
        </w:rPr>
      </w:pPr>
      <w:r>
        <w:rPr>
          <w:rFonts w:ascii="Arial" w:hAnsi="Arial" w:cs="Arial"/>
          <w:sz w:val="24"/>
          <w:szCs w:val="24"/>
        </w:rPr>
        <w:t>Entrepreneurship</w:t>
      </w:r>
    </w:p>
    <w:p w14:paraId="3C0DF4C3" w14:textId="7F10A1AA" w:rsidR="00901D31" w:rsidRPr="00F72EEE" w:rsidRDefault="00EB3097" w:rsidP="00901D31">
      <w:pPr>
        <w:jc w:val="center"/>
        <w:rPr>
          <w:rFonts w:ascii="Arial" w:hAnsi="Arial" w:cs="Arial"/>
          <w:sz w:val="24"/>
          <w:szCs w:val="24"/>
        </w:rPr>
      </w:pPr>
      <w:r>
        <w:rPr>
          <w:rFonts w:ascii="Arial" w:hAnsi="Arial" w:cs="Arial"/>
          <w:sz w:val="24"/>
          <w:szCs w:val="24"/>
        </w:rPr>
        <w:t>Final Business Plan</w:t>
      </w:r>
    </w:p>
    <w:p w14:paraId="7E73A7FD" w14:textId="12043BA4" w:rsidR="00901D31" w:rsidRPr="00F72EEE" w:rsidRDefault="00901D31" w:rsidP="00901D31">
      <w:pPr>
        <w:jc w:val="center"/>
        <w:rPr>
          <w:rFonts w:ascii="Arial" w:hAnsi="Arial" w:cs="Arial"/>
          <w:sz w:val="24"/>
          <w:szCs w:val="24"/>
        </w:rPr>
      </w:pPr>
      <w:r w:rsidRPr="00F72EEE">
        <w:rPr>
          <w:rFonts w:ascii="Arial" w:hAnsi="Arial" w:cs="Arial"/>
          <w:sz w:val="24"/>
          <w:szCs w:val="24"/>
        </w:rPr>
        <w:t xml:space="preserve">Lecturer: </w:t>
      </w:r>
      <w:r w:rsidR="00EB3097">
        <w:rPr>
          <w:rFonts w:ascii="Arial" w:hAnsi="Arial" w:cs="Arial"/>
          <w:sz w:val="24"/>
          <w:szCs w:val="24"/>
        </w:rPr>
        <w:t>Joanne Howell</w:t>
      </w:r>
    </w:p>
    <w:p w14:paraId="36009C3B" w14:textId="54003E00" w:rsidR="00901D31" w:rsidRPr="00F72EEE" w:rsidRDefault="00EB3097" w:rsidP="00901D31">
      <w:pPr>
        <w:jc w:val="center"/>
        <w:rPr>
          <w:rFonts w:ascii="Arial" w:hAnsi="Arial" w:cs="Arial"/>
          <w:sz w:val="24"/>
          <w:szCs w:val="24"/>
        </w:rPr>
      </w:pPr>
      <w:r>
        <w:rPr>
          <w:rFonts w:ascii="Arial" w:hAnsi="Arial" w:cs="Arial"/>
          <w:sz w:val="24"/>
          <w:szCs w:val="24"/>
        </w:rPr>
        <w:t>Submitted</w:t>
      </w:r>
      <w:r w:rsidR="00901D31" w:rsidRPr="00F72EEE">
        <w:rPr>
          <w:rFonts w:ascii="Arial" w:hAnsi="Arial" w:cs="Arial"/>
          <w:sz w:val="24"/>
          <w:szCs w:val="24"/>
        </w:rPr>
        <w:t xml:space="preserve">: </w:t>
      </w:r>
      <w:r w:rsidR="00901D31">
        <w:rPr>
          <w:rFonts w:ascii="Arial" w:hAnsi="Arial" w:cs="Arial"/>
          <w:sz w:val="24"/>
          <w:szCs w:val="24"/>
        </w:rPr>
        <w:t>07</w:t>
      </w:r>
      <w:r w:rsidR="00901D31" w:rsidRPr="00F72EEE">
        <w:rPr>
          <w:rFonts w:ascii="Arial" w:hAnsi="Arial" w:cs="Arial"/>
          <w:sz w:val="24"/>
          <w:szCs w:val="24"/>
        </w:rPr>
        <w:t>/0</w:t>
      </w:r>
      <w:r w:rsidR="00901D31">
        <w:rPr>
          <w:rFonts w:ascii="Arial" w:hAnsi="Arial" w:cs="Arial"/>
          <w:sz w:val="24"/>
          <w:szCs w:val="24"/>
        </w:rPr>
        <w:t>7</w:t>
      </w:r>
      <w:r w:rsidR="00901D31" w:rsidRPr="00F72EEE">
        <w:rPr>
          <w:rFonts w:ascii="Arial" w:hAnsi="Arial" w:cs="Arial"/>
          <w:sz w:val="24"/>
          <w:szCs w:val="24"/>
        </w:rPr>
        <w:t>/2020</w:t>
      </w:r>
    </w:p>
    <w:p w14:paraId="50765F12" w14:textId="23C5ED8E" w:rsidR="00901D31" w:rsidRPr="00F72EEE" w:rsidRDefault="00901D31" w:rsidP="00901D31">
      <w:pPr>
        <w:jc w:val="center"/>
        <w:rPr>
          <w:rFonts w:ascii="Arial" w:hAnsi="Arial" w:cs="Arial"/>
          <w:sz w:val="24"/>
          <w:szCs w:val="24"/>
        </w:rPr>
      </w:pPr>
      <w:r w:rsidRPr="00F72EEE">
        <w:rPr>
          <w:rFonts w:ascii="Arial" w:hAnsi="Arial" w:cs="Arial"/>
          <w:sz w:val="24"/>
          <w:szCs w:val="24"/>
        </w:rPr>
        <w:t>Word Count:</w:t>
      </w:r>
      <w:r>
        <w:rPr>
          <w:rFonts w:ascii="Arial" w:hAnsi="Arial" w:cs="Arial"/>
          <w:sz w:val="24"/>
          <w:szCs w:val="24"/>
        </w:rPr>
        <w:t xml:space="preserve"> 5</w:t>
      </w:r>
      <w:r w:rsidR="00EB3097">
        <w:rPr>
          <w:rFonts w:ascii="Arial" w:hAnsi="Arial" w:cs="Arial"/>
          <w:sz w:val="24"/>
          <w:szCs w:val="24"/>
        </w:rPr>
        <w:t>55</w:t>
      </w:r>
      <w:r>
        <w:rPr>
          <w:rFonts w:ascii="Arial" w:hAnsi="Arial" w:cs="Arial"/>
          <w:sz w:val="24"/>
          <w:szCs w:val="24"/>
        </w:rPr>
        <w:t xml:space="preserve"> </w:t>
      </w:r>
    </w:p>
    <w:p w14:paraId="682A14FF" w14:textId="77777777" w:rsidR="00901D31" w:rsidRPr="00F72EEE" w:rsidRDefault="00901D31" w:rsidP="00901D31">
      <w:pPr>
        <w:jc w:val="center"/>
        <w:rPr>
          <w:rFonts w:ascii="Arial" w:hAnsi="Arial" w:cs="Arial"/>
          <w:sz w:val="24"/>
          <w:szCs w:val="24"/>
        </w:rPr>
      </w:pPr>
      <w:r w:rsidRPr="00F72EEE">
        <w:rPr>
          <w:rFonts w:ascii="Arial" w:hAnsi="Arial" w:cs="Arial"/>
          <w:sz w:val="24"/>
          <w:szCs w:val="24"/>
        </w:rPr>
        <w:t>Student Number: 1818533</w:t>
      </w:r>
    </w:p>
    <w:p w14:paraId="31746436" w14:textId="77777777" w:rsidR="00901D31" w:rsidRDefault="00901D31" w:rsidP="00901D31">
      <w:pPr>
        <w:jc w:val="center"/>
        <w:rPr>
          <w:rFonts w:ascii="Arial" w:hAnsi="Arial" w:cs="Arial"/>
          <w:sz w:val="24"/>
          <w:szCs w:val="24"/>
        </w:rPr>
        <w:sectPr w:rsidR="00901D31">
          <w:headerReference w:type="default" r:id="rId6"/>
          <w:pgSz w:w="11906" w:h="16838"/>
          <w:pgMar w:top="1440" w:right="1440" w:bottom="1440" w:left="1440" w:header="708" w:footer="708" w:gutter="0"/>
          <w:cols w:space="708"/>
          <w:docGrid w:linePitch="360"/>
        </w:sectPr>
      </w:pPr>
      <w:r w:rsidRPr="00F72EEE">
        <w:rPr>
          <w:rFonts w:ascii="Arial" w:hAnsi="Arial" w:cs="Arial"/>
          <w:sz w:val="24"/>
          <w:szCs w:val="24"/>
        </w:rPr>
        <w:t>Student: Muhith Miah</w:t>
      </w:r>
    </w:p>
    <w:p w14:paraId="75BD97C5" w14:textId="77777777" w:rsidR="00901D31" w:rsidRDefault="00901D31" w:rsidP="00901D31">
      <w:pPr>
        <w:pStyle w:val="NormalWeb"/>
        <w:shd w:val="clear" w:color="auto" w:fill="FFFFFF"/>
        <w:spacing w:before="0" w:beforeAutospacing="0" w:after="160" w:afterAutospacing="0" w:line="360" w:lineRule="auto"/>
        <w:jc w:val="center"/>
        <w:rPr>
          <w:rFonts w:ascii="Arial" w:hAnsi="Arial" w:cs="Arial"/>
          <w:color w:val="222222"/>
        </w:rPr>
      </w:pPr>
      <w:r>
        <w:rPr>
          <w:rFonts w:ascii="Arial" w:hAnsi="Arial" w:cs="Arial"/>
          <w:b/>
          <w:bCs/>
          <w:color w:val="000000"/>
        </w:rPr>
        <w:lastRenderedPageBreak/>
        <w:t>The Marketing Mix</w:t>
      </w:r>
    </w:p>
    <w:p w14:paraId="057461F9" w14:textId="7A8ECD43" w:rsidR="00901D31" w:rsidRDefault="00901D31" w:rsidP="00901D31">
      <w:pPr>
        <w:pStyle w:val="NormalWeb"/>
        <w:shd w:val="clear" w:color="auto" w:fill="FFFFFF"/>
        <w:spacing w:before="0" w:beforeAutospacing="0" w:after="160" w:afterAutospacing="0" w:line="360" w:lineRule="auto"/>
        <w:ind w:firstLine="720"/>
        <w:jc w:val="both"/>
        <w:rPr>
          <w:rFonts w:ascii="Arial" w:hAnsi="Arial" w:cs="Arial"/>
          <w:color w:val="222222"/>
        </w:rPr>
      </w:pPr>
      <w:r>
        <w:rPr>
          <w:rFonts w:ascii="Arial" w:hAnsi="Arial" w:cs="Arial"/>
          <w:color w:val="000000"/>
        </w:rPr>
        <w:t xml:space="preserve">The product is a renowned British coffee brand, which has a significant global presence. Its portfolio accounts for a variety of coffee and supplementary products that include sandwiches, cold drinks like Frappuccino and iced tea, as well as bakery stuff.  In terms of pricing, premium pricing is proposed as it is justified by international branding and high quality (Kotler, 2008). Along with that, it is imperative to know that the target market is affluent and falls within the higher income bands in the chosen country. The target market includes private university students and professionals with an income of more than 500GBP per month purely because of their purchasing power capability. This is justified by the fact that the company is pursuing a premium pricing strategy and targeting people who are aware of the cost of brand and those who are digital users and prone to increasingly adopt the habit of drinking coffee. It </w:t>
      </w:r>
      <w:r>
        <w:rPr>
          <w:rFonts w:ascii="Arial" w:hAnsi="Arial" w:cs="Arial"/>
          <w:color w:val="000000"/>
        </w:rPr>
        <w:t>must</w:t>
      </w:r>
      <w:r>
        <w:rPr>
          <w:rFonts w:ascii="Arial" w:hAnsi="Arial" w:cs="Arial"/>
          <w:color w:val="000000"/>
        </w:rPr>
        <w:t xml:space="preserve"> be noted that local cafes usually sell a cup of coffee for anywhere between 50 pence to 80 pence. Whereas Costa will pursue a premium pricing strategy where a cup of coffee is highly likely to be sold at three times the price at a minimum of £1.80 equivalent.</w:t>
      </w:r>
    </w:p>
    <w:p w14:paraId="5CDF353E" w14:textId="77777777" w:rsidR="00901D31" w:rsidRDefault="00901D31" w:rsidP="00901D31">
      <w:pPr>
        <w:pStyle w:val="NormalWeb"/>
        <w:shd w:val="clear" w:color="auto" w:fill="FFFFFF"/>
        <w:spacing w:before="0" w:beforeAutospacing="0" w:after="160" w:afterAutospacing="0" w:line="360" w:lineRule="auto"/>
        <w:ind w:firstLine="720"/>
        <w:jc w:val="both"/>
        <w:rPr>
          <w:rFonts w:ascii="Arial" w:hAnsi="Arial" w:cs="Arial"/>
          <w:color w:val="222222"/>
        </w:rPr>
      </w:pPr>
      <w:r>
        <w:rPr>
          <w:rFonts w:ascii="Arial" w:hAnsi="Arial" w:cs="Arial"/>
          <w:color w:val="000000"/>
        </w:rPr>
        <w:t>The plan in terms of the place is to choose three prominent locations in Dhaka, the capital. The choice of the city is justified by its high population of around 20 million and the significant number of people who fall within the socio-economic bands targeted in the business plan. Furthermore, the city is also home to the top business establishments and educational institutions catering to millions of individuals. The choice of location for the two Costa outlets is in the affluent residential areas of Dhanmondi and Gulshan, which are not the only resident to people who are on the higher of the rungs of the social-economic ladder, but also home to a significant number of business establishments and institutions, which are also likely to attract potential clientele. Furthermore, there is an affinity to socialise in restaurants, cafes and malls owing to the collectivist culture of the country and the lack of opportunities for people to engage in outdoor social engagements. The third location that has been chosen is the international airport. This is because the international airport is currently devoid of any standard coffee shops, let alone any international brands. The country has over the years, witnessed a commendable rise in the number of travellers who travel overseas purely for leisure purposes, as well as for business purposes. The increase in the amount of international travel is therefore likely to attract customers to the international coffee shop outlet.</w:t>
      </w:r>
    </w:p>
    <w:p w14:paraId="7A0A76AB" w14:textId="476C5F73" w:rsidR="00901D31" w:rsidRDefault="00901D31" w:rsidP="00901D31">
      <w:pPr>
        <w:pStyle w:val="NormalWeb"/>
        <w:shd w:val="clear" w:color="auto" w:fill="FFFFFF"/>
        <w:spacing w:before="0" w:beforeAutospacing="0" w:after="160" w:afterAutospacing="0" w:line="360" w:lineRule="auto"/>
        <w:ind w:firstLine="720"/>
        <w:jc w:val="both"/>
        <w:rPr>
          <w:rFonts w:ascii="Arial" w:hAnsi="Arial" w:cs="Arial"/>
          <w:color w:val="000000"/>
        </w:rPr>
      </w:pPr>
      <w:r>
        <w:rPr>
          <w:rFonts w:ascii="Arial" w:hAnsi="Arial" w:cs="Arial"/>
          <w:color w:val="000000"/>
        </w:rPr>
        <w:lastRenderedPageBreak/>
        <w:t>In terms of promotion, a variety of strategies are proposed to be pursued. This includes setting up billboards, digital marketing</w:t>
      </w:r>
      <w:r>
        <w:rPr>
          <w:rFonts w:ascii="Arial" w:hAnsi="Arial" w:cs="Arial"/>
          <w:color w:val="000000"/>
        </w:rPr>
        <w:t>,</w:t>
      </w:r>
      <w:r>
        <w:rPr>
          <w:rFonts w:ascii="Arial" w:hAnsi="Arial" w:cs="Arial"/>
          <w:color w:val="000000"/>
        </w:rPr>
        <w:t xml:space="preserve"> and social media marketing through suitable channels like Facebook, Twitter, Instagram, and YouTube. As has been discussed earlier, high mobile penetration and the rise of active digital users will enable greater outreach. Along with that, local celebrity endorsements will also enhance brand awareness and enable further validation amongst those who may not necessarily be aware of its global stance. </w:t>
      </w:r>
    </w:p>
    <w:p w14:paraId="23968EF4" w14:textId="6C36B332" w:rsidR="00EB3097" w:rsidRDefault="00EB3097" w:rsidP="00901D31">
      <w:pPr>
        <w:pStyle w:val="NormalWeb"/>
        <w:shd w:val="clear" w:color="auto" w:fill="FFFFFF"/>
        <w:spacing w:before="0" w:beforeAutospacing="0" w:after="160" w:afterAutospacing="0" w:line="360" w:lineRule="auto"/>
        <w:ind w:firstLine="720"/>
        <w:jc w:val="both"/>
        <w:rPr>
          <w:rFonts w:ascii="Arial" w:hAnsi="Arial" w:cs="Arial"/>
          <w:color w:val="222222"/>
        </w:rPr>
      </w:pPr>
      <w:r>
        <w:rPr>
          <w:rFonts w:ascii="Arial" w:hAnsi="Arial" w:cs="Arial"/>
          <w:color w:val="000000"/>
        </w:rPr>
        <w:t>To conclude, Costa will do well in Bangladesh because it is a popular brand within the UK, which will attract new customers (Bangladeshi people) and may be a familiar location for tourists.</w:t>
      </w:r>
    </w:p>
    <w:p w14:paraId="7465301E" w14:textId="08185DAC" w:rsidR="003B0A1E" w:rsidRPr="00901D31" w:rsidRDefault="003B0A1E" w:rsidP="00901D31">
      <w:pPr>
        <w:spacing w:line="360" w:lineRule="auto"/>
      </w:pPr>
    </w:p>
    <w:sectPr w:rsidR="003B0A1E" w:rsidRPr="00901D31" w:rsidSect="00901D31">
      <w:headerReference w:type="default" r:id="rId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BB7BF5" w14:textId="77777777" w:rsidR="00CB56DF" w:rsidRDefault="00CB56DF" w:rsidP="00901D31">
      <w:pPr>
        <w:spacing w:after="0" w:line="240" w:lineRule="auto"/>
      </w:pPr>
      <w:r>
        <w:separator/>
      </w:r>
    </w:p>
  </w:endnote>
  <w:endnote w:type="continuationSeparator" w:id="0">
    <w:p w14:paraId="22C98B92" w14:textId="77777777" w:rsidR="00CB56DF" w:rsidRDefault="00CB56DF" w:rsidP="00901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06BA65" w14:textId="77777777" w:rsidR="00CB56DF" w:rsidRDefault="00CB56DF" w:rsidP="00901D31">
      <w:pPr>
        <w:spacing w:after="0" w:line="240" w:lineRule="auto"/>
      </w:pPr>
      <w:r>
        <w:separator/>
      </w:r>
    </w:p>
  </w:footnote>
  <w:footnote w:type="continuationSeparator" w:id="0">
    <w:p w14:paraId="65672562" w14:textId="77777777" w:rsidR="00CB56DF" w:rsidRDefault="00CB56DF" w:rsidP="00901D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6173139"/>
      <w:docPartObj>
        <w:docPartGallery w:val="Page Numbers (Top of Page)"/>
        <w:docPartUnique/>
      </w:docPartObj>
    </w:sdtPr>
    <w:sdtEndPr>
      <w:rPr>
        <w:noProof/>
      </w:rPr>
    </w:sdtEndPr>
    <w:sdtContent>
      <w:p w14:paraId="012923C7" w14:textId="1AF08D5E" w:rsidR="00901D31" w:rsidRDefault="00901D31">
        <w:pPr>
          <w:pStyle w:val="Header"/>
        </w:pPr>
        <w:r>
          <w:t>Muhith Miah</w:t>
        </w:r>
        <w:r>
          <w:tab/>
        </w:r>
        <w:r>
          <w:tab/>
        </w:r>
      </w:p>
    </w:sdtContent>
  </w:sdt>
  <w:p w14:paraId="6B51CFB3" w14:textId="77777777" w:rsidR="00F72EEE" w:rsidRDefault="00CB56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2502513"/>
      <w:docPartObj>
        <w:docPartGallery w:val="Page Numbers (Top of Page)"/>
        <w:docPartUnique/>
      </w:docPartObj>
    </w:sdtPr>
    <w:sdtEndPr>
      <w:rPr>
        <w:noProof/>
      </w:rPr>
    </w:sdtEndPr>
    <w:sdtContent>
      <w:p w14:paraId="4597A22D" w14:textId="4E30EFB2" w:rsidR="00EB3097" w:rsidRDefault="00EB309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98B96B7" w14:textId="77777777" w:rsidR="00EB3097" w:rsidRDefault="00EB30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D31"/>
    <w:rsid w:val="003B0A1E"/>
    <w:rsid w:val="00686C95"/>
    <w:rsid w:val="00901D31"/>
    <w:rsid w:val="00CB56DF"/>
    <w:rsid w:val="00EB3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C2281"/>
  <w15:chartTrackingRefBased/>
  <w15:docId w15:val="{20251807-4482-48E4-A403-FA92B16DF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D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D31"/>
  </w:style>
  <w:style w:type="paragraph" w:styleId="Footer">
    <w:name w:val="footer"/>
    <w:basedOn w:val="Normal"/>
    <w:link w:val="FooterChar"/>
    <w:uiPriority w:val="99"/>
    <w:unhideWhenUsed/>
    <w:rsid w:val="00901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D31"/>
  </w:style>
  <w:style w:type="paragraph" w:styleId="NormalWeb">
    <w:name w:val="Normal (Web)"/>
    <w:basedOn w:val="Normal"/>
    <w:uiPriority w:val="99"/>
    <w:semiHidden/>
    <w:unhideWhenUsed/>
    <w:rsid w:val="00901D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798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Pages>
  <Words>533</Words>
  <Characters>3043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S. (966323)</dc:creator>
  <cp:keywords/>
  <dc:description/>
  <cp:lastModifiedBy>BEGUM S. (966323)</cp:lastModifiedBy>
  <cp:revision>1</cp:revision>
  <dcterms:created xsi:type="dcterms:W3CDTF">2020-07-07T01:59:00Z</dcterms:created>
  <dcterms:modified xsi:type="dcterms:W3CDTF">2020-07-07T02:18:00Z</dcterms:modified>
</cp:coreProperties>
</file>