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DE5BB" w14:textId="77777777" w:rsidR="00EA6F8A" w:rsidRPr="00EA6F8A" w:rsidRDefault="00EA6F8A" w:rsidP="009C49C1">
      <w:pPr>
        <w:spacing w:after="0" w:line="480" w:lineRule="auto"/>
        <w:rPr>
          <w:rFonts w:ascii="Times New Roman" w:hAnsi="Times New Roman"/>
          <w:b/>
          <w:bCs/>
          <w:sz w:val="24"/>
          <w:szCs w:val="24"/>
        </w:rPr>
      </w:pPr>
      <w:r w:rsidRPr="00EA6F8A">
        <w:rPr>
          <w:rFonts w:ascii="Times New Roman" w:hAnsi="Times New Roman"/>
          <w:b/>
          <w:bCs/>
          <w:sz w:val="24"/>
          <w:szCs w:val="24"/>
        </w:rPr>
        <w:t xml:space="preserve">Theoretical Approaches to Learning </w:t>
      </w:r>
    </w:p>
    <w:p w14:paraId="2C93192B"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Learning approaches are principles that </w:t>
      </w:r>
      <w:r w:rsidR="00CC1FAF">
        <w:rPr>
          <w:rFonts w:ascii="Times New Roman" w:hAnsi="Times New Roman"/>
          <w:sz w:val="24"/>
          <w:szCs w:val="24"/>
        </w:rPr>
        <w:t xml:space="preserve">underpin </w:t>
      </w:r>
      <w:r w:rsidRPr="00A9383E">
        <w:rPr>
          <w:rFonts w:ascii="Times New Roman" w:hAnsi="Times New Roman"/>
          <w:sz w:val="24"/>
          <w:szCs w:val="24"/>
        </w:rPr>
        <w:t xml:space="preserve">how students acquire, hold, and recall knowledge taught in class. Understanding different theoretical approaches to learning </w:t>
      </w:r>
      <w:r w:rsidR="00CC1FAF">
        <w:rPr>
          <w:rFonts w:ascii="Times New Roman" w:hAnsi="Times New Roman"/>
          <w:sz w:val="24"/>
          <w:szCs w:val="24"/>
        </w:rPr>
        <w:t xml:space="preserve">is critical in </w:t>
      </w:r>
      <w:r w:rsidRPr="00A9383E">
        <w:rPr>
          <w:rFonts w:ascii="Times New Roman" w:hAnsi="Times New Roman"/>
          <w:sz w:val="24"/>
          <w:szCs w:val="24"/>
        </w:rPr>
        <w:t>understand</w:t>
      </w:r>
      <w:r w:rsidR="00CC1FAF">
        <w:rPr>
          <w:rFonts w:ascii="Times New Roman" w:hAnsi="Times New Roman"/>
          <w:sz w:val="24"/>
          <w:szCs w:val="24"/>
        </w:rPr>
        <w:t>ing</w:t>
      </w:r>
      <w:r w:rsidRPr="00A9383E">
        <w:rPr>
          <w:rFonts w:ascii="Times New Roman" w:hAnsi="Times New Roman"/>
          <w:sz w:val="24"/>
          <w:szCs w:val="24"/>
        </w:rPr>
        <w:t xml:space="preserve"> how learning takes place in the classroom. Principles of learning theories help teachers determine which strategies and techniques will promote learning and improve students’ performance. This essay discusses the behavioral learning approach, skinner, and the </w:t>
      </w:r>
      <w:r w:rsidR="0053564A" w:rsidRPr="00A9383E">
        <w:rPr>
          <w:rFonts w:ascii="Times New Roman" w:hAnsi="Times New Roman"/>
          <w:sz w:val="24"/>
          <w:szCs w:val="24"/>
        </w:rPr>
        <w:t>Vygotsky</w:t>
      </w:r>
      <w:r w:rsidR="0053564A">
        <w:rPr>
          <w:rFonts w:ascii="Times New Roman" w:hAnsi="Times New Roman"/>
          <w:sz w:val="24"/>
          <w:szCs w:val="24"/>
        </w:rPr>
        <w:t xml:space="preserve">’s </w:t>
      </w:r>
      <w:r w:rsidRPr="00A9383E">
        <w:rPr>
          <w:rFonts w:ascii="Times New Roman" w:hAnsi="Times New Roman"/>
          <w:sz w:val="24"/>
          <w:szCs w:val="24"/>
        </w:rPr>
        <w:t>social constructivist</w:t>
      </w:r>
      <w:r w:rsidR="0053564A">
        <w:rPr>
          <w:rFonts w:ascii="Times New Roman" w:hAnsi="Times New Roman"/>
          <w:sz w:val="24"/>
          <w:szCs w:val="24"/>
        </w:rPr>
        <w:t xml:space="preserve">. </w:t>
      </w:r>
    </w:p>
    <w:p w14:paraId="22393F1F" w14:textId="77777777" w:rsidR="00EA6F8A" w:rsidRPr="00A9383E" w:rsidRDefault="00EA6F8A" w:rsidP="009C49C1">
      <w:pPr>
        <w:spacing w:after="0" w:line="480" w:lineRule="auto"/>
        <w:rPr>
          <w:rFonts w:ascii="Times New Roman" w:hAnsi="Times New Roman"/>
          <w:sz w:val="24"/>
          <w:szCs w:val="24"/>
        </w:rPr>
      </w:pPr>
      <w:r w:rsidRPr="00EA6F8A">
        <w:rPr>
          <w:rFonts w:ascii="Times New Roman" w:hAnsi="Times New Roman"/>
          <w:b/>
          <w:bCs/>
          <w:sz w:val="24"/>
          <w:szCs w:val="24"/>
        </w:rPr>
        <w:t>Skinner</w:t>
      </w:r>
    </w:p>
    <w:p w14:paraId="09373A18"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According to the B.F. Skinner theory, learning refers to a function of change in behavior resulting from an individual's response to certain stimuli in their environment</w:t>
      </w:r>
      <w:r w:rsidRPr="00A9383E">
        <w:rPr>
          <w:sz w:val="24"/>
          <w:szCs w:val="24"/>
        </w:rPr>
        <w:t xml:space="preserve"> (</w:t>
      </w:r>
      <w:r w:rsidRPr="00A9383E">
        <w:rPr>
          <w:rFonts w:ascii="Times New Roman" w:hAnsi="Times New Roman"/>
          <w:sz w:val="24"/>
          <w:szCs w:val="24"/>
        </w:rPr>
        <w:t>Fritze, 2019, p.12). The stimulus is the question, and the response, which is the answer, has consequences such as answering a question, defining a word, or solving an equation. A stimulus-response (S-R) pattern is reinforced, conditioning the individual to respond.</w:t>
      </w:r>
      <w:r w:rsidRPr="00A9383E">
        <w:rPr>
          <w:sz w:val="24"/>
          <w:szCs w:val="24"/>
        </w:rPr>
        <w:t xml:space="preserve"> </w:t>
      </w:r>
      <w:r w:rsidRPr="00A9383E">
        <w:rPr>
          <w:rFonts w:ascii="Times New Roman" w:hAnsi="Times New Roman"/>
          <w:sz w:val="24"/>
          <w:szCs w:val="24"/>
        </w:rPr>
        <w:t>Operant conditioning relates to previous behavioral forms that a student may use to emit a response rather than elicit a response stimulated by an external stimulus. Skinner's operant conditioning theory explains that behavior is enhanced by an immediate response to a familiar stimulus and does not require repeated efforts.</w:t>
      </w:r>
    </w:p>
    <w:p w14:paraId="26BC562E" w14:textId="77777777" w:rsidR="00EA6F8A" w:rsidRPr="00A9383E" w:rsidRDefault="00EA6F8A" w:rsidP="0053564A">
      <w:pPr>
        <w:spacing w:after="0" w:line="480" w:lineRule="auto"/>
        <w:ind w:firstLine="720"/>
        <w:rPr>
          <w:rFonts w:ascii="Times New Roman" w:hAnsi="Times New Roman"/>
          <w:sz w:val="24"/>
          <w:szCs w:val="24"/>
        </w:rPr>
      </w:pPr>
      <w:r>
        <w:rPr>
          <w:rFonts w:ascii="Times New Roman" w:hAnsi="Times New Roman"/>
          <w:sz w:val="24"/>
          <w:szCs w:val="24"/>
        </w:rPr>
        <w:t>Skinner's S-R theory's main element</w:t>
      </w:r>
      <w:r w:rsidRPr="00A9383E">
        <w:rPr>
          <w:rFonts w:ascii="Times New Roman" w:hAnsi="Times New Roman"/>
          <w:sz w:val="24"/>
          <w:szCs w:val="24"/>
        </w:rPr>
        <w:t xml:space="preserve"> is reinforcement, which refers to anything that strengthens an individual to give the desired response, such as a good grade or praise. There are also negative reinforces which reduce response such as punishment, and when withdrawn, it increases response frequency. The theory emphasizes the impact of reinforces in establishing and strengthening behavior. Humans can respond to verbal operant by obeying laws and taking advice even though they have never suffered the negative consequences of disobedience.  Knowing the consequence of choosing a particular behavior is enough to prevent humans from engaging in certain behaviors.</w:t>
      </w:r>
    </w:p>
    <w:p w14:paraId="2242E3AD" w14:textId="1EA074D5"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lastRenderedPageBreak/>
        <w:t>Skinner’s theory is applied in secondary school for Y</w:t>
      </w:r>
      <w:r w:rsidR="009C49C1">
        <w:rPr>
          <w:rFonts w:ascii="Times New Roman" w:hAnsi="Times New Roman"/>
          <w:sz w:val="24"/>
          <w:szCs w:val="24"/>
        </w:rPr>
        <w:t xml:space="preserve">ears </w:t>
      </w:r>
      <w:r w:rsidRPr="00A9383E">
        <w:rPr>
          <w:rFonts w:ascii="Times New Roman" w:hAnsi="Times New Roman"/>
          <w:sz w:val="24"/>
          <w:szCs w:val="24"/>
        </w:rPr>
        <w:t xml:space="preserve">11-18 through behavior modification controlled by conditioning. The theory is applied in class to encourage good behavior and deter bad behavior through positive and negative reinforcements (Jarvis, Holford &amp; Griffin, 2003, p.25). Operant conditioning encourages teachers to use positive reinforcement to improve student's success and development. An individual is more likely to do an action if it has a good consequence, but if the consequence is negative, an individual will avoid repeating the action. Through this process, an individual develops their behavior by understanding and ruling out wanted and unwanted behaviors. </w:t>
      </w:r>
    </w:p>
    <w:p w14:paraId="7B2529D4"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Operant conditioning is effective in classrooms because teachers can use positive reinforcements such as verbal praise to encourage good student behavior and negative reinforcements such as punishment to discourage bad behavior</w:t>
      </w:r>
      <w:r w:rsidRPr="00A9383E">
        <w:rPr>
          <w:sz w:val="24"/>
          <w:szCs w:val="24"/>
        </w:rPr>
        <w:t xml:space="preserve"> (</w:t>
      </w:r>
      <w:r w:rsidRPr="00A9383E">
        <w:rPr>
          <w:rFonts w:ascii="Times New Roman" w:hAnsi="Times New Roman"/>
          <w:sz w:val="24"/>
          <w:szCs w:val="24"/>
        </w:rPr>
        <w:t xml:space="preserve">Shahan, 2017, p.107). For example, in a classroom, students are expected to complete their assignment and hand it in time. When a student observes this, a teacher may praise them by saying, "well done, James'. </w:t>
      </w:r>
    </w:p>
    <w:p w14:paraId="5BC29CE1"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The positive response makes the student feel happy and proud of themselves; thus, self-satisfaction influences them to emulate this behavior and finish their assignment in time from then. Through this simple act, the teacher can educate the student on how they are expected to behave. The positive reinforcement will influence the student to be determined to impress the teacher again. Rewards such as snacks can also be used occasionally as positive reinforcement (Lungu, 2018, p.225). They should not be overused to avoid dependency that will affect a student's action if they are not present with the reward. </w:t>
      </w:r>
    </w:p>
    <w:p w14:paraId="54094F1C"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Operant conditioning can also be used to teach students new things such as a new math formula. When a student gets it correctly, the teacher can use praise or symbols such as ticks t</w:t>
      </w:r>
      <w:r>
        <w:rPr>
          <w:rFonts w:ascii="Times New Roman" w:hAnsi="Times New Roman"/>
          <w:sz w:val="24"/>
          <w:szCs w:val="24"/>
        </w:rPr>
        <w:t>o</w:t>
      </w:r>
      <w:r w:rsidRPr="00A9383E">
        <w:rPr>
          <w:rFonts w:ascii="Times New Roman" w:hAnsi="Times New Roman"/>
          <w:sz w:val="24"/>
          <w:szCs w:val="24"/>
        </w:rPr>
        <w:t xml:space="preserve"> enhance the student to ingrain that they did it right. If the student does not get it right, the teacher fails to praise them or give them a tick; therefore, it will nurture the</w:t>
      </w:r>
      <w:r>
        <w:rPr>
          <w:rFonts w:ascii="Times New Roman" w:hAnsi="Times New Roman"/>
          <w:sz w:val="24"/>
          <w:szCs w:val="24"/>
        </w:rPr>
        <w:t>m</w:t>
      </w:r>
      <w:r w:rsidRPr="00A9383E">
        <w:rPr>
          <w:rFonts w:ascii="Times New Roman" w:hAnsi="Times New Roman"/>
          <w:sz w:val="24"/>
          <w:szCs w:val="24"/>
        </w:rPr>
        <w:t xml:space="preserve"> to get it right next time to be praised. </w:t>
      </w:r>
    </w:p>
    <w:p w14:paraId="042CCA2E" w14:textId="2802411A" w:rsidR="00EA6F8A" w:rsidRDefault="009C49C1" w:rsidP="0053564A">
      <w:pPr>
        <w:spacing w:after="0" w:line="480" w:lineRule="auto"/>
        <w:ind w:firstLine="720"/>
        <w:rPr>
          <w:rFonts w:ascii="Times New Roman" w:hAnsi="Times New Roman"/>
          <w:noProof/>
          <w:sz w:val="24"/>
          <w:szCs w:val="24"/>
        </w:rPr>
      </w:pPr>
      <w:r w:rsidRPr="00EA6F8A">
        <w:rPr>
          <w:rFonts w:ascii="Times New Roman" w:hAnsi="Times New Roman"/>
          <w:noProof/>
          <w:sz w:val="24"/>
          <w:szCs w:val="24"/>
        </w:rPr>
        <w:lastRenderedPageBreak/>
        <w:drawing>
          <wp:inline distT="0" distB="0" distL="0" distR="0" wp14:anchorId="7D572D2F" wp14:editId="065FE5DF">
            <wp:extent cx="4762500" cy="379476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3794760"/>
                    </a:xfrm>
                    <a:prstGeom prst="rect">
                      <a:avLst/>
                    </a:prstGeom>
                    <a:noFill/>
                    <a:ln>
                      <a:noFill/>
                    </a:ln>
                  </pic:spPr>
                </pic:pic>
              </a:graphicData>
            </a:graphic>
          </wp:inline>
        </w:drawing>
      </w:r>
    </w:p>
    <w:p w14:paraId="4554F47E"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Operant conditioning enhances learning through rewards and punishments that reinforce desired or unwanted behaviors</w:t>
      </w:r>
      <w:r w:rsidRPr="00A9383E">
        <w:rPr>
          <w:sz w:val="24"/>
          <w:szCs w:val="24"/>
        </w:rPr>
        <w:t xml:space="preserve"> (</w:t>
      </w:r>
      <w:r w:rsidRPr="00A9383E">
        <w:rPr>
          <w:rFonts w:ascii="Times New Roman" w:hAnsi="Times New Roman"/>
          <w:sz w:val="24"/>
          <w:szCs w:val="24"/>
        </w:rPr>
        <w:t>Rijal and Dahlan, 2020, p. 106). There is an association between a behavior and its consequence where positive behaviors call for a consequence of reward, which increases positive behavior. On the other hand, negative behavior calls for punishment, and punishment decreases negative behavior while adding positive behavior.</w:t>
      </w:r>
    </w:p>
    <w:p w14:paraId="67345EF0"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Although negative reinforcements help children avoid bad behavior and engage in wanted behaviors next time, it limits their freedom because they behave appropriately to avoid the punishment; thus, they feel as if their freedom is being suppressed. Therefore, using negative reinforcements as a last resort provides more immediate and healthier positive responses</w:t>
      </w:r>
      <w:r w:rsidRPr="00A9383E">
        <w:rPr>
          <w:sz w:val="24"/>
          <w:szCs w:val="24"/>
        </w:rPr>
        <w:t xml:space="preserve"> (</w:t>
      </w:r>
      <w:r w:rsidRPr="00A9383E">
        <w:rPr>
          <w:rFonts w:ascii="Times New Roman" w:hAnsi="Times New Roman"/>
          <w:sz w:val="24"/>
          <w:szCs w:val="24"/>
        </w:rPr>
        <w:t xml:space="preserve">Akpan, 2020, p.71). Students feel that positive reinforcement techniques allow them to behave well while respecting their dignity. </w:t>
      </w:r>
    </w:p>
    <w:p w14:paraId="5F2AFCDF"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Using positive reinforcement techniques improves the </w:t>
      </w:r>
      <w:r>
        <w:rPr>
          <w:rFonts w:ascii="Times New Roman" w:hAnsi="Times New Roman"/>
          <w:sz w:val="24"/>
          <w:szCs w:val="24"/>
        </w:rPr>
        <w:t>individual student's behavior</w:t>
      </w:r>
      <w:r w:rsidRPr="00A9383E">
        <w:rPr>
          <w:rFonts w:ascii="Times New Roman" w:hAnsi="Times New Roman"/>
          <w:sz w:val="24"/>
          <w:szCs w:val="24"/>
        </w:rPr>
        <w:t xml:space="preserve"> and the whole class as it promotes positive role models</w:t>
      </w:r>
      <w:r w:rsidRPr="00A9383E">
        <w:rPr>
          <w:sz w:val="24"/>
          <w:szCs w:val="24"/>
        </w:rPr>
        <w:t xml:space="preserve"> (</w:t>
      </w:r>
      <w:r w:rsidRPr="00A9383E">
        <w:rPr>
          <w:rFonts w:ascii="Times New Roman" w:hAnsi="Times New Roman"/>
          <w:sz w:val="24"/>
          <w:szCs w:val="24"/>
        </w:rPr>
        <w:t xml:space="preserve">Pavlov, 2018, p.48). For example, if </w:t>
      </w:r>
      <w:r w:rsidRPr="00A9383E">
        <w:rPr>
          <w:rFonts w:ascii="Times New Roman" w:hAnsi="Times New Roman"/>
          <w:sz w:val="24"/>
          <w:szCs w:val="24"/>
        </w:rPr>
        <w:lastRenderedPageBreak/>
        <w:t xml:space="preserve">one student in a class arrives early, the teacher will praise or reward him. This will encourage his classmates to arrive early next time to get the reward or be praised. The teacher promotes the student as a positive role model to his classmates who want to act in similar behavior to reward. </w:t>
      </w:r>
    </w:p>
    <w:p w14:paraId="0F33CF21" w14:textId="77777777" w:rsidR="00EA6F8A" w:rsidRPr="00A9383E" w:rsidRDefault="00EA6F8A" w:rsidP="0053564A">
      <w:pPr>
        <w:spacing w:after="0" w:line="480" w:lineRule="auto"/>
        <w:ind w:firstLine="720"/>
        <w:jc w:val="center"/>
        <w:rPr>
          <w:rFonts w:ascii="Times New Roman" w:hAnsi="Times New Roman"/>
          <w:sz w:val="24"/>
          <w:szCs w:val="24"/>
        </w:rPr>
      </w:pPr>
      <w:r w:rsidRPr="00EA6F8A">
        <w:rPr>
          <w:rFonts w:ascii="Times New Roman" w:hAnsi="Times New Roman"/>
          <w:b/>
          <w:bCs/>
          <w:sz w:val="24"/>
          <w:szCs w:val="24"/>
        </w:rPr>
        <w:t>Vygotsky</w:t>
      </w:r>
    </w:p>
    <w:p w14:paraId="519DEFD7"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Vygotsky’s theory examines how </w:t>
      </w:r>
      <w:r>
        <w:rPr>
          <w:rFonts w:ascii="Times New Roman" w:hAnsi="Times New Roman"/>
          <w:sz w:val="24"/>
          <w:szCs w:val="24"/>
        </w:rPr>
        <w:t>individuals'</w:t>
      </w:r>
      <w:r w:rsidRPr="00A9383E">
        <w:rPr>
          <w:rFonts w:ascii="Times New Roman" w:hAnsi="Times New Roman"/>
          <w:sz w:val="24"/>
          <w:szCs w:val="24"/>
        </w:rPr>
        <w:t xml:space="preserve"> social interactions influence their cognitive growth</w:t>
      </w:r>
      <w:r w:rsidRPr="00A9383E">
        <w:rPr>
          <w:sz w:val="24"/>
          <w:szCs w:val="24"/>
        </w:rPr>
        <w:t xml:space="preserve"> (</w:t>
      </w:r>
      <w:r w:rsidRPr="00A9383E">
        <w:rPr>
          <w:rFonts w:ascii="Times New Roman" w:hAnsi="Times New Roman"/>
          <w:sz w:val="24"/>
          <w:szCs w:val="24"/>
        </w:rPr>
        <w:t xml:space="preserve">Ben-Peretz, Miriam, Brown, and Moon, p.28). His theory is based on the idea that learning takes place individual interactions with people in the school environment, such as students, teachers, mentors, and peers. He explored how learning occurred in a social environment and determined that teachers control tasks, responses, and students' behavior in a learning environment. The theory claims that proper education involves learning educational knowledge and skills and involves </w:t>
      </w:r>
      <w:r>
        <w:rPr>
          <w:rFonts w:ascii="Times New Roman" w:hAnsi="Times New Roman"/>
          <w:sz w:val="24"/>
          <w:szCs w:val="24"/>
        </w:rPr>
        <w:t>developing</w:t>
      </w:r>
      <w:r w:rsidRPr="00A9383E">
        <w:rPr>
          <w:rFonts w:ascii="Times New Roman" w:hAnsi="Times New Roman"/>
          <w:sz w:val="24"/>
          <w:szCs w:val="24"/>
        </w:rPr>
        <w:t xml:space="preserve"> students' learning abilities such as communication, creativity, and critical thinking. Thus</w:t>
      </w:r>
      <w:r>
        <w:rPr>
          <w:rFonts w:ascii="Times New Roman" w:hAnsi="Times New Roman"/>
          <w:sz w:val="24"/>
          <w:szCs w:val="24"/>
        </w:rPr>
        <w:t xml:space="preserve">, </w:t>
      </w:r>
      <w:r w:rsidRPr="00A9383E">
        <w:rPr>
          <w:rFonts w:ascii="Times New Roman" w:hAnsi="Times New Roman"/>
          <w:sz w:val="24"/>
          <w:szCs w:val="24"/>
        </w:rPr>
        <w:t xml:space="preserve">students need cultural tools to improve their creating and thinking abilities. Just as material tools such as levels are used to improve humans' physical abilities, psychological tools can improve mental abilities.  </w:t>
      </w:r>
    </w:p>
    <w:p w14:paraId="3306F68E"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The psychological tools include symbols used in communication such as numbers, charts, pictures, maps, models, and languages. Through education, students learn various tools that help them develop new psychological abilities to </w:t>
      </w:r>
      <w:r>
        <w:rPr>
          <w:rFonts w:ascii="Times New Roman" w:hAnsi="Times New Roman"/>
          <w:sz w:val="24"/>
          <w:szCs w:val="24"/>
        </w:rPr>
        <w:t>quickly and successfully analyze things</w:t>
      </w:r>
      <w:r w:rsidRPr="00A9383E">
        <w:rPr>
          <w:rFonts w:ascii="Times New Roman" w:hAnsi="Times New Roman"/>
          <w:sz w:val="24"/>
          <w:szCs w:val="24"/>
        </w:rPr>
        <w:t>. When students learn these psychological abilities, they increase their ability to be successful in a particular field</w:t>
      </w:r>
      <w:r>
        <w:rPr>
          <w:rFonts w:ascii="Times New Roman" w:hAnsi="Times New Roman"/>
          <w:sz w:val="24"/>
          <w:szCs w:val="24"/>
        </w:rPr>
        <w:t xml:space="preserve"> and</w:t>
      </w:r>
      <w:r w:rsidRPr="00A9383E">
        <w:rPr>
          <w:rFonts w:ascii="Times New Roman" w:hAnsi="Times New Roman"/>
          <w:sz w:val="24"/>
          <w:szCs w:val="24"/>
        </w:rPr>
        <w:t xml:space="preserve"> create solutions for specific problems</w:t>
      </w:r>
      <w:r w:rsidRPr="00A9383E">
        <w:rPr>
          <w:sz w:val="24"/>
          <w:szCs w:val="24"/>
        </w:rPr>
        <w:t xml:space="preserve"> (</w:t>
      </w:r>
      <w:r w:rsidRPr="00A9383E">
        <w:rPr>
          <w:rFonts w:ascii="Times New Roman" w:hAnsi="Times New Roman"/>
          <w:sz w:val="24"/>
          <w:szCs w:val="24"/>
        </w:rPr>
        <w:t xml:space="preserve">Siochrú, 2018, p.162). Having adequate knowledge and abilities of a particular field allows them to interact with other students and believe in themselves and their abilities. </w:t>
      </w:r>
    </w:p>
    <w:p w14:paraId="2D2D6B32"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Additionally, Vygotsky's theory claims that language creates the basis for learning a language is the center of all learning activities such as reading, reflective thinking, wring, and reasoning because they result from language</w:t>
      </w:r>
      <w:r w:rsidRPr="00A9383E">
        <w:rPr>
          <w:sz w:val="24"/>
          <w:szCs w:val="24"/>
        </w:rPr>
        <w:t xml:space="preserve"> (</w:t>
      </w:r>
      <w:r w:rsidRPr="00A9383E">
        <w:rPr>
          <w:rFonts w:ascii="Times New Roman" w:hAnsi="Times New Roman"/>
          <w:sz w:val="24"/>
          <w:szCs w:val="24"/>
        </w:rPr>
        <w:t>Matamoros-González et</w:t>
      </w:r>
      <w:r>
        <w:rPr>
          <w:rFonts w:ascii="Times New Roman" w:hAnsi="Times New Roman"/>
          <w:sz w:val="24"/>
          <w:szCs w:val="24"/>
        </w:rPr>
        <w:t xml:space="preserve"> </w:t>
      </w:r>
      <w:r w:rsidRPr="00A9383E">
        <w:rPr>
          <w:rFonts w:ascii="Times New Roman" w:hAnsi="Times New Roman"/>
          <w:sz w:val="24"/>
          <w:szCs w:val="24"/>
        </w:rPr>
        <w:t xml:space="preserve">al., 2017, p.965). </w:t>
      </w:r>
      <w:r w:rsidRPr="00A9383E">
        <w:rPr>
          <w:rFonts w:ascii="Times New Roman" w:hAnsi="Times New Roman"/>
          <w:sz w:val="24"/>
          <w:szCs w:val="24"/>
        </w:rPr>
        <w:lastRenderedPageBreak/>
        <w:t>Language helps students develop their thinking because the speech structures of language provide the basis for students to coordinate thoughts. Students use language to express their thoughts, emotions, and needs. They use language to respond to their teachers, thus expressing certain behaviors which has a social influence on their response.</w:t>
      </w:r>
    </w:p>
    <w:p w14:paraId="42762D30"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Vygotsky's theory encourages schools to use interactive activities that promote socialization, such as discussions and collaborations. The culture created in the school environment influences and models student behaviors and determines their knowledge acquisition. The teacher’s </w:t>
      </w:r>
      <w:r>
        <w:rPr>
          <w:rFonts w:ascii="Times New Roman" w:hAnsi="Times New Roman"/>
          <w:sz w:val="24"/>
          <w:szCs w:val="24"/>
        </w:rPr>
        <w:t>primary</w:t>
      </w:r>
      <w:r w:rsidRPr="00A9383E">
        <w:rPr>
          <w:rFonts w:ascii="Times New Roman" w:hAnsi="Times New Roman"/>
          <w:sz w:val="24"/>
          <w:szCs w:val="24"/>
        </w:rPr>
        <w:t xml:space="preserve"> role is to facilitate learning by guiding discussions, exchanges among students and teachers, and creating an engaging classroom environment. Having collaborative learning and discussions creates meaningful exchanges between students, motivating them to learn and contribute in class</w:t>
      </w:r>
      <w:r w:rsidRPr="00A9383E">
        <w:rPr>
          <w:sz w:val="24"/>
          <w:szCs w:val="24"/>
        </w:rPr>
        <w:t xml:space="preserve"> (</w:t>
      </w:r>
      <w:r w:rsidRPr="00A9383E">
        <w:rPr>
          <w:rFonts w:ascii="Times New Roman" w:hAnsi="Times New Roman"/>
          <w:sz w:val="24"/>
          <w:szCs w:val="24"/>
        </w:rPr>
        <w:t xml:space="preserve">Aubrey and Riley, 2018, p.55). Teachers use instructional strategies to reassess the classroom setup and support growth in students’’ literacy. </w:t>
      </w:r>
    </w:p>
    <w:p w14:paraId="4AB063FA"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Vygotsky encourages </w:t>
      </w:r>
      <w:r>
        <w:rPr>
          <w:rFonts w:ascii="Times New Roman" w:hAnsi="Times New Roman"/>
          <w:sz w:val="24"/>
          <w:szCs w:val="24"/>
        </w:rPr>
        <w:t>using</w:t>
      </w:r>
      <w:r w:rsidRPr="00A9383E">
        <w:rPr>
          <w:rFonts w:ascii="Times New Roman" w:hAnsi="Times New Roman"/>
          <w:sz w:val="24"/>
          <w:szCs w:val="24"/>
        </w:rPr>
        <w:t xml:space="preserve"> the proximal development zone in teaching students by encouraging teachers to organize classroom activities that will enable them to learn an unknown concept through instructions. Instructions are planned to help students practice the basics of an assessment individually or in groups. Then the teacher encourages cooperative learning in groups for students to help each other learn. For example, the teacher can help students solve a math problem by explaining how to use a formula</w:t>
      </w:r>
      <w:r>
        <w:rPr>
          <w:rFonts w:ascii="Times New Roman" w:hAnsi="Times New Roman"/>
          <w:sz w:val="24"/>
          <w:szCs w:val="24"/>
        </w:rPr>
        <w:t>,</w:t>
      </w:r>
      <w:r w:rsidRPr="00A9383E">
        <w:rPr>
          <w:rFonts w:ascii="Times New Roman" w:hAnsi="Times New Roman"/>
          <w:sz w:val="24"/>
          <w:szCs w:val="24"/>
        </w:rPr>
        <w:t xml:space="preserve"> incorporate it into the question</w:t>
      </w:r>
      <w:r>
        <w:rPr>
          <w:rFonts w:ascii="Times New Roman" w:hAnsi="Times New Roman"/>
          <w:sz w:val="24"/>
          <w:szCs w:val="24"/>
        </w:rPr>
        <w:t>,</w:t>
      </w:r>
      <w:r w:rsidRPr="00A9383E">
        <w:rPr>
          <w:rFonts w:ascii="Times New Roman" w:hAnsi="Times New Roman"/>
          <w:sz w:val="24"/>
          <w:szCs w:val="24"/>
        </w:rPr>
        <w:t xml:space="preserve"> and then use it to answer. He can then assign the students into groups to solve the question together, helping each other understand how to do it. </w:t>
      </w:r>
    </w:p>
    <w:p w14:paraId="6BF849FB"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 xml:space="preserve">Instructions can also be </w:t>
      </w:r>
      <w:r>
        <w:rPr>
          <w:rFonts w:ascii="Times New Roman" w:hAnsi="Times New Roman"/>
          <w:sz w:val="24"/>
          <w:szCs w:val="24"/>
        </w:rPr>
        <w:t>useful</w:t>
      </w:r>
      <w:r w:rsidRPr="00A9383E">
        <w:rPr>
          <w:rFonts w:ascii="Times New Roman" w:hAnsi="Times New Roman"/>
          <w:sz w:val="24"/>
          <w:szCs w:val="24"/>
        </w:rPr>
        <w:t xml:space="preserve"> in a classroom through scaffolding</w:t>
      </w:r>
      <w:r>
        <w:rPr>
          <w:rFonts w:ascii="Times New Roman" w:hAnsi="Times New Roman"/>
          <w:sz w:val="24"/>
          <w:szCs w:val="24"/>
        </w:rPr>
        <w:t>. T</w:t>
      </w:r>
      <w:r w:rsidRPr="00A9383E">
        <w:rPr>
          <w:rFonts w:ascii="Times New Roman" w:hAnsi="Times New Roman"/>
          <w:sz w:val="24"/>
          <w:szCs w:val="24"/>
        </w:rPr>
        <w:t>he teacher gives students hints at different le</w:t>
      </w:r>
      <w:r>
        <w:rPr>
          <w:rFonts w:ascii="Times New Roman" w:hAnsi="Times New Roman"/>
          <w:sz w:val="24"/>
          <w:szCs w:val="24"/>
        </w:rPr>
        <w:t>arning levels</w:t>
      </w:r>
      <w:r w:rsidRPr="00A9383E">
        <w:rPr>
          <w:rFonts w:ascii="Times New Roman" w:hAnsi="Times New Roman"/>
          <w:sz w:val="24"/>
          <w:szCs w:val="24"/>
        </w:rPr>
        <w:t xml:space="preserve"> by providing interventions that simplify the problem or task</w:t>
      </w:r>
      <w:r w:rsidRPr="00A9383E">
        <w:rPr>
          <w:sz w:val="24"/>
          <w:szCs w:val="24"/>
        </w:rPr>
        <w:t xml:space="preserve"> (</w:t>
      </w:r>
      <w:r w:rsidRPr="00A9383E">
        <w:rPr>
          <w:rFonts w:ascii="Times New Roman" w:hAnsi="Times New Roman"/>
          <w:sz w:val="24"/>
          <w:szCs w:val="24"/>
        </w:rPr>
        <w:t xml:space="preserve">Bosanquet, Radford and Webster, 2015, p.57). For example, in a secondary school lab, the teacher first gives students a detailed lab manual to guide them through the </w:t>
      </w:r>
      <w:r w:rsidRPr="00A9383E">
        <w:rPr>
          <w:rFonts w:ascii="Times New Roman" w:hAnsi="Times New Roman"/>
          <w:sz w:val="24"/>
          <w:szCs w:val="24"/>
        </w:rPr>
        <w:lastRenderedPageBreak/>
        <w:t xml:space="preserve">experiment and then outlines ways to structure the experiment and use each equipment. This allows the students to become familiar with </w:t>
      </w:r>
      <w:r>
        <w:rPr>
          <w:rFonts w:ascii="Times New Roman" w:hAnsi="Times New Roman"/>
          <w:sz w:val="24"/>
          <w:szCs w:val="24"/>
        </w:rPr>
        <w:t>setting up and doing</w:t>
      </w:r>
      <w:r w:rsidRPr="00A9383E">
        <w:rPr>
          <w:rFonts w:ascii="Times New Roman" w:hAnsi="Times New Roman"/>
          <w:sz w:val="24"/>
          <w:szCs w:val="24"/>
        </w:rPr>
        <w:t xml:space="preserve"> the experiment until they can do it well independently.  </w:t>
      </w:r>
    </w:p>
    <w:p w14:paraId="2F3B0C0F" w14:textId="2C09FE9F" w:rsidR="00EA6F8A" w:rsidRPr="00A9383E" w:rsidRDefault="009C49C1" w:rsidP="0053564A">
      <w:pPr>
        <w:spacing w:after="0" w:line="480" w:lineRule="auto"/>
        <w:ind w:firstLine="720"/>
        <w:rPr>
          <w:rFonts w:ascii="Times New Roman" w:hAnsi="Times New Roman"/>
          <w:sz w:val="24"/>
          <w:szCs w:val="24"/>
        </w:rPr>
      </w:pPr>
      <w:r w:rsidRPr="00EA6F8A">
        <w:rPr>
          <w:rFonts w:ascii="Times New Roman" w:hAnsi="Times New Roman"/>
          <w:noProof/>
          <w:sz w:val="24"/>
          <w:szCs w:val="24"/>
        </w:rPr>
        <w:drawing>
          <wp:inline distT="0" distB="0" distL="0" distR="0" wp14:anchorId="146D6062" wp14:editId="038BFA32">
            <wp:extent cx="4922520" cy="4922520"/>
            <wp:effectExtent l="0" t="0" r="0" b="0"/>
            <wp:docPr id="2" name="Picture 5" descr="C:\Users\lenovo\Downloads\1ff40bc1-e605-45ef-b857-ca1f3aa3a5f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Downloads\1ff40bc1-e605-45ef-b857-ca1f3aa3a5f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2520" cy="4922520"/>
                    </a:xfrm>
                    <a:prstGeom prst="rect">
                      <a:avLst/>
                    </a:prstGeom>
                    <a:noFill/>
                    <a:ln>
                      <a:noFill/>
                    </a:ln>
                  </pic:spPr>
                </pic:pic>
              </a:graphicData>
            </a:graphic>
          </wp:inline>
        </w:drawing>
      </w:r>
    </w:p>
    <w:p w14:paraId="074A6841" w14:textId="77777777" w:rsidR="00EA6F8A"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t>The proximal development zone shows what a student can do without the teacher's help and what they can do with a teacher's help</w:t>
      </w:r>
      <w:r w:rsidRPr="00A9383E">
        <w:rPr>
          <w:sz w:val="24"/>
          <w:szCs w:val="24"/>
        </w:rPr>
        <w:t xml:space="preserve"> (</w:t>
      </w:r>
      <w:r w:rsidRPr="00A9383E">
        <w:rPr>
          <w:rFonts w:ascii="Times New Roman" w:hAnsi="Times New Roman"/>
          <w:sz w:val="24"/>
          <w:szCs w:val="24"/>
        </w:rPr>
        <w:t xml:space="preserve">Eun, 2019, p.21). Through a teacher's instructions, students can gradually develop the ability and skills to do a task without guidance eventually. Initially, a student cannot do a task without help; then, </w:t>
      </w:r>
      <w:r>
        <w:rPr>
          <w:rFonts w:ascii="Times New Roman" w:hAnsi="Times New Roman"/>
          <w:sz w:val="24"/>
          <w:szCs w:val="24"/>
        </w:rPr>
        <w:t>they are gradually instructed to perform i</w:t>
      </w:r>
      <w:r w:rsidRPr="00A9383E">
        <w:rPr>
          <w:rFonts w:ascii="Times New Roman" w:hAnsi="Times New Roman"/>
          <w:sz w:val="24"/>
          <w:szCs w:val="24"/>
        </w:rPr>
        <w:t>t with a teacher's assistance, and eventually, they do it without help</w:t>
      </w:r>
      <w:r>
        <w:rPr>
          <w:rFonts w:ascii="Times New Roman" w:hAnsi="Times New Roman"/>
          <w:sz w:val="24"/>
          <w:szCs w:val="24"/>
        </w:rPr>
        <w:t xml:space="preserve"> </w:t>
      </w:r>
      <w:r w:rsidRPr="00A9383E">
        <w:rPr>
          <w:rFonts w:ascii="Times New Roman" w:hAnsi="Times New Roman"/>
          <w:sz w:val="24"/>
          <w:szCs w:val="24"/>
        </w:rPr>
        <w:t>(Gray and MacBlain, 2015, p.91). The distance from when they could not do the tasks to when they can do it is the zone of proximal development.</w:t>
      </w:r>
    </w:p>
    <w:p w14:paraId="4C8E400F" w14:textId="77777777" w:rsidR="00EA6F8A" w:rsidRPr="00EA6F8A" w:rsidRDefault="00EA6F8A" w:rsidP="0053564A">
      <w:pPr>
        <w:spacing w:after="0" w:line="480" w:lineRule="auto"/>
        <w:jc w:val="center"/>
        <w:rPr>
          <w:rFonts w:ascii="Times New Roman" w:hAnsi="Times New Roman"/>
          <w:b/>
          <w:bCs/>
          <w:sz w:val="24"/>
          <w:szCs w:val="24"/>
        </w:rPr>
      </w:pPr>
      <w:r w:rsidRPr="00EA6F8A">
        <w:rPr>
          <w:rFonts w:ascii="Times New Roman" w:hAnsi="Times New Roman"/>
          <w:b/>
          <w:bCs/>
          <w:sz w:val="24"/>
          <w:szCs w:val="24"/>
        </w:rPr>
        <w:t>Conclusion</w:t>
      </w:r>
    </w:p>
    <w:p w14:paraId="083C4D01" w14:textId="77777777" w:rsidR="00EA6F8A" w:rsidRPr="00A9383E" w:rsidRDefault="00EA6F8A" w:rsidP="0053564A">
      <w:pPr>
        <w:spacing w:after="0" w:line="480" w:lineRule="auto"/>
        <w:ind w:firstLine="720"/>
        <w:rPr>
          <w:rFonts w:ascii="Times New Roman" w:hAnsi="Times New Roman"/>
          <w:sz w:val="24"/>
          <w:szCs w:val="24"/>
        </w:rPr>
      </w:pPr>
      <w:r w:rsidRPr="00A9383E">
        <w:rPr>
          <w:rFonts w:ascii="Times New Roman" w:hAnsi="Times New Roman"/>
          <w:sz w:val="24"/>
          <w:szCs w:val="24"/>
        </w:rPr>
        <w:lastRenderedPageBreak/>
        <w:t>Implementing learning strategies effective in a social school environment is essential because the teacher can identify individual students' culture expressed by the uniqueness of their language, past experiences, and language. Students can learn from discussions and exchanges with other students when they engage in activities, they are familiar with, such as problem-solving and real</w:t>
      </w:r>
      <w:r>
        <w:rPr>
          <w:rFonts w:ascii="Times New Roman" w:hAnsi="Times New Roman"/>
          <w:sz w:val="24"/>
          <w:szCs w:val="24"/>
        </w:rPr>
        <w:t>-</w:t>
      </w:r>
      <w:r w:rsidRPr="00A9383E">
        <w:rPr>
          <w:rFonts w:ascii="Times New Roman" w:hAnsi="Times New Roman"/>
          <w:sz w:val="24"/>
          <w:szCs w:val="24"/>
        </w:rPr>
        <w:t>life tasks</w:t>
      </w:r>
      <w:r>
        <w:rPr>
          <w:rFonts w:ascii="Times New Roman" w:hAnsi="Times New Roman"/>
          <w:sz w:val="24"/>
          <w:szCs w:val="24"/>
        </w:rPr>
        <w:t xml:space="preserve">. </w:t>
      </w:r>
      <w:r w:rsidRPr="00A9383E">
        <w:rPr>
          <w:rFonts w:ascii="Times New Roman" w:hAnsi="Times New Roman"/>
          <w:sz w:val="24"/>
          <w:szCs w:val="24"/>
        </w:rPr>
        <w:t xml:space="preserve">The students' external influences from their social world away from school also influence learning in a class environment. For example, a behavior learned at home creates prior knowledge, influencing </w:t>
      </w:r>
      <w:r>
        <w:rPr>
          <w:rFonts w:ascii="Times New Roman" w:hAnsi="Times New Roman"/>
          <w:sz w:val="24"/>
          <w:szCs w:val="24"/>
        </w:rPr>
        <w:t>students'</w:t>
      </w:r>
      <w:r w:rsidRPr="00A9383E">
        <w:rPr>
          <w:rFonts w:ascii="Times New Roman" w:hAnsi="Times New Roman"/>
          <w:sz w:val="24"/>
          <w:szCs w:val="24"/>
        </w:rPr>
        <w:t xml:space="preserve"> actions in class.   </w:t>
      </w:r>
    </w:p>
    <w:p w14:paraId="0C62D2C4" w14:textId="77777777" w:rsidR="00EA6F8A" w:rsidRDefault="00EA6F8A" w:rsidP="0053564A">
      <w:pPr>
        <w:spacing w:after="0" w:line="480" w:lineRule="auto"/>
        <w:ind w:firstLine="720"/>
        <w:rPr>
          <w:rFonts w:ascii="Times New Roman" w:hAnsi="Times New Roman"/>
          <w:sz w:val="24"/>
          <w:szCs w:val="24"/>
        </w:rPr>
      </w:pPr>
    </w:p>
    <w:p w14:paraId="463C73E8" w14:textId="77777777" w:rsidR="00EA6F8A" w:rsidRDefault="00EA6F8A" w:rsidP="0053564A">
      <w:pPr>
        <w:spacing w:after="0" w:line="480" w:lineRule="auto"/>
        <w:ind w:firstLine="720"/>
        <w:rPr>
          <w:rFonts w:ascii="Times New Roman" w:hAnsi="Times New Roman"/>
          <w:sz w:val="24"/>
          <w:szCs w:val="24"/>
        </w:rPr>
      </w:pPr>
    </w:p>
    <w:p w14:paraId="183768CB" w14:textId="77777777" w:rsidR="00EA6F8A" w:rsidRDefault="00EA6F8A" w:rsidP="0053564A">
      <w:pPr>
        <w:spacing w:after="0" w:line="480" w:lineRule="auto"/>
        <w:ind w:firstLine="720"/>
        <w:rPr>
          <w:rFonts w:ascii="Times New Roman" w:hAnsi="Times New Roman"/>
          <w:sz w:val="24"/>
          <w:szCs w:val="24"/>
        </w:rPr>
      </w:pPr>
    </w:p>
    <w:p w14:paraId="20BC0199" w14:textId="77777777" w:rsidR="00EA6F8A" w:rsidRDefault="00EA6F8A" w:rsidP="0053564A">
      <w:pPr>
        <w:spacing w:after="0" w:line="480" w:lineRule="auto"/>
        <w:ind w:firstLine="720"/>
        <w:jc w:val="center"/>
        <w:rPr>
          <w:rFonts w:ascii="Times New Roman" w:hAnsi="Times New Roman"/>
          <w:sz w:val="24"/>
          <w:szCs w:val="24"/>
        </w:rPr>
      </w:pPr>
    </w:p>
    <w:p w14:paraId="679619DB" w14:textId="77777777" w:rsidR="00EA6F8A" w:rsidRDefault="00EA6F8A" w:rsidP="0053564A">
      <w:pPr>
        <w:spacing w:after="0" w:line="480" w:lineRule="auto"/>
        <w:ind w:firstLine="720"/>
        <w:jc w:val="center"/>
        <w:rPr>
          <w:rFonts w:ascii="Times New Roman" w:hAnsi="Times New Roman"/>
          <w:sz w:val="24"/>
          <w:szCs w:val="24"/>
        </w:rPr>
      </w:pPr>
    </w:p>
    <w:p w14:paraId="046AC725" w14:textId="77777777" w:rsidR="00EA6F8A" w:rsidRDefault="00EA6F8A" w:rsidP="0053564A">
      <w:pPr>
        <w:spacing w:after="0" w:line="480" w:lineRule="auto"/>
        <w:ind w:firstLine="720"/>
        <w:jc w:val="center"/>
        <w:rPr>
          <w:rFonts w:ascii="Times New Roman" w:hAnsi="Times New Roman"/>
          <w:sz w:val="24"/>
          <w:szCs w:val="24"/>
        </w:rPr>
      </w:pPr>
    </w:p>
    <w:p w14:paraId="0F668F17" w14:textId="77777777" w:rsidR="00EA6F8A" w:rsidRDefault="00EA6F8A" w:rsidP="0053564A">
      <w:pPr>
        <w:spacing w:after="0" w:line="480" w:lineRule="auto"/>
        <w:ind w:firstLine="720"/>
        <w:jc w:val="center"/>
        <w:rPr>
          <w:rFonts w:ascii="Times New Roman" w:hAnsi="Times New Roman"/>
          <w:sz w:val="24"/>
          <w:szCs w:val="24"/>
        </w:rPr>
      </w:pPr>
    </w:p>
    <w:p w14:paraId="6C8C251E" w14:textId="77777777" w:rsidR="00EA6F8A" w:rsidRDefault="00EA6F8A" w:rsidP="0053564A">
      <w:pPr>
        <w:spacing w:after="0" w:line="480" w:lineRule="auto"/>
        <w:ind w:firstLine="720"/>
        <w:jc w:val="center"/>
        <w:rPr>
          <w:rFonts w:ascii="Times New Roman" w:hAnsi="Times New Roman"/>
          <w:sz w:val="24"/>
          <w:szCs w:val="24"/>
        </w:rPr>
      </w:pPr>
    </w:p>
    <w:p w14:paraId="5778DFD7" w14:textId="77777777" w:rsidR="00EA6F8A" w:rsidRDefault="00EA6F8A" w:rsidP="0053564A">
      <w:pPr>
        <w:spacing w:after="0" w:line="480" w:lineRule="auto"/>
        <w:ind w:firstLine="720"/>
        <w:jc w:val="center"/>
        <w:rPr>
          <w:rFonts w:ascii="Times New Roman" w:hAnsi="Times New Roman"/>
          <w:sz w:val="24"/>
          <w:szCs w:val="24"/>
        </w:rPr>
      </w:pPr>
    </w:p>
    <w:p w14:paraId="53302354" w14:textId="77777777" w:rsidR="00EA6F8A" w:rsidRDefault="00EA6F8A" w:rsidP="0053564A">
      <w:pPr>
        <w:spacing w:after="0" w:line="480" w:lineRule="auto"/>
        <w:ind w:firstLine="720"/>
        <w:jc w:val="center"/>
        <w:rPr>
          <w:rFonts w:ascii="Times New Roman" w:hAnsi="Times New Roman"/>
          <w:sz w:val="24"/>
          <w:szCs w:val="24"/>
        </w:rPr>
      </w:pPr>
    </w:p>
    <w:p w14:paraId="78C840C1" w14:textId="77777777" w:rsidR="00EA6F8A" w:rsidRDefault="00EA6F8A" w:rsidP="0053564A">
      <w:pPr>
        <w:spacing w:after="0" w:line="480" w:lineRule="auto"/>
        <w:ind w:firstLine="720"/>
        <w:jc w:val="center"/>
        <w:rPr>
          <w:rFonts w:ascii="Times New Roman" w:hAnsi="Times New Roman"/>
          <w:sz w:val="24"/>
          <w:szCs w:val="24"/>
        </w:rPr>
      </w:pPr>
    </w:p>
    <w:p w14:paraId="356913E4" w14:textId="77777777" w:rsidR="00EA6F8A" w:rsidRDefault="00EA6F8A" w:rsidP="0053564A">
      <w:pPr>
        <w:spacing w:after="0" w:line="480" w:lineRule="auto"/>
        <w:ind w:firstLine="720"/>
        <w:jc w:val="center"/>
        <w:rPr>
          <w:rFonts w:ascii="Times New Roman" w:hAnsi="Times New Roman"/>
          <w:sz w:val="24"/>
          <w:szCs w:val="24"/>
        </w:rPr>
      </w:pPr>
    </w:p>
    <w:p w14:paraId="1B2CDB56" w14:textId="77777777" w:rsidR="00EA6F8A" w:rsidRDefault="00EA6F8A" w:rsidP="0053564A">
      <w:pPr>
        <w:spacing w:after="0" w:line="480" w:lineRule="auto"/>
        <w:ind w:firstLine="720"/>
        <w:jc w:val="center"/>
        <w:rPr>
          <w:rFonts w:ascii="Times New Roman" w:hAnsi="Times New Roman"/>
          <w:sz w:val="24"/>
          <w:szCs w:val="24"/>
        </w:rPr>
      </w:pPr>
    </w:p>
    <w:p w14:paraId="22E72CFD" w14:textId="77777777" w:rsidR="00EA6F8A" w:rsidRDefault="00EA6F8A" w:rsidP="0053564A">
      <w:pPr>
        <w:spacing w:after="0" w:line="480" w:lineRule="auto"/>
        <w:ind w:firstLine="720"/>
        <w:jc w:val="center"/>
        <w:rPr>
          <w:rFonts w:ascii="Times New Roman" w:hAnsi="Times New Roman"/>
          <w:sz w:val="24"/>
          <w:szCs w:val="24"/>
        </w:rPr>
      </w:pPr>
    </w:p>
    <w:p w14:paraId="19B5A8F9" w14:textId="77777777" w:rsidR="00EA6F8A" w:rsidRDefault="00EA6F8A" w:rsidP="0053564A">
      <w:pPr>
        <w:spacing w:after="0" w:line="480" w:lineRule="auto"/>
        <w:ind w:firstLine="720"/>
        <w:jc w:val="center"/>
        <w:rPr>
          <w:rFonts w:ascii="Times New Roman" w:hAnsi="Times New Roman"/>
          <w:sz w:val="24"/>
          <w:szCs w:val="24"/>
        </w:rPr>
      </w:pPr>
    </w:p>
    <w:p w14:paraId="692021BC" w14:textId="77777777" w:rsidR="00EA6F8A" w:rsidRDefault="00EA6F8A" w:rsidP="0053564A">
      <w:pPr>
        <w:spacing w:after="0" w:line="480" w:lineRule="auto"/>
        <w:ind w:firstLine="720"/>
        <w:jc w:val="center"/>
        <w:rPr>
          <w:rFonts w:ascii="Times New Roman" w:hAnsi="Times New Roman"/>
          <w:sz w:val="24"/>
          <w:szCs w:val="24"/>
        </w:rPr>
      </w:pPr>
    </w:p>
    <w:p w14:paraId="10BB1BDE" w14:textId="77777777" w:rsidR="00EA6F8A" w:rsidRDefault="00EA6F8A" w:rsidP="0053564A">
      <w:pPr>
        <w:spacing w:after="0" w:line="480" w:lineRule="auto"/>
        <w:ind w:firstLine="720"/>
        <w:jc w:val="center"/>
        <w:rPr>
          <w:rFonts w:ascii="Times New Roman" w:hAnsi="Times New Roman"/>
          <w:sz w:val="24"/>
          <w:szCs w:val="24"/>
        </w:rPr>
      </w:pPr>
    </w:p>
    <w:p w14:paraId="7528BCB5" w14:textId="77777777" w:rsidR="00EA6F8A" w:rsidRDefault="00EA6F8A" w:rsidP="0053564A">
      <w:pPr>
        <w:spacing w:after="0" w:line="480" w:lineRule="auto"/>
        <w:ind w:firstLine="720"/>
        <w:jc w:val="center"/>
        <w:rPr>
          <w:rFonts w:ascii="Times New Roman" w:hAnsi="Times New Roman"/>
          <w:sz w:val="24"/>
          <w:szCs w:val="24"/>
        </w:rPr>
      </w:pPr>
    </w:p>
    <w:p w14:paraId="36DC5A46" w14:textId="77777777" w:rsidR="00EA6F8A" w:rsidRDefault="00EA6F8A" w:rsidP="0053564A">
      <w:pPr>
        <w:spacing w:after="0" w:line="480" w:lineRule="auto"/>
        <w:ind w:firstLine="720"/>
        <w:jc w:val="center"/>
        <w:rPr>
          <w:rFonts w:ascii="Times New Roman" w:hAnsi="Times New Roman"/>
          <w:sz w:val="24"/>
          <w:szCs w:val="24"/>
        </w:rPr>
      </w:pPr>
      <w:r>
        <w:rPr>
          <w:rFonts w:ascii="Times New Roman" w:hAnsi="Times New Roman"/>
          <w:sz w:val="24"/>
          <w:szCs w:val="24"/>
        </w:rPr>
        <w:lastRenderedPageBreak/>
        <w:t>References</w:t>
      </w:r>
    </w:p>
    <w:p w14:paraId="3E800646"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Akpan, B., 2020. Classical and Operant Conditioning—Ivan Pavlov; Burrhus Skinner. In </w:t>
      </w:r>
      <w:r w:rsidRPr="00A9383E">
        <w:rPr>
          <w:rFonts w:ascii="Times New Roman" w:hAnsi="Times New Roman"/>
          <w:i/>
          <w:iCs/>
          <w:sz w:val="24"/>
          <w:szCs w:val="24"/>
        </w:rPr>
        <w:t>Science Education in Theory and Practice</w:t>
      </w:r>
      <w:r w:rsidRPr="00A9383E">
        <w:rPr>
          <w:rFonts w:ascii="Times New Roman" w:hAnsi="Times New Roman"/>
          <w:sz w:val="24"/>
          <w:szCs w:val="24"/>
        </w:rPr>
        <w:t> (pp. 71-84). Springer, Cham.</w:t>
      </w:r>
    </w:p>
    <w:p w14:paraId="507D72E9"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Aubrey, K.</w:t>
      </w:r>
      <w:r>
        <w:rPr>
          <w:rFonts w:ascii="Times New Roman" w:hAnsi="Times New Roman"/>
          <w:sz w:val="24"/>
          <w:szCs w:val="24"/>
        </w:rPr>
        <w:t>,</w:t>
      </w:r>
      <w:r w:rsidRPr="00A9383E">
        <w:rPr>
          <w:rFonts w:ascii="Times New Roman" w:hAnsi="Times New Roman"/>
          <w:sz w:val="24"/>
          <w:szCs w:val="24"/>
        </w:rPr>
        <w:t xml:space="preserve"> and Riley, A., 2018. </w:t>
      </w:r>
      <w:r w:rsidRPr="00A9383E">
        <w:rPr>
          <w:rFonts w:ascii="Times New Roman" w:hAnsi="Times New Roman"/>
          <w:i/>
          <w:iCs/>
          <w:sz w:val="24"/>
          <w:szCs w:val="24"/>
        </w:rPr>
        <w:t>Understanding and using educational theories</w:t>
      </w:r>
      <w:r w:rsidRPr="00A9383E">
        <w:rPr>
          <w:rFonts w:ascii="Times New Roman" w:hAnsi="Times New Roman"/>
          <w:sz w:val="24"/>
          <w:szCs w:val="24"/>
        </w:rPr>
        <w:t>. SAGE Publications Limited, pp.55-68</w:t>
      </w:r>
    </w:p>
    <w:p w14:paraId="77AE396C"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Ben-Peretz, M., Brown, S. and Moon, B. eds., 2004. </w:t>
      </w:r>
      <w:r w:rsidRPr="00A9383E">
        <w:rPr>
          <w:rFonts w:ascii="Times New Roman" w:hAnsi="Times New Roman"/>
          <w:i/>
          <w:iCs/>
          <w:sz w:val="24"/>
          <w:szCs w:val="24"/>
        </w:rPr>
        <w:t>Routledge international companion to education</w:t>
      </w:r>
      <w:r w:rsidRPr="00A9383E">
        <w:rPr>
          <w:rFonts w:ascii="Times New Roman" w:hAnsi="Times New Roman"/>
          <w:sz w:val="24"/>
          <w:szCs w:val="24"/>
        </w:rPr>
        <w:t>. Routledge, pp.28-50</w:t>
      </w:r>
    </w:p>
    <w:p w14:paraId="71DDC9D6"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Bosanquet, P., Radford, J.</w:t>
      </w:r>
      <w:r>
        <w:rPr>
          <w:rFonts w:ascii="Times New Roman" w:hAnsi="Times New Roman"/>
          <w:sz w:val="24"/>
          <w:szCs w:val="24"/>
        </w:rPr>
        <w:t>,</w:t>
      </w:r>
      <w:r w:rsidRPr="00A9383E">
        <w:rPr>
          <w:rFonts w:ascii="Times New Roman" w:hAnsi="Times New Roman"/>
          <w:sz w:val="24"/>
          <w:szCs w:val="24"/>
        </w:rPr>
        <w:t xml:space="preserve"> and Webster, R., 2015. </w:t>
      </w:r>
      <w:r w:rsidRPr="00A9383E">
        <w:rPr>
          <w:rFonts w:ascii="Times New Roman" w:hAnsi="Times New Roman"/>
          <w:i/>
          <w:iCs/>
          <w:sz w:val="24"/>
          <w:szCs w:val="24"/>
        </w:rPr>
        <w:t>The teaching assistant</w:t>
      </w:r>
      <w:r>
        <w:rPr>
          <w:rFonts w:ascii="Times New Roman" w:hAnsi="Times New Roman"/>
          <w:i/>
          <w:iCs/>
          <w:sz w:val="24"/>
          <w:szCs w:val="24"/>
        </w:rPr>
        <w:t>s</w:t>
      </w:r>
      <w:r w:rsidRPr="00A9383E">
        <w:rPr>
          <w:rFonts w:ascii="Times New Roman" w:hAnsi="Times New Roman"/>
          <w:i/>
          <w:iCs/>
          <w:sz w:val="24"/>
          <w:szCs w:val="24"/>
        </w:rPr>
        <w:t xml:space="preserve">. </w:t>
      </w:r>
      <w:r>
        <w:rPr>
          <w:rFonts w:ascii="Times New Roman" w:hAnsi="Times New Roman"/>
          <w:i/>
          <w:iCs/>
          <w:sz w:val="24"/>
          <w:szCs w:val="24"/>
        </w:rPr>
        <w:t>T</w:t>
      </w:r>
      <w:r w:rsidRPr="00A9383E">
        <w:rPr>
          <w:rFonts w:ascii="Times New Roman" w:hAnsi="Times New Roman"/>
          <w:i/>
          <w:iCs/>
          <w:sz w:val="24"/>
          <w:szCs w:val="24"/>
        </w:rPr>
        <w:t xml:space="preserve">o </w:t>
      </w:r>
      <w:r>
        <w:rPr>
          <w:rFonts w:ascii="Times New Roman" w:hAnsi="Times New Roman"/>
          <w:i/>
          <w:iCs/>
          <w:sz w:val="24"/>
          <w:szCs w:val="24"/>
        </w:rPr>
        <w:t>significant</w:t>
      </w:r>
      <w:r w:rsidRPr="00A9383E">
        <w:rPr>
          <w:rFonts w:ascii="Times New Roman" w:hAnsi="Times New Roman"/>
          <w:i/>
          <w:iCs/>
          <w:sz w:val="24"/>
          <w:szCs w:val="24"/>
        </w:rPr>
        <w:t xml:space="preserve"> interaction: How to maximi</w:t>
      </w:r>
      <w:r>
        <w:rPr>
          <w:rFonts w:ascii="Times New Roman" w:hAnsi="Times New Roman"/>
          <w:i/>
          <w:iCs/>
          <w:sz w:val="24"/>
          <w:szCs w:val="24"/>
        </w:rPr>
        <w:t>z</w:t>
      </w:r>
      <w:r w:rsidRPr="00A9383E">
        <w:rPr>
          <w:rFonts w:ascii="Times New Roman" w:hAnsi="Times New Roman"/>
          <w:i/>
          <w:iCs/>
          <w:sz w:val="24"/>
          <w:szCs w:val="24"/>
        </w:rPr>
        <w:t>e your practice</w:t>
      </w:r>
      <w:r w:rsidRPr="00A9383E">
        <w:rPr>
          <w:rFonts w:ascii="Times New Roman" w:hAnsi="Times New Roman"/>
          <w:sz w:val="24"/>
          <w:szCs w:val="24"/>
        </w:rPr>
        <w:t>. Routledge, pp. 57-75</w:t>
      </w:r>
    </w:p>
    <w:p w14:paraId="6494FC45"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Eun, B., 2019. The zone of proximal development as an overarching concept: A framework for synthesizing Vygotsky’s theories. </w:t>
      </w:r>
      <w:r w:rsidRPr="00A9383E">
        <w:rPr>
          <w:rFonts w:ascii="Times New Roman" w:hAnsi="Times New Roman"/>
          <w:i/>
          <w:iCs/>
          <w:sz w:val="24"/>
          <w:szCs w:val="24"/>
        </w:rPr>
        <w:t>Educational Philosophy and Theory</w:t>
      </w:r>
      <w:r w:rsidRPr="00A9383E">
        <w:rPr>
          <w:rFonts w:ascii="Times New Roman" w:hAnsi="Times New Roman"/>
          <w:sz w:val="24"/>
          <w:szCs w:val="24"/>
        </w:rPr>
        <w:t>, </w:t>
      </w:r>
      <w:r w:rsidRPr="00A9383E">
        <w:rPr>
          <w:rFonts w:ascii="Times New Roman" w:hAnsi="Times New Roman"/>
          <w:i/>
          <w:iCs/>
          <w:sz w:val="24"/>
          <w:szCs w:val="24"/>
        </w:rPr>
        <w:t>51</w:t>
      </w:r>
      <w:r w:rsidRPr="00A9383E">
        <w:rPr>
          <w:rFonts w:ascii="Times New Roman" w:hAnsi="Times New Roman"/>
          <w:sz w:val="24"/>
          <w:szCs w:val="24"/>
        </w:rPr>
        <w:t>(1), pp.18-30.</w:t>
      </w:r>
    </w:p>
    <w:p w14:paraId="429EC1B3"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Fritze, T., 2019. BF Skinner's Theory of Performance Excellence: A Radical Behavioral Perspective, pp. 12-31</w:t>
      </w:r>
    </w:p>
    <w:p w14:paraId="5F79D9AD"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Gray, C.</w:t>
      </w:r>
      <w:r>
        <w:rPr>
          <w:rFonts w:ascii="Times New Roman" w:hAnsi="Times New Roman"/>
          <w:sz w:val="24"/>
          <w:szCs w:val="24"/>
        </w:rPr>
        <w:t>,</w:t>
      </w:r>
      <w:r w:rsidRPr="00A9383E">
        <w:rPr>
          <w:rFonts w:ascii="Times New Roman" w:hAnsi="Times New Roman"/>
          <w:sz w:val="24"/>
          <w:szCs w:val="24"/>
        </w:rPr>
        <w:t xml:space="preserve"> and MacBain, S., 2015. </w:t>
      </w:r>
      <w:r w:rsidRPr="00A9383E">
        <w:rPr>
          <w:rFonts w:ascii="Times New Roman" w:hAnsi="Times New Roman"/>
          <w:i/>
          <w:iCs/>
          <w:sz w:val="24"/>
          <w:szCs w:val="24"/>
        </w:rPr>
        <w:t>Learning theories in childhood</w:t>
      </w:r>
      <w:r w:rsidRPr="00A9383E">
        <w:rPr>
          <w:rFonts w:ascii="Times New Roman" w:hAnsi="Times New Roman"/>
          <w:sz w:val="24"/>
          <w:szCs w:val="24"/>
        </w:rPr>
        <w:t>. Sage, pp. 91-112</w:t>
      </w:r>
    </w:p>
    <w:p w14:paraId="60A0A008"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Jarvis, P., Holford, J.</w:t>
      </w:r>
      <w:r>
        <w:rPr>
          <w:rFonts w:ascii="Times New Roman" w:hAnsi="Times New Roman"/>
          <w:sz w:val="24"/>
          <w:szCs w:val="24"/>
        </w:rPr>
        <w:t>,</w:t>
      </w:r>
      <w:r w:rsidRPr="00A9383E">
        <w:rPr>
          <w:rFonts w:ascii="Times New Roman" w:hAnsi="Times New Roman"/>
          <w:sz w:val="24"/>
          <w:szCs w:val="24"/>
        </w:rPr>
        <w:t xml:space="preserve"> and Griffin, C., 2003. </w:t>
      </w:r>
      <w:r w:rsidRPr="00A9383E">
        <w:rPr>
          <w:rFonts w:ascii="Times New Roman" w:hAnsi="Times New Roman"/>
          <w:i/>
          <w:iCs/>
          <w:sz w:val="24"/>
          <w:szCs w:val="24"/>
        </w:rPr>
        <w:t>The theory &amp; practice of learning</w:t>
      </w:r>
      <w:r w:rsidRPr="00A9383E">
        <w:rPr>
          <w:rFonts w:ascii="Times New Roman" w:hAnsi="Times New Roman"/>
          <w:sz w:val="24"/>
          <w:szCs w:val="24"/>
        </w:rPr>
        <w:t>. Psychology Press, pp.25-30</w:t>
      </w:r>
    </w:p>
    <w:p w14:paraId="0D28391D"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 xml:space="preserve">Lungu, M., 2018. The Influence </w:t>
      </w:r>
      <w:r>
        <w:rPr>
          <w:rFonts w:ascii="Times New Roman" w:hAnsi="Times New Roman"/>
          <w:sz w:val="24"/>
          <w:szCs w:val="24"/>
        </w:rPr>
        <w:t>o</w:t>
      </w:r>
      <w:r w:rsidRPr="00A9383E">
        <w:rPr>
          <w:rFonts w:ascii="Times New Roman" w:hAnsi="Times New Roman"/>
          <w:sz w:val="24"/>
          <w:szCs w:val="24"/>
        </w:rPr>
        <w:t>f Rewards Used In Child Education Over The Development Of Their Personality. </w:t>
      </w:r>
      <w:r w:rsidRPr="00A9383E">
        <w:rPr>
          <w:rFonts w:ascii="Times New Roman" w:hAnsi="Times New Roman"/>
          <w:i/>
          <w:iCs/>
          <w:sz w:val="24"/>
          <w:szCs w:val="24"/>
        </w:rPr>
        <w:t>Educația Plus</w:t>
      </w:r>
      <w:r w:rsidRPr="00A9383E">
        <w:rPr>
          <w:rFonts w:ascii="Times New Roman" w:hAnsi="Times New Roman"/>
          <w:sz w:val="24"/>
          <w:szCs w:val="24"/>
        </w:rPr>
        <w:t>, </w:t>
      </w:r>
      <w:r w:rsidRPr="00A9383E">
        <w:rPr>
          <w:rFonts w:ascii="Times New Roman" w:hAnsi="Times New Roman"/>
          <w:i/>
          <w:iCs/>
          <w:sz w:val="24"/>
          <w:szCs w:val="24"/>
        </w:rPr>
        <w:t>19</w:t>
      </w:r>
      <w:r w:rsidRPr="00A9383E">
        <w:rPr>
          <w:rFonts w:ascii="Times New Roman" w:hAnsi="Times New Roman"/>
          <w:sz w:val="24"/>
          <w:szCs w:val="24"/>
        </w:rPr>
        <w:t xml:space="preserve">(1), pp.225-237. </w:t>
      </w:r>
    </w:p>
    <w:p w14:paraId="5B23B7B8"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Matamoros-González, J.A., Rojas, M.A., Romero, J.P., Vera-Quiñonez, S.</w:t>
      </w:r>
      <w:r>
        <w:rPr>
          <w:rFonts w:ascii="Times New Roman" w:hAnsi="Times New Roman"/>
          <w:sz w:val="24"/>
          <w:szCs w:val="24"/>
        </w:rPr>
        <w:t>,</w:t>
      </w:r>
      <w:r w:rsidRPr="00A9383E">
        <w:rPr>
          <w:rFonts w:ascii="Times New Roman" w:hAnsi="Times New Roman"/>
          <w:sz w:val="24"/>
          <w:szCs w:val="24"/>
        </w:rPr>
        <w:t xml:space="preserve"> and Soto, S.T., 2017. English language teaching approaches A comparison of the grammar-translation, audiolingual, communicative, and natural approaches. </w:t>
      </w:r>
      <w:r w:rsidRPr="00A9383E">
        <w:rPr>
          <w:rFonts w:ascii="Times New Roman" w:hAnsi="Times New Roman"/>
          <w:i/>
          <w:iCs/>
          <w:sz w:val="24"/>
          <w:szCs w:val="24"/>
        </w:rPr>
        <w:t>Theory and Practice in Language Studies</w:t>
      </w:r>
      <w:r w:rsidRPr="00A9383E">
        <w:rPr>
          <w:rFonts w:ascii="Times New Roman" w:hAnsi="Times New Roman"/>
          <w:sz w:val="24"/>
          <w:szCs w:val="24"/>
        </w:rPr>
        <w:t>, </w:t>
      </w:r>
      <w:r w:rsidRPr="00A9383E">
        <w:rPr>
          <w:rFonts w:ascii="Times New Roman" w:hAnsi="Times New Roman"/>
          <w:i/>
          <w:iCs/>
          <w:sz w:val="24"/>
          <w:szCs w:val="24"/>
        </w:rPr>
        <w:t>7</w:t>
      </w:r>
      <w:r w:rsidRPr="00A9383E">
        <w:rPr>
          <w:rFonts w:ascii="Times New Roman" w:hAnsi="Times New Roman"/>
          <w:sz w:val="24"/>
          <w:szCs w:val="24"/>
        </w:rPr>
        <w:t xml:space="preserve">(11), pp.965-973. </w:t>
      </w:r>
    </w:p>
    <w:p w14:paraId="044BF1CD"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Pavlov, I., 2018. Burrhus Skinner and Behaviourists. </w:t>
      </w:r>
      <w:r w:rsidRPr="00A9383E">
        <w:rPr>
          <w:rFonts w:ascii="Times New Roman" w:hAnsi="Times New Roman"/>
          <w:i/>
          <w:iCs/>
          <w:sz w:val="24"/>
          <w:szCs w:val="24"/>
        </w:rPr>
        <w:t>Learning Theories for Early Years Practice</w:t>
      </w:r>
      <w:r w:rsidRPr="00A9383E">
        <w:rPr>
          <w:rFonts w:ascii="Times New Roman" w:hAnsi="Times New Roman"/>
          <w:sz w:val="24"/>
          <w:szCs w:val="24"/>
        </w:rPr>
        <w:t>, p.48.</w:t>
      </w:r>
    </w:p>
    <w:p w14:paraId="708804C9"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lastRenderedPageBreak/>
        <w:t>Rijal, F.S.</w:t>
      </w:r>
      <w:r>
        <w:rPr>
          <w:rFonts w:ascii="Times New Roman" w:hAnsi="Times New Roman"/>
          <w:sz w:val="24"/>
          <w:szCs w:val="24"/>
        </w:rPr>
        <w:t>,</w:t>
      </w:r>
      <w:r w:rsidRPr="00A9383E">
        <w:rPr>
          <w:rFonts w:ascii="Times New Roman" w:hAnsi="Times New Roman"/>
          <w:sz w:val="24"/>
          <w:szCs w:val="24"/>
        </w:rPr>
        <w:t xml:space="preserve"> and Dahlan, T.H., 2020, February. The Design of Behavior Modification Program with Token Economy in Elementary School. In </w:t>
      </w:r>
      <w:r w:rsidRPr="00A9383E">
        <w:rPr>
          <w:rFonts w:ascii="Times New Roman" w:hAnsi="Times New Roman"/>
          <w:i/>
          <w:iCs/>
          <w:sz w:val="24"/>
          <w:szCs w:val="24"/>
        </w:rPr>
        <w:t>International Conference on Educational Psychology and Pedagogy-" Diversity in Education"(ICEPP 2019)</w:t>
      </w:r>
      <w:r w:rsidRPr="00A9383E">
        <w:rPr>
          <w:rFonts w:ascii="Times New Roman" w:hAnsi="Times New Roman"/>
          <w:sz w:val="24"/>
          <w:szCs w:val="24"/>
        </w:rPr>
        <w:t> (pp. 106-109). Atlantis Press.</w:t>
      </w:r>
    </w:p>
    <w:p w14:paraId="2D2C7F84"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Shahan, T.A., 2017. Moving beyond reinforcement and response strength. </w:t>
      </w:r>
      <w:r w:rsidRPr="00A9383E">
        <w:rPr>
          <w:rFonts w:ascii="Times New Roman" w:hAnsi="Times New Roman"/>
          <w:i/>
          <w:iCs/>
          <w:sz w:val="24"/>
          <w:szCs w:val="24"/>
        </w:rPr>
        <w:t>The Behavior Analyst</w:t>
      </w:r>
      <w:r w:rsidRPr="00A9383E">
        <w:rPr>
          <w:rFonts w:ascii="Times New Roman" w:hAnsi="Times New Roman"/>
          <w:sz w:val="24"/>
          <w:szCs w:val="24"/>
        </w:rPr>
        <w:t>, </w:t>
      </w:r>
      <w:r w:rsidRPr="00A9383E">
        <w:rPr>
          <w:rFonts w:ascii="Times New Roman" w:hAnsi="Times New Roman"/>
          <w:i/>
          <w:iCs/>
          <w:sz w:val="24"/>
          <w:szCs w:val="24"/>
        </w:rPr>
        <w:t>40</w:t>
      </w:r>
      <w:r>
        <w:rPr>
          <w:rFonts w:ascii="Times New Roman" w:hAnsi="Times New Roman"/>
          <w:sz w:val="24"/>
          <w:szCs w:val="24"/>
        </w:rPr>
        <w:t>(1), pp.107-12</w:t>
      </w:r>
    </w:p>
    <w:p w14:paraId="1F24C565" w14:textId="77777777" w:rsidR="00EA6F8A" w:rsidRPr="00A9383E" w:rsidRDefault="00EA6F8A" w:rsidP="0053564A">
      <w:pPr>
        <w:spacing w:after="0" w:line="480" w:lineRule="auto"/>
        <w:ind w:left="720" w:hanging="720"/>
        <w:rPr>
          <w:rFonts w:ascii="Times New Roman" w:hAnsi="Times New Roman"/>
          <w:sz w:val="24"/>
          <w:szCs w:val="24"/>
        </w:rPr>
      </w:pPr>
      <w:r w:rsidRPr="00A9383E">
        <w:rPr>
          <w:rFonts w:ascii="Times New Roman" w:hAnsi="Times New Roman"/>
          <w:sz w:val="24"/>
          <w:szCs w:val="24"/>
        </w:rPr>
        <w:t>Siochrú, C.Ó. ed., 2018. </w:t>
      </w:r>
      <w:r w:rsidRPr="00A9383E">
        <w:rPr>
          <w:rFonts w:ascii="Times New Roman" w:hAnsi="Times New Roman"/>
          <w:i/>
          <w:iCs/>
          <w:sz w:val="24"/>
          <w:szCs w:val="24"/>
        </w:rPr>
        <w:t>Psychology and the study of education: Critical perspectives on developing theories</w:t>
      </w:r>
      <w:r w:rsidRPr="00A9383E">
        <w:rPr>
          <w:rFonts w:ascii="Times New Roman" w:hAnsi="Times New Roman"/>
          <w:sz w:val="24"/>
          <w:szCs w:val="24"/>
        </w:rPr>
        <w:t>. Routledge, pp. 162-181</w:t>
      </w:r>
    </w:p>
    <w:p w14:paraId="60B57062" w14:textId="77777777" w:rsidR="00EA6F8A" w:rsidRPr="0081220A" w:rsidRDefault="00EA6F8A" w:rsidP="0053564A">
      <w:pPr>
        <w:spacing w:after="0" w:line="480" w:lineRule="auto"/>
        <w:ind w:firstLine="720"/>
        <w:rPr>
          <w:rFonts w:ascii="Times New Roman" w:hAnsi="Times New Roman"/>
          <w:sz w:val="24"/>
          <w:szCs w:val="24"/>
        </w:rPr>
      </w:pPr>
    </w:p>
    <w:p w14:paraId="2BA53E63" w14:textId="77777777" w:rsidR="00007EF8" w:rsidRDefault="00007EF8" w:rsidP="0053564A">
      <w:pPr>
        <w:spacing w:line="480" w:lineRule="auto"/>
      </w:pPr>
    </w:p>
    <w:sectPr w:rsidR="00007EF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555918" w14:textId="77777777" w:rsidR="009C25ED" w:rsidRDefault="009C25ED" w:rsidP="00EA6F8A">
      <w:pPr>
        <w:spacing w:after="0" w:line="240" w:lineRule="auto"/>
      </w:pPr>
      <w:r>
        <w:separator/>
      </w:r>
    </w:p>
  </w:endnote>
  <w:endnote w:type="continuationSeparator" w:id="0">
    <w:p w14:paraId="4E94410D" w14:textId="77777777" w:rsidR="009C25ED" w:rsidRDefault="009C25ED" w:rsidP="00EA6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D3ECB" w14:textId="77777777" w:rsidR="00BA51A8" w:rsidRDefault="00BA51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2461847"/>
      <w:docPartObj>
        <w:docPartGallery w:val="Page Numbers (Bottom of Page)"/>
        <w:docPartUnique/>
      </w:docPartObj>
    </w:sdtPr>
    <w:sdtEndPr>
      <w:rPr>
        <w:noProof/>
      </w:rPr>
    </w:sdtEndPr>
    <w:sdtContent>
      <w:p w14:paraId="06FD5CC8" w14:textId="7C8666EF" w:rsidR="00BA51A8" w:rsidRDefault="00BA51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0C4E3" w14:textId="77777777" w:rsidR="00BA51A8" w:rsidRDefault="00BA51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B39B58" w14:textId="77777777" w:rsidR="00BA51A8" w:rsidRDefault="00BA5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AF1FE7" w14:textId="77777777" w:rsidR="009C25ED" w:rsidRDefault="009C25ED" w:rsidP="00EA6F8A">
      <w:pPr>
        <w:spacing w:after="0" w:line="240" w:lineRule="auto"/>
      </w:pPr>
      <w:r>
        <w:separator/>
      </w:r>
    </w:p>
  </w:footnote>
  <w:footnote w:type="continuationSeparator" w:id="0">
    <w:p w14:paraId="29E1B13C" w14:textId="77777777" w:rsidR="009C25ED" w:rsidRDefault="009C25ED" w:rsidP="00EA6F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21FDEA" w14:textId="77777777" w:rsidR="00BA51A8" w:rsidRDefault="00BA51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0AD603" w14:textId="7F708656" w:rsidR="00BD5C36" w:rsidRDefault="00BA51A8" w:rsidP="00BA51A8">
    <w:pPr>
      <w:pStyle w:val="Header"/>
    </w:pPr>
    <w:r>
      <w:ptab w:relativeTo="margin" w:alignment="center" w:leader="none"/>
    </w:r>
    <w:r>
      <w:ptab w:relativeTo="margin" w:alignment="right" w:leader="none"/>
    </w:r>
    <w:r>
      <w:t>Tanya Newton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73DB9" w14:textId="77777777" w:rsidR="00BA51A8" w:rsidRDefault="00BA51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O0MDMBUubmFkZm5ko6SsGpxcWZ+XkgBYa1AJCNMvAsAAAA"/>
  </w:docVars>
  <w:rsids>
    <w:rsidRoot w:val="00EA6F8A"/>
    <w:rsid w:val="00007EF8"/>
    <w:rsid w:val="0053564A"/>
    <w:rsid w:val="00945A53"/>
    <w:rsid w:val="009C25ED"/>
    <w:rsid w:val="009C49C1"/>
    <w:rsid w:val="00BA51A8"/>
    <w:rsid w:val="00BD5C36"/>
    <w:rsid w:val="00CC1FAF"/>
    <w:rsid w:val="00EA6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5BA87"/>
  <w15:chartTrackingRefBased/>
  <w15:docId w15:val="{3EFADCA0-A3B1-4A99-B50E-8C6B4B91C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F8A"/>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6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F8A"/>
  </w:style>
  <w:style w:type="paragraph" w:styleId="ListParagraph">
    <w:name w:val="List Paragraph"/>
    <w:basedOn w:val="Normal"/>
    <w:uiPriority w:val="34"/>
    <w:qFormat/>
    <w:rsid w:val="00EA6F8A"/>
    <w:pPr>
      <w:ind w:left="720"/>
      <w:contextualSpacing/>
    </w:pPr>
  </w:style>
  <w:style w:type="paragraph" w:styleId="Footer">
    <w:name w:val="footer"/>
    <w:basedOn w:val="Normal"/>
    <w:link w:val="FooterChar"/>
    <w:uiPriority w:val="99"/>
    <w:unhideWhenUsed/>
    <w:rsid w:val="00EA6F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1936</Words>
  <Characters>11039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Tanya Newton</cp:lastModifiedBy>
  <cp:revision>3</cp:revision>
  <dcterms:created xsi:type="dcterms:W3CDTF">2020-10-12T18:00:00Z</dcterms:created>
  <dcterms:modified xsi:type="dcterms:W3CDTF">2020-10-22T10:03:00Z</dcterms:modified>
</cp:coreProperties>
</file>