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45051" w:rsidRDefault="00845051" w:rsidP="000C0537">
      <w:pPr>
        <w:shd w:val="clear" w:color="auto" w:fill="FFFFFF"/>
        <w:spacing w:after="225" w:line="360" w:lineRule="atLeast"/>
        <w:rPr>
          <w:rFonts w:ascii="Times New Roman" w:hAnsi="Times New Roman" w:cs="Times New Roman" w:hint="eastAsia"/>
          <w:b/>
          <w:bCs/>
          <w:color w:val="000000" w:themeColor="text1"/>
          <w:sz w:val="32"/>
          <w:szCs w:val="32"/>
        </w:rPr>
      </w:pPr>
    </w:p>
    <w:p w:rsidR="00845051" w:rsidRDefault="00845051" w:rsidP="00845051">
      <w:pPr>
        <w:pStyle w:val="ae"/>
        <w:ind w:leftChars="100" w:left="220" w:firstLine="220"/>
        <w:rPr>
          <w:lang w:val="en-US"/>
        </w:rPr>
      </w:pPr>
      <w:r w:rsidRPr="003203AB">
        <w:rPr>
          <w:rFonts w:cs="Arial"/>
          <w:noProof/>
          <w:sz w:val="22"/>
          <w:szCs w:val="22"/>
        </w:rPr>
        <w:drawing>
          <wp:anchor distT="0" distB="0" distL="114300" distR="114300" simplePos="0" relativeHeight="251659264" behindDoc="1" locked="0" layoutInCell="1" allowOverlap="1" wp14:anchorId="70069E0C" wp14:editId="48EA3795">
            <wp:simplePos x="0" y="0"/>
            <wp:positionH relativeFrom="margin">
              <wp:posOffset>0</wp:posOffset>
            </wp:positionH>
            <wp:positionV relativeFrom="paragraph">
              <wp:posOffset>197485</wp:posOffset>
            </wp:positionV>
            <wp:extent cx="2469515" cy="1324610"/>
            <wp:effectExtent l="0" t="0" r="6985" b="8890"/>
            <wp:wrapTight wrapText="bothSides">
              <wp:wrapPolygon edited="0">
                <wp:start x="0" y="0"/>
                <wp:lineTo x="0" y="21434"/>
                <wp:lineTo x="21494" y="21434"/>
                <wp:lineTo x="21494" y="0"/>
                <wp:lineTo x="0" y="0"/>
              </wp:wrapPolygon>
            </wp:wrapTight>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7813" t="25781"/>
                    <a:stretch>
                      <a:fillRect/>
                    </a:stretch>
                  </pic:blipFill>
                  <pic:spPr bwMode="auto">
                    <a:xfrm>
                      <a:off x="0" y="0"/>
                      <a:ext cx="2469515" cy="13246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45051" w:rsidRDefault="00845051" w:rsidP="00845051">
      <w:pPr>
        <w:pStyle w:val="ae"/>
        <w:ind w:firstLine="240"/>
        <w:rPr>
          <w:lang w:val="en-US"/>
        </w:rPr>
      </w:pPr>
    </w:p>
    <w:p w:rsidR="00845051" w:rsidRDefault="00845051" w:rsidP="00845051">
      <w:pPr>
        <w:pStyle w:val="ae"/>
        <w:ind w:firstLine="240"/>
        <w:rPr>
          <w:lang w:val="en-US"/>
        </w:rPr>
      </w:pPr>
    </w:p>
    <w:p w:rsidR="00845051" w:rsidRDefault="00845051" w:rsidP="00845051">
      <w:pPr>
        <w:pStyle w:val="ae"/>
        <w:ind w:firstLine="240"/>
        <w:rPr>
          <w:lang w:val="en-US"/>
        </w:rPr>
      </w:pPr>
    </w:p>
    <w:p w:rsidR="00845051" w:rsidRDefault="00845051" w:rsidP="00845051">
      <w:pPr>
        <w:pStyle w:val="ae"/>
        <w:ind w:firstLine="240"/>
        <w:rPr>
          <w:lang w:val="en-US"/>
        </w:rPr>
      </w:pPr>
    </w:p>
    <w:p w:rsidR="00845051" w:rsidRDefault="00845051" w:rsidP="00845051">
      <w:pPr>
        <w:pStyle w:val="ae"/>
        <w:ind w:firstLine="240"/>
        <w:rPr>
          <w:lang w:val="en-US"/>
        </w:rPr>
      </w:pPr>
    </w:p>
    <w:p w:rsidR="00845051" w:rsidRDefault="00845051" w:rsidP="00845051">
      <w:pPr>
        <w:pStyle w:val="ae"/>
        <w:ind w:firstLine="240"/>
        <w:rPr>
          <w:lang w:val="en-US"/>
        </w:rPr>
      </w:pPr>
    </w:p>
    <w:p w:rsidR="00845051" w:rsidRDefault="00845051" w:rsidP="00845051">
      <w:pPr>
        <w:pStyle w:val="ae"/>
        <w:ind w:firstLine="240"/>
        <w:rPr>
          <w:lang w:val="en-US"/>
        </w:rPr>
      </w:pPr>
    </w:p>
    <w:p w:rsidR="00845051" w:rsidRDefault="00845051" w:rsidP="00845051">
      <w:pPr>
        <w:pStyle w:val="ae"/>
        <w:ind w:firstLine="240"/>
        <w:rPr>
          <w:lang w:val="en-US"/>
        </w:rPr>
      </w:pPr>
    </w:p>
    <w:p w:rsidR="00845051" w:rsidRDefault="00845051" w:rsidP="00845051">
      <w:pPr>
        <w:pStyle w:val="ae"/>
        <w:ind w:firstLine="240"/>
        <w:rPr>
          <w:lang w:val="en-US"/>
        </w:rPr>
      </w:pPr>
    </w:p>
    <w:p w:rsidR="00845051" w:rsidRDefault="00845051" w:rsidP="00845051">
      <w:pPr>
        <w:pStyle w:val="ae"/>
        <w:ind w:firstLine="240"/>
        <w:rPr>
          <w:lang w:val="en-US"/>
        </w:rPr>
      </w:pPr>
    </w:p>
    <w:p w:rsidR="00845051" w:rsidRDefault="00845051" w:rsidP="00845051">
      <w:pPr>
        <w:pStyle w:val="ae"/>
        <w:ind w:firstLine="240"/>
        <w:rPr>
          <w:lang w:val="en-US"/>
        </w:rPr>
      </w:pPr>
    </w:p>
    <w:p w:rsidR="00845051" w:rsidRPr="008D12EE" w:rsidRDefault="00845051" w:rsidP="00845051">
      <w:pPr>
        <w:pStyle w:val="ae"/>
        <w:ind w:firstLine="240"/>
        <w:rPr>
          <w:lang w:val="en-US"/>
        </w:rPr>
      </w:pPr>
    </w:p>
    <w:p w:rsidR="00845051" w:rsidRPr="007902D6" w:rsidRDefault="00845051" w:rsidP="00845051">
      <w:pPr>
        <w:shd w:val="clear" w:color="auto" w:fill="FFFFFF"/>
        <w:spacing w:after="225" w:line="360" w:lineRule="atLeast"/>
        <w:jc w:val="center"/>
        <w:rPr>
          <w:rFonts w:ascii="Times New Roman" w:hAnsi="Times New Roman" w:cs="Times New Roman"/>
          <w:b/>
          <w:bCs/>
          <w:color w:val="000000" w:themeColor="text1"/>
          <w:sz w:val="32"/>
          <w:szCs w:val="32"/>
        </w:rPr>
      </w:pPr>
      <w:r w:rsidRPr="003203AB">
        <w:rPr>
          <w:rFonts w:cs="Arial"/>
          <w:b/>
          <w:bCs/>
          <w:sz w:val="48"/>
          <w:szCs w:val="48"/>
        </w:rPr>
        <w:t>BMMB7007</w:t>
      </w:r>
    </w:p>
    <w:p w:rsidR="00845051" w:rsidRDefault="00845051" w:rsidP="00845051">
      <w:pPr>
        <w:shd w:val="clear" w:color="auto" w:fill="FFFFFF"/>
        <w:spacing w:after="225" w:line="360" w:lineRule="atLeast"/>
        <w:jc w:val="center"/>
        <w:rPr>
          <w:rFonts w:ascii="Times New Roman" w:eastAsia="Helvetica" w:hAnsi="Times New Roman" w:cs="Times New Roman"/>
          <w:color w:val="333333"/>
          <w:kern w:val="0"/>
          <w:sz w:val="32"/>
          <w:szCs w:val="32"/>
          <w:shd w:val="clear" w:color="auto" w:fill="FFFFFF"/>
          <w:lang w:bidi="ar"/>
        </w:rPr>
      </w:pPr>
    </w:p>
    <w:p w:rsidR="00845051" w:rsidRDefault="00845051" w:rsidP="00845051">
      <w:pPr>
        <w:jc w:val="center"/>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I</w:t>
      </w:r>
      <w:r>
        <w:rPr>
          <w:rFonts w:ascii="Times New Roman" w:hAnsi="Times New Roman" w:cs="Times New Roman" w:hint="eastAsia"/>
          <w:b/>
          <w:bCs/>
          <w:color w:val="000000" w:themeColor="text1"/>
          <w:sz w:val="32"/>
          <w:szCs w:val="32"/>
        </w:rPr>
        <w:t>m</w:t>
      </w:r>
      <w:r>
        <w:rPr>
          <w:rFonts w:ascii="Times New Roman" w:hAnsi="Times New Roman" w:cs="Times New Roman"/>
          <w:b/>
          <w:bCs/>
          <w:color w:val="000000" w:themeColor="text1"/>
          <w:sz w:val="32"/>
          <w:szCs w:val="32"/>
        </w:rPr>
        <w:t>proving 360-Degrees Feedback Performance Appraisal To Enhance Performance Management At Tesco Plc UK</w:t>
      </w:r>
    </w:p>
    <w:p w:rsidR="00845051" w:rsidRDefault="00845051" w:rsidP="00845051">
      <w:pPr>
        <w:shd w:val="clear" w:color="auto" w:fill="FFFFFF"/>
        <w:spacing w:after="225" w:line="360" w:lineRule="atLeast"/>
        <w:jc w:val="center"/>
        <w:rPr>
          <w:rFonts w:ascii="Times New Roman" w:eastAsiaTheme="majorEastAsia" w:hAnsi="Times New Roman" w:cs="Times New Roman"/>
          <w:spacing w:val="-10"/>
          <w:kern w:val="28"/>
          <w:sz w:val="32"/>
          <w:szCs w:val="32"/>
        </w:rPr>
      </w:pPr>
    </w:p>
    <w:p w:rsidR="00845051" w:rsidRDefault="00845051" w:rsidP="00845051">
      <w:pPr>
        <w:jc w:val="center"/>
        <w:rPr>
          <w:rFonts w:ascii="Times New Roman" w:hAnsi="Times New Roman" w:cs="Times New Roman"/>
          <w:b/>
          <w:bCs/>
          <w:sz w:val="32"/>
          <w:szCs w:val="32"/>
        </w:rPr>
      </w:pPr>
      <w:r>
        <w:rPr>
          <w:rFonts w:ascii="Times New Roman" w:hAnsi="Times New Roman" w:cs="Times New Roman"/>
          <w:b/>
          <w:bCs/>
          <w:sz w:val="32"/>
          <w:szCs w:val="32"/>
        </w:rPr>
        <w:t xml:space="preserve">Major: </w:t>
      </w:r>
      <w:r w:rsidRPr="008D12EE">
        <w:rPr>
          <w:rFonts w:ascii="Times New Roman" w:hAnsi="Times New Roman" w:cs="Times New Roman"/>
          <w:b/>
          <w:bCs/>
          <w:color w:val="000000" w:themeColor="text1"/>
          <w:sz w:val="32"/>
          <w:szCs w:val="32"/>
        </w:rPr>
        <w:t>Human Resource Management</w:t>
      </w:r>
      <w:r>
        <w:rPr>
          <w:rFonts w:ascii="Times New Roman" w:hAnsi="Times New Roman" w:cs="Times New Roman"/>
          <w:b/>
          <w:bCs/>
          <w:color w:val="000000" w:themeColor="text1"/>
          <w:sz w:val="32"/>
          <w:szCs w:val="32"/>
        </w:rPr>
        <w:t xml:space="preserve"> </w:t>
      </w:r>
    </w:p>
    <w:p w:rsidR="00845051" w:rsidRDefault="00845051" w:rsidP="00845051">
      <w:pPr>
        <w:jc w:val="center"/>
        <w:rPr>
          <w:rFonts w:ascii="Times New Roman" w:hAnsi="Times New Roman" w:cs="Times New Roman"/>
          <w:b/>
          <w:bCs/>
          <w:sz w:val="32"/>
          <w:szCs w:val="32"/>
        </w:rPr>
      </w:pPr>
      <w:r>
        <w:rPr>
          <w:rFonts w:ascii="Times New Roman" w:hAnsi="Times New Roman" w:cs="Times New Roman"/>
          <w:b/>
          <w:bCs/>
          <w:sz w:val="32"/>
          <w:szCs w:val="32"/>
        </w:rPr>
        <w:t>Enrollment Time:10/2022</w:t>
      </w:r>
    </w:p>
    <w:p w:rsidR="00845051" w:rsidRDefault="00845051" w:rsidP="00845051">
      <w:pPr>
        <w:jc w:val="center"/>
        <w:rPr>
          <w:rFonts w:ascii="Times New Roman" w:hAnsi="Times New Roman" w:cs="Times New Roman"/>
          <w:b/>
          <w:bCs/>
          <w:sz w:val="32"/>
          <w:szCs w:val="32"/>
        </w:rPr>
      </w:pPr>
      <w:r>
        <w:rPr>
          <w:rFonts w:ascii="Times New Roman" w:hAnsi="Times New Roman" w:cs="Times New Roman"/>
          <w:b/>
          <w:bCs/>
          <w:sz w:val="32"/>
          <w:szCs w:val="32"/>
        </w:rPr>
        <w:t>Student ID:2218750</w:t>
      </w:r>
    </w:p>
    <w:p w:rsidR="00845051" w:rsidRDefault="00845051" w:rsidP="00845051">
      <w:pPr>
        <w:jc w:val="center"/>
        <w:rPr>
          <w:rFonts w:ascii="Times New Roman" w:eastAsia="宋体" w:hAnsi="Times New Roman" w:cs="Times New Roman"/>
          <w:b/>
          <w:bCs/>
          <w:sz w:val="32"/>
          <w:szCs w:val="32"/>
        </w:rPr>
      </w:pPr>
      <w:r>
        <w:rPr>
          <w:rFonts w:ascii="Times New Roman" w:hAnsi="Times New Roman" w:cs="Times New Roman"/>
          <w:b/>
          <w:bCs/>
          <w:sz w:val="32"/>
          <w:szCs w:val="32"/>
        </w:rPr>
        <w:t xml:space="preserve">Full Name: </w:t>
      </w:r>
      <w:r>
        <w:rPr>
          <w:rFonts w:ascii="Times New Roman" w:hAnsi="Times New Roman" w:cs="Times New Roman" w:hint="eastAsia"/>
          <w:b/>
          <w:bCs/>
          <w:sz w:val="32"/>
          <w:szCs w:val="32"/>
        </w:rPr>
        <w:t>Y</w:t>
      </w:r>
      <w:r>
        <w:rPr>
          <w:rFonts w:ascii="Times New Roman" w:hAnsi="Times New Roman" w:cs="Times New Roman"/>
          <w:b/>
          <w:bCs/>
          <w:sz w:val="32"/>
          <w:szCs w:val="32"/>
        </w:rPr>
        <w:t>u</w:t>
      </w:r>
      <w:r>
        <w:rPr>
          <w:rFonts w:ascii="Times New Roman" w:hAnsi="Times New Roman" w:cs="Times New Roman" w:hint="eastAsia"/>
          <w:b/>
          <w:bCs/>
          <w:sz w:val="32"/>
          <w:szCs w:val="32"/>
        </w:rPr>
        <w:t xml:space="preserve"> Shenghua</w:t>
      </w:r>
    </w:p>
    <w:p w:rsidR="00845051" w:rsidRDefault="00845051" w:rsidP="00845051">
      <w:pPr>
        <w:jc w:val="center"/>
        <w:rPr>
          <w:rFonts w:ascii="Times New Roman" w:hAnsi="Times New Roman" w:cs="Times New Roman"/>
          <w:b/>
          <w:bCs/>
          <w:sz w:val="32"/>
          <w:szCs w:val="32"/>
        </w:rPr>
      </w:pPr>
      <w:r>
        <w:rPr>
          <w:rFonts w:ascii="Times New Roman" w:hAnsi="Times New Roman" w:cs="Times New Roman"/>
          <w:b/>
          <w:bCs/>
          <w:sz w:val="32"/>
          <w:szCs w:val="32"/>
        </w:rPr>
        <w:t>Instructor:</w:t>
      </w:r>
      <w:r w:rsidRPr="00C52DE5">
        <w:rPr>
          <w:rFonts w:cs="Arial"/>
          <w:b/>
        </w:rPr>
        <w:t xml:space="preserve"> </w:t>
      </w:r>
      <w:r w:rsidRPr="00C52DE5">
        <w:rPr>
          <w:rFonts w:ascii="Times New Roman" w:hAnsi="Times New Roman" w:cs="Times New Roman"/>
          <w:b/>
          <w:bCs/>
          <w:sz w:val="32"/>
          <w:szCs w:val="32"/>
        </w:rPr>
        <w:t>James Moore</w:t>
      </w:r>
    </w:p>
    <w:p w:rsidR="00845051" w:rsidRDefault="00845051" w:rsidP="00845051">
      <w:pPr>
        <w:jc w:val="center"/>
        <w:rPr>
          <w:rFonts w:ascii="Times New Roman" w:hAnsi="Times New Roman" w:cs="Times New Roman"/>
          <w:b/>
          <w:bCs/>
          <w:sz w:val="32"/>
          <w:szCs w:val="32"/>
        </w:rPr>
      </w:pPr>
    </w:p>
    <w:p w:rsidR="00845051" w:rsidRDefault="00845051" w:rsidP="00845051">
      <w:pPr>
        <w:jc w:val="center"/>
        <w:rPr>
          <w:rFonts w:ascii="Times New Roman" w:hAnsi="Times New Roman" w:cs="Times New Roman"/>
          <w:b/>
          <w:bCs/>
          <w:sz w:val="32"/>
          <w:szCs w:val="32"/>
        </w:rPr>
      </w:pPr>
    </w:p>
    <w:p w:rsidR="00845051" w:rsidRPr="00931E76" w:rsidRDefault="00845051" w:rsidP="00845051">
      <w:pPr>
        <w:jc w:val="center"/>
        <w:rPr>
          <w:rFonts w:ascii="Times New Roman" w:hAnsi="Times New Roman" w:cs="Times New Roman"/>
          <w:b/>
          <w:bCs/>
          <w:sz w:val="32"/>
          <w:szCs w:val="32"/>
        </w:rPr>
      </w:pPr>
      <w:r>
        <w:rPr>
          <w:rFonts w:ascii="Times New Roman" w:hAnsi="Times New Roman" w:cs="Times New Roman"/>
          <w:b/>
          <w:bCs/>
          <w:sz w:val="32"/>
          <w:szCs w:val="32"/>
        </w:rPr>
        <w:t>Completion Date:</w:t>
      </w:r>
      <w:r>
        <w:rPr>
          <w:rFonts w:ascii="Times New Roman" w:hAnsi="Times New Roman" w:cs="Times New Roman" w:hint="eastAsia"/>
          <w:b/>
          <w:bCs/>
          <w:sz w:val="32"/>
          <w:szCs w:val="32"/>
        </w:rPr>
        <w:t xml:space="preserve">  23/03/2023</w:t>
      </w:r>
    </w:p>
    <w:p w:rsidR="00CE043B" w:rsidRPr="00845051" w:rsidRDefault="00CE043B">
      <w:pPr>
        <w:spacing w:line="480" w:lineRule="auto"/>
        <w:rPr>
          <w:rFonts w:ascii="Times New Roman" w:eastAsia="Times New Roman" w:hAnsi="Times New Roman" w:cs="Times New Roman"/>
          <w:sz w:val="24"/>
          <w:szCs w:val="24"/>
        </w:rPr>
      </w:pPr>
    </w:p>
    <w:p w:rsidR="00CE043B" w:rsidRDefault="00CE043B">
      <w:pPr>
        <w:spacing w:line="480" w:lineRule="auto"/>
      </w:pPr>
    </w:p>
    <w:p w:rsidR="00CE043B" w:rsidRDefault="00DC1CFE">
      <w:pPr>
        <w:spacing w:line="480" w:lineRule="auto"/>
        <w:rPr>
          <w:rFonts w:ascii="Times New Roman" w:eastAsia="Times New Roman" w:hAnsi="Times New Roman" w:cs="Times New Roman"/>
          <w:sz w:val="24"/>
          <w:szCs w:val="24"/>
        </w:rPr>
      </w:pPr>
      <w:r>
        <w:rPr>
          <w:rFonts w:ascii="Times New Roman" w:hAnsi="Times New Roman"/>
          <w:sz w:val="24"/>
          <w:szCs w:val="24"/>
        </w:rPr>
        <w:t xml:space="preserve"> </w:t>
      </w:r>
    </w:p>
    <w:p w:rsidR="00CE043B" w:rsidRDefault="00DC1CFE">
      <w:pPr>
        <w:pStyle w:val="TOCHeading1"/>
        <w:spacing w:line="480" w:lineRule="auto"/>
        <w:rPr>
          <w:rFonts w:ascii="Times New Roman" w:eastAsia="Times New Roman" w:hAnsi="Times New Roman" w:cs="Times New Roman"/>
          <w:color w:val="000000"/>
          <w:sz w:val="24"/>
          <w:szCs w:val="24"/>
          <w:u w:color="000000"/>
        </w:rPr>
      </w:pPr>
      <w:r>
        <w:rPr>
          <w:rFonts w:ascii="Times New Roman" w:hAnsi="Times New Roman"/>
          <w:color w:val="000000"/>
          <w:sz w:val="24"/>
          <w:szCs w:val="24"/>
          <w:u w:color="000000"/>
        </w:rPr>
        <w:lastRenderedPageBreak/>
        <w:t>Table of Contents</w:t>
      </w:r>
    </w:p>
    <w:p w:rsidR="00CE043B" w:rsidRDefault="00DC1CFE">
      <w:pPr>
        <w:spacing w:line="480" w:lineRule="auto"/>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TOC \t "小标题, 1,小标题 2, 2"</w:instrText>
      </w:r>
      <w:r>
        <w:rPr>
          <w:rFonts w:ascii="Times New Roman" w:eastAsia="Times New Roman" w:hAnsi="Times New Roman" w:cs="Times New Roman"/>
          <w:sz w:val="24"/>
          <w:szCs w:val="24"/>
        </w:rPr>
        <w:fldChar w:fldCharType="separate"/>
      </w:r>
    </w:p>
    <w:p w:rsidR="00CE043B" w:rsidRDefault="00DC1CFE" w:rsidP="00891507">
      <w:pPr>
        <w:pStyle w:val="TOC1"/>
      </w:pPr>
      <w:r>
        <w:rPr>
          <w:rFonts w:eastAsia="Arial Unicode MS" w:cs="Arial Unicode MS"/>
        </w:rPr>
        <w:t>Executive Summary</w:t>
      </w:r>
      <w:r>
        <w:rPr>
          <w:rFonts w:eastAsia="Arial Unicode MS" w:cs="Arial Unicode MS"/>
        </w:rPr>
        <w:tab/>
      </w:r>
      <w:r w:rsidR="004A7C7A">
        <w:t>4</w:t>
      </w:r>
    </w:p>
    <w:p w:rsidR="00CE043B" w:rsidRDefault="00DC1CFE" w:rsidP="00891507">
      <w:pPr>
        <w:pStyle w:val="TOC1"/>
        <w:numPr>
          <w:ilvl w:val="0"/>
          <w:numId w:val="1"/>
        </w:numPr>
        <w:rPr>
          <w:rFonts w:eastAsia="Arial Unicode MS" w:cs="Arial Unicode MS"/>
        </w:rPr>
      </w:pPr>
      <w:r>
        <w:rPr>
          <w:rFonts w:eastAsia="Arial Unicode MS" w:cs="Arial Unicode MS"/>
        </w:rPr>
        <w:t>Introduction</w:t>
      </w:r>
      <w:r>
        <w:rPr>
          <w:rFonts w:eastAsia="Arial Unicode MS" w:cs="Arial Unicode MS"/>
        </w:rPr>
        <w:tab/>
      </w:r>
      <w:r w:rsidR="004A7C7A">
        <w:rPr>
          <w:rFonts w:eastAsia="Arial Unicode MS" w:cs="Arial Unicode MS"/>
        </w:rPr>
        <w:t>5</w:t>
      </w:r>
    </w:p>
    <w:p w:rsidR="004A7C7A" w:rsidRPr="00667BB7" w:rsidRDefault="004A7C7A" w:rsidP="00891507">
      <w:pPr>
        <w:pStyle w:val="TOC2"/>
        <w:numPr>
          <w:ilvl w:val="0"/>
          <w:numId w:val="1"/>
        </w:numPr>
        <w:spacing w:line="360" w:lineRule="auto"/>
        <w:rPr>
          <w:rFonts w:eastAsia="Arial Unicode MS" w:cs="Arial Unicode MS"/>
        </w:rPr>
      </w:pPr>
      <w:r>
        <w:rPr>
          <w:rFonts w:eastAsia="Arial Unicode MS" w:cs="Arial Unicode MS"/>
        </w:rPr>
        <w:t>Organizational Overview</w:t>
      </w:r>
      <w:r>
        <w:rPr>
          <w:rFonts w:eastAsia="Arial Unicode MS" w:cs="Arial Unicode MS"/>
        </w:rPr>
        <w:tab/>
      </w:r>
      <w:r w:rsidRPr="00667BB7">
        <w:rPr>
          <w:rFonts w:eastAsia="Arial Unicode MS" w:cs="Arial Unicode MS"/>
        </w:rPr>
        <w:t>5</w:t>
      </w:r>
    </w:p>
    <w:p w:rsidR="00CE043B" w:rsidRPr="00667BB7" w:rsidRDefault="00DC1CFE" w:rsidP="00891507">
      <w:pPr>
        <w:pStyle w:val="TOC1"/>
        <w:numPr>
          <w:ilvl w:val="0"/>
          <w:numId w:val="3"/>
        </w:numPr>
        <w:rPr>
          <w:rFonts w:eastAsia="Arial Unicode MS" w:cs="Arial Unicode MS"/>
        </w:rPr>
      </w:pPr>
      <w:r>
        <w:rPr>
          <w:rFonts w:eastAsia="Arial Unicode MS" w:cs="Arial Unicode MS"/>
        </w:rPr>
        <w:t>HRM Priority Area: Performance management</w:t>
      </w:r>
      <w:r>
        <w:rPr>
          <w:rFonts w:eastAsia="Arial Unicode MS" w:cs="Arial Unicode MS"/>
        </w:rPr>
        <w:tab/>
      </w:r>
      <w:r w:rsidR="00FE60AC">
        <w:rPr>
          <w:rFonts w:eastAsia="Arial Unicode MS" w:cs="Arial Unicode MS"/>
        </w:rPr>
        <w:t>5</w:t>
      </w:r>
    </w:p>
    <w:p w:rsidR="004A7C7A" w:rsidRPr="00B066C6" w:rsidRDefault="00B066C6" w:rsidP="00891507">
      <w:pPr>
        <w:pStyle w:val="TOC1"/>
        <w:numPr>
          <w:ilvl w:val="0"/>
          <w:numId w:val="3"/>
        </w:numPr>
        <w:rPr>
          <w:rFonts w:eastAsia="Arial Unicode MS" w:cs="Arial Unicode MS"/>
        </w:rPr>
      </w:pPr>
      <w:r w:rsidRPr="00B066C6">
        <w:rPr>
          <w:rFonts w:eastAsia="Arial Unicode MS" w:cs="Arial Unicode MS"/>
        </w:rPr>
        <w:t>Current Shortfalls at Tesco</w:t>
      </w:r>
      <w:r>
        <w:rPr>
          <w:rFonts w:eastAsia="Arial Unicode MS" w:cs="Arial Unicode MS"/>
        </w:rPr>
        <w:t>…………………………………………</w:t>
      </w:r>
      <w:r w:rsidR="00C73A1E">
        <w:rPr>
          <w:rFonts w:eastAsia="Arial Unicode MS" w:cs="Arial Unicode MS"/>
        </w:rPr>
        <w:t>……………</w:t>
      </w:r>
      <w:r w:rsidR="00FE60AC">
        <w:rPr>
          <w:rFonts w:eastAsia="Arial Unicode MS" w:cs="Arial Unicode MS"/>
        </w:rPr>
        <w:t>………………………………..7</w:t>
      </w:r>
    </w:p>
    <w:p w:rsidR="00CE043B" w:rsidRDefault="00DC1CFE" w:rsidP="00891507">
      <w:pPr>
        <w:pStyle w:val="TOC1"/>
        <w:numPr>
          <w:ilvl w:val="0"/>
          <w:numId w:val="4"/>
        </w:numPr>
      </w:pPr>
      <w:r>
        <w:rPr>
          <w:rFonts w:eastAsia="Arial Unicode MS" w:cs="Arial Unicode MS"/>
        </w:rPr>
        <w:t>Strategic HRM</w:t>
      </w:r>
      <w:r>
        <w:rPr>
          <w:rFonts w:eastAsia="Arial Unicode MS" w:cs="Arial Unicode MS"/>
        </w:rPr>
        <w:tab/>
      </w:r>
      <w:r w:rsidR="00FE60AC">
        <w:t>8</w:t>
      </w:r>
    </w:p>
    <w:p w:rsidR="00CE043B" w:rsidRDefault="00C73A1E" w:rsidP="00C73A1E">
      <w:pPr>
        <w:pStyle w:val="TOC2"/>
        <w:spacing w:line="360" w:lineRule="auto"/>
        <w:ind w:firstLineChars="200" w:firstLine="440"/>
      </w:pPr>
      <w:r>
        <w:rPr>
          <w:rFonts w:eastAsia="Arial Unicode MS" w:cs="Arial Unicode MS"/>
        </w:rPr>
        <w:t>5.1 Ulrich and Brockbank Model………………………………………………………………………………</w:t>
      </w:r>
      <w:r w:rsidR="00FE60AC">
        <w:t>8</w:t>
      </w:r>
    </w:p>
    <w:p w:rsidR="00CE043B" w:rsidRDefault="00DC1CFE" w:rsidP="00C73A1E">
      <w:pPr>
        <w:pStyle w:val="TOC2"/>
        <w:spacing w:line="360" w:lineRule="auto"/>
        <w:ind w:firstLineChars="200" w:firstLine="440"/>
      </w:pPr>
      <w:r>
        <w:rPr>
          <w:rFonts w:eastAsia="Arial Unicode MS" w:cs="Arial Unicode MS"/>
        </w:rPr>
        <w:t>5.2 Harvard Model</w:t>
      </w:r>
      <w:r>
        <w:rPr>
          <w:rFonts w:eastAsia="Arial Unicode MS" w:cs="Arial Unicode MS"/>
        </w:rPr>
        <w:tab/>
      </w:r>
      <w:r w:rsidR="00FE60AC">
        <w:t>10</w:t>
      </w:r>
    </w:p>
    <w:p w:rsidR="00CE043B" w:rsidRDefault="00DC1CFE" w:rsidP="00891507">
      <w:pPr>
        <w:pStyle w:val="TOC1"/>
        <w:numPr>
          <w:ilvl w:val="0"/>
          <w:numId w:val="5"/>
        </w:numPr>
      </w:pPr>
      <w:r>
        <w:rPr>
          <w:rFonts w:eastAsia="Arial Unicode MS" w:cs="Arial Unicode MS"/>
        </w:rPr>
        <w:t>Meeting Employees Needs through Performance Feedback</w:t>
      </w:r>
      <w:r>
        <w:rPr>
          <w:rFonts w:eastAsia="Arial Unicode MS" w:cs="Arial Unicode MS"/>
        </w:rPr>
        <w:tab/>
      </w:r>
      <w:r w:rsidR="00FE60AC">
        <w:t>11</w:t>
      </w:r>
    </w:p>
    <w:p w:rsidR="00CE043B" w:rsidRDefault="00DC1CFE" w:rsidP="00C73A1E">
      <w:pPr>
        <w:pStyle w:val="TOC2"/>
        <w:spacing w:line="360" w:lineRule="auto"/>
        <w:ind w:firstLineChars="200" w:firstLine="440"/>
      </w:pPr>
      <w:r>
        <w:rPr>
          <w:rFonts w:eastAsia="Arial Unicode MS" w:cs="Arial Unicode MS"/>
        </w:rPr>
        <w:t>Maslow’s Hierarchy of Needs Theory</w:t>
      </w:r>
      <w:r w:rsidR="00C73A1E">
        <w:rPr>
          <w:rFonts w:eastAsia="Arial Unicode MS" w:cs="Arial Unicode MS"/>
        </w:rPr>
        <w:t>……………………………………………………………………….</w:t>
      </w:r>
      <w:r w:rsidR="00FE60AC">
        <w:t>11</w:t>
      </w:r>
    </w:p>
    <w:p w:rsidR="00CE043B" w:rsidRDefault="00DC1CFE" w:rsidP="00891507">
      <w:pPr>
        <w:pStyle w:val="TOC1"/>
        <w:numPr>
          <w:ilvl w:val="0"/>
          <w:numId w:val="6"/>
        </w:numPr>
      </w:pPr>
      <w:r>
        <w:rPr>
          <w:rFonts w:eastAsia="Arial Unicode MS" w:cs="Arial Unicode MS"/>
        </w:rPr>
        <w:t>Impact on Employee and Organization</w:t>
      </w:r>
      <w:r>
        <w:rPr>
          <w:rFonts w:eastAsia="Arial Unicode MS" w:cs="Arial Unicode MS"/>
        </w:rPr>
        <w:tab/>
      </w:r>
      <w:r w:rsidR="00FE60AC">
        <w:t>12</w:t>
      </w:r>
    </w:p>
    <w:p w:rsidR="00CE043B" w:rsidRDefault="00DC1CFE" w:rsidP="00891507">
      <w:pPr>
        <w:pStyle w:val="TOC1"/>
        <w:numPr>
          <w:ilvl w:val="0"/>
          <w:numId w:val="7"/>
        </w:numPr>
      </w:pPr>
      <w:r>
        <w:rPr>
          <w:rFonts w:eastAsia="Arial Unicode MS" w:cs="Arial Unicode MS"/>
        </w:rPr>
        <w:t>Benefits of 360-Degrees Feedback as a Performance Appraisal Method</w:t>
      </w:r>
      <w:r>
        <w:rPr>
          <w:rFonts w:eastAsia="Arial Unicode MS" w:cs="Arial Unicode MS"/>
        </w:rPr>
        <w:tab/>
      </w:r>
      <w:r w:rsidR="00A23061">
        <w:rPr>
          <w:rFonts w:eastAsia="Arial Unicode MS" w:cs="Arial Unicode MS"/>
        </w:rPr>
        <w:t>1</w:t>
      </w:r>
      <w:r w:rsidR="00FE60AC">
        <w:t>2</w:t>
      </w:r>
    </w:p>
    <w:p w:rsidR="00CE043B" w:rsidRDefault="00DC1CFE" w:rsidP="00891507">
      <w:pPr>
        <w:pStyle w:val="TOC1"/>
        <w:numPr>
          <w:ilvl w:val="0"/>
          <w:numId w:val="8"/>
        </w:numPr>
      </w:pPr>
      <w:r>
        <w:rPr>
          <w:rFonts w:eastAsia="Arial Unicode MS" w:cs="Arial Unicode MS"/>
        </w:rPr>
        <w:t>Conclusion</w:t>
      </w:r>
      <w:r>
        <w:rPr>
          <w:rFonts w:eastAsia="Arial Unicode MS" w:cs="Arial Unicode MS"/>
        </w:rPr>
        <w:tab/>
      </w:r>
      <w:r w:rsidR="00FE60AC">
        <w:t>13</w:t>
      </w:r>
    </w:p>
    <w:p w:rsidR="00CE043B" w:rsidRDefault="00DC1CFE" w:rsidP="00891507">
      <w:pPr>
        <w:pStyle w:val="TOC1"/>
        <w:numPr>
          <w:ilvl w:val="0"/>
          <w:numId w:val="9"/>
        </w:numPr>
      </w:pPr>
      <w:r>
        <w:rPr>
          <w:rFonts w:eastAsia="Arial Unicode MS" w:cs="Arial Unicode MS"/>
        </w:rPr>
        <w:t>Recommendations</w:t>
      </w:r>
      <w:r>
        <w:rPr>
          <w:rFonts w:eastAsia="Arial Unicode MS" w:cs="Arial Unicode MS"/>
        </w:rPr>
        <w:tab/>
      </w:r>
      <w:r w:rsidR="00FE60AC">
        <w:t>14</w:t>
      </w:r>
    </w:p>
    <w:p w:rsidR="00CE043B" w:rsidRDefault="00DC1CFE" w:rsidP="00891507">
      <w:pPr>
        <w:pStyle w:val="TOC1"/>
        <w:numPr>
          <w:ilvl w:val="0"/>
          <w:numId w:val="10"/>
        </w:numPr>
      </w:pPr>
      <w:r>
        <w:rPr>
          <w:rFonts w:eastAsia="Arial Unicode MS" w:cs="Arial Unicode MS"/>
        </w:rPr>
        <w:t>Reference List</w:t>
      </w:r>
      <w:r>
        <w:rPr>
          <w:rFonts w:eastAsia="Arial Unicode MS" w:cs="Arial Unicode MS"/>
        </w:rPr>
        <w:tab/>
      </w:r>
      <w:r w:rsidR="00FE60AC">
        <w:t>15</w:t>
      </w:r>
    </w:p>
    <w:p w:rsidR="00CE043B" w:rsidRDefault="00DC1CF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end"/>
      </w:r>
    </w:p>
    <w:p w:rsidR="00CE043B" w:rsidRDefault="00DC1CFE">
      <w:pPr>
        <w:spacing w:line="480" w:lineRule="auto"/>
      </w:pPr>
      <w:r>
        <w:rPr>
          <w:rFonts w:ascii="Arial Unicode MS" w:hAnsi="Arial Unicode MS"/>
          <w:sz w:val="24"/>
          <w:szCs w:val="24"/>
        </w:rPr>
        <w:br w:type="page"/>
      </w:r>
    </w:p>
    <w:p w:rsidR="00CE043B" w:rsidRPr="00891507" w:rsidRDefault="00DC1CFE">
      <w:pPr>
        <w:spacing w:line="480" w:lineRule="auto"/>
        <w:jc w:val="center"/>
        <w:rPr>
          <w:rFonts w:ascii="Times New Roman" w:eastAsia="Times New Roman" w:hAnsi="Times New Roman" w:cs="Times New Roman"/>
        </w:rPr>
      </w:pPr>
      <w:r w:rsidRPr="00891507">
        <w:rPr>
          <w:rFonts w:ascii="Times New Roman" w:hAnsi="Times New Roman"/>
        </w:rPr>
        <w:lastRenderedPageBreak/>
        <w:t>List of Figures</w:t>
      </w:r>
    </w:p>
    <w:p w:rsidR="00CE043B" w:rsidRPr="00891507" w:rsidRDefault="00667BB7" w:rsidP="004A7C7A">
      <w:pPr>
        <w:spacing w:line="480" w:lineRule="auto"/>
        <w:rPr>
          <w:rFonts w:ascii="Times New Roman" w:hAnsi="Times New Roman"/>
        </w:rPr>
      </w:pPr>
      <w:r w:rsidRPr="00891507">
        <w:rPr>
          <w:rFonts w:ascii="Times New Roman" w:hAnsi="Times New Roman"/>
        </w:rPr>
        <w:t>Figure 1.</w:t>
      </w:r>
      <w:r w:rsidR="00DC1CFE" w:rsidRPr="00891507">
        <w:rPr>
          <w:rFonts w:ascii="Times New Roman" w:hAnsi="Times New Roman"/>
        </w:rPr>
        <w:t>The Performance</w:t>
      </w:r>
      <w:r w:rsidR="00995393" w:rsidRPr="00891507">
        <w:rPr>
          <w:rFonts w:ascii="Times New Roman" w:hAnsi="Times New Roman"/>
        </w:rPr>
        <w:t xml:space="preserve"> Management Cycle…………………………………</w:t>
      </w:r>
      <w:r w:rsidR="00C26295" w:rsidRPr="00891507">
        <w:rPr>
          <w:rFonts w:ascii="Times New Roman" w:hAnsi="Times New Roman"/>
        </w:rPr>
        <w:t>…..</w:t>
      </w:r>
      <w:r w:rsidR="00995393" w:rsidRPr="00891507">
        <w:rPr>
          <w:rFonts w:ascii="Times New Roman" w:hAnsi="Times New Roman"/>
        </w:rPr>
        <w:t>…7</w:t>
      </w:r>
    </w:p>
    <w:p w:rsidR="00C26295" w:rsidRPr="00891507" w:rsidRDefault="00C26295" w:rsidP="004A7C7A">
      <w:pPr>
        <w:spacing w:line="480" w:lineRule="auto"/>
        <w:rPr>
          <w:rFonts w:ascii="Times New Roman" w:hAnsi="Times New Roman"/>
        </w:rPr>
      </w:pPr>
      <w:r w:rsidRPr="00891507">
        <w:rPr>
          <w:rFonts w:ascii="Times New Roman" w:hAnsi="Times New Roman"/>
        </w:rPr>
        <w:t>Figure 2. Ulrich and Brockbank Model………………………………………………</w:t>
      </w:r>
      <w:r w:rsidR="000C0537">
        <w:rPr>
          <w:rFonts w:ascii="Times New Roman" w:hAnsi="Times New Roman"/>
        </w:rPr>
        <w:t>.8</w:t>
      </w:r>
    </w:p>
    <w:p w:rsidR="009F6806" w:rsidRPr="00891507" w:rsidRDefault="00C26295" w:rsidP="009F6806">
      <w:pPr>
        <w:spacing w:line="480" w:lineRule="auto"/>
        <w:rPr>
          <w:rFonts w:ascii="Times New Roman" w:hAnsi="Times New Roman"/>
        </w:rPr>
      </w:pPr>
      <w:r w:rsidRPr="00891507">
        <w:rPr>
          <w:rFonts w:ascii="Times New Roman" w:hAnsi="Times New Roman"/>
        </w:rPr>
        <w:t>Figure 3.</w:t>
      </w:r>
      <w:r w:rsidR="009F6806" w:rsidRPr="00891507">
        <w:rPr>
          <w:rFonts w:ascii="Times New Roman" w:hAnsi="Times New Roman"/>
        </w:rPr>
        <w:t xml:space="preserve"> Harvard Model of HRM…………………</w:t>
      </w:r>
      <w:bookmarkStart w:id="0" w:name="OLE_LINK1"/>
      <w:bookmarkStart w:id="1" w:name="OLE_LINK2"/>
      <w:r w:rsidR="009F6806" w:rsidRPr="00891507">
        <w:rPr>
          <w:rFonts w:ascii="Times New Roman" w:hAnsi="Times New Roman"/>
        </w:rPr>
        <w:t>…………………………………1</w:t>
      </w:r>
      <w:bookmarkEnd w:id="0"/>
      <w:bookmarkEnd w:id="1"/>
      <w:r w:rsidR="000C0537">
        <w:rPr>
          <w:rFonts w:ascii="Times New Roman" w:hAnsi="Times New Roman"/>
        </w:rPr>
        <w:t>0</w:t>
      </w:r>
    </w:p>
    <w:p w:rsidR="006C2E58" w:rsidRPr="00891507" w:rsidRDefault="006C2E58" w:rsidP="006C2E58">
      <w:pPr>
        <w:spacing w:line="480" w:lineRule="auto"/>
        <w:rPr>
          <w:rFonts w:ascii="Times New Roman" w:eastAsia="Times New Roman" w:hAnsi="Times New Roman" w:cs="Times New Roman"/>
        </w:rPr>
      </w:pPr>
      <w:r w:rsidRPr="00891507">
        <w:rPr>
          <w:rFonts w:ascii="Times New Roman" w:hAnsi="Times New Roman"/>
        </w:rPr>
        <w:t>Figure 4: Maslow’s Hierarchy of Needs Model………………………………………1</w:t>
      </w:r>
      <w:r w:rsidR="00260851">
        <w:rPr>
          <w:rFonts w:ascii="Times New Roman" w:hAnsi="Times New Roman"/>
        </w:rPr>
        <w:t>1</w:t>
      </w:r>
    </w:p>
    <w:p w:rsidR="004A7C7A" w:rsidRPr="006C2E58"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Default="004A7C7A" w:rsidP="004A7C7A"/>
    <w:p w:rsidR="004A7C7A" w:rsidRPr="004A7C7A" w:rsidRDefault="004A7C7A" w:rsidP="004A7C7A"/>
    <w:p w:rsidR="004A7C7A" w:rsidRDefault="004A7C7A" w:rsidP="004A7C7A">
      <w:pPr>
        <w:pStyle w:val="a6"/>
        <w:spacing w:line="480" w:lineRule="auto"/>
        <w:jc w:val="center"/>
        <w:rPr>
          <w:rFonts w:ascii="Times New Roman" w:eastAsia="Times New Roman" w:hAnsi="Times New Roman" w:cs="Times New Roman"/>
          <w:color w:val="000000"/>
          <w:sz w:val="24"/>
          <w:szCs w:val="24"/>
          <w:u w:color="000000"/>
        </w:rPr>
      </w:pPr>
      <w:r>
        <w:rPr>
          <w:rFonts w:ascii="Times New Roman" w:hAnsi="Times New Roman"/>
          <w:color w:val="000000"/>
          <w:sz w:val="24"/>
          <w:szCs w:val="24"/>
          <w:u w:color="000000"/>
        </w:rPr>
        <w:t>Executive Summary</w:t>
      </w:r>
    </w:p>
    <w:p w:rsidR="00CE043B" w:rsidRPr="0043304E" w:rsidRDefault="00DC1CFE" w:rsidP="00C463E2">
      <w:pPr>
        <w:spacing w:line="360" w:lineRule="auto"/>
        <w:rPr>
          <w:rFonts w:ascii="Times New Roman" w:eastAsia="Times New Roman" w:hAnsi="Times New Roman" w:cs="Times New Roman"/>
        </w:rPr>
      </w:pPr>
      <w:r w:rsidRPr="0043304E">
        <w:rPr>
          <w:rFonts w:ascii="Times New Roman" w:hAnsi="Times New Roman"/>
        </w:rPr>
        <w:t xml:space="preserve">This </w:t>
      </w:r>
      <w:r w:rsidR="00B37207" w:rsidRPr="0043304E">
        <w:rPr>
          <w:rFonts w:ascii="Times New Roman" w:hAnsi="Times New Roman"/>
        </w:rPr>
        <w:t>report</w:t>
      </w:r>
      <w:r w:rsidRPr="0043304E">
        <w:rPr>
          <w:rFonts w:ascii="Times New Roman" w:hAnsi="Times New Roman"/>
        </w:rPr>
        <w:t xml:space="preserve"> aims to assess the implementation of 360-degree feedback as a performa</w:t>
      </w:r>
      <w:r w:rsidR="00E45CDE" w:rsidRPr="0043304E">
        <w:rPr>
          <w:rFonts w:ascii="Times New Roman" w:hAnsi="Times New Roman"/>
        </w:rPr>
        <w:t>n</w:t>
      </w:r>
      <w:r w:rsidRPr="0043304E">
        <w:rPr>
          <w:rFonts w:ascii="Times New Roman" w:hAnsi="Times New Roman"/>
        </w:rPr>
        <w:t xml:space="preserve">ce appraisal method to improve performance management at Tesco. The </w:t>
      </w:r>
      <w:r w:rsidR="00D4139B" w:rsidRPr="0043304E">
        <w:rPr>
          <w:rFonts w:ascii="Times New Roman" w:hAnsi="Times New Roman"/>
        </w:rPr>
        <w:t>report</w:t>
      </w:r>
      <w:r w:rsidRPr="0043304E">
        <w:rPr>
          <w:rFonts w:ascii="Times New Roman" w:hAnsi="Times New Roman"/>
        </w:rPr>
        <w:t xml:space="preserve"> analyzed the performance management issue in Tesco and the associated impacts of 360-degree feedback on employees and organization using the existing literature. The significant finding of this analysis is that Tesco has a 360-degree feedback process in place, but the system focuses more on development plans with little or no attention to performance appraisal methods that boost employee performance which determines the overall organizational performance. The </w:t>
      </w:r>
      <w:r w:rsidR="00D4139B" w:rsidRPr="0043304E">
        <w:rPr>
          <w:rFonts w:ascii="Times New Roman" w:hAnsi="Times New Roman"/>
        </w:rPr>
        <w:t>report</w:t>
      </w:r>
      <w:r w:rsidRPr="0043304E">
        <w:rPr>
          <w:rFonts w:ascii="Times New Roman" w:hAnsi="Times New Roman"/>
        </w:rPr>
        <w:t xml:space="preserve"> concluded that Tesco's 360-degree feedback system positively impacts managerial development, but the framework does not support the employees’ performance by appraising what they have done in achieving the objectives. Hence, it is recommended that Tesco should embrace 360-degree feedback to motivate its employees to perform better. </w:t>
      </w:r>
    </w:p>
    <w:p w:rsidR="00CE043B" w:rsidRDefault="00DC1CFE">
      <w:pPr>
        <w:spacing w:line="480" w:lineRule="auto"/>
      </w:pPr>
      <w:r>
        <w:rPr>
          <w:rFonts w:ascii="Arial Unicode MS" w:hAnsi="Arial Unicode MS"/>
          <w:sz w:val="24"/>
          <w:szCs w:val="24"/>
        </w:rPr>
        <w:br w:type="page"/>
      </w:r>
    </w:p>
    <w:p w:rsidR="00CE043B" w:rsidRDefault="00DC1CFE">
      <w:pPr>
        <w:pStyle w:val="a6"/>
        <w:numPr>
          <w:ilvl w:val="0"/>
          <w:numId w:val="12"/>
        </w:numPr>
        <w:spacing w:line="480" w:lineRule="auto"/>
        <w:jc w:val="center"/>
        <w:rPr>
          <w:rFonts w:ascii="Times New Roman" w:eastAsia="Times New Roman" w:hAnsi="Times New Roman" w:cs="Times New Roman"/>
          <w:b/>
          <w:bCs/>
          <w:color w:val="000000"/>
          <w:sz w:val="24"/>
          <w:szCs w:val="24"/>
        </w:rPr>
      </w:pPr>
      <w:bookmarkStart w:id="2" w:name="_Toc1"/>
      <w:r>
        <w:rPr>
          <w:rFonts w:ascii="Times New Roman" w:hAnsi="Times New Roman"/>
          <w:b/>
          <w:bCs/>
          <w:color w:val="000000"/>
          <w:sz w:val="24"/>
          <w:szCs w:val="24"/>
          <w:u w:color="000000"/>
          <w:lang w:val="fr-FR"/>
        </w:rPr>
        <w:lastRenderedPageBreak/>
        <w:t>Introduction</w:t>
      </w:r>
      <w:bookmarkEnd w:id="2"/>
    </w:p>
    <w:p w:rsidR="00CE043B" w:rsidRPr="004F1B14" w:rsidRDefault="00E54BCF" w:rsidP="00F9023B">
      <w:pPr>
        <w:spacing w:after="0" w:line="360" w:lineRule="auto"/>
        <w:ind w:firstLine="720"/>
        <w:rPr>
          <w:rFonts w:ascii="Times New Roman" w:eastAsia="Times New Roman" w:hAnsi="Times New Roman" w:cs="Times New Roman"/>
        </w:rPr>
      </w:pPr>
      <w:r w:rsidRPr="004F1B14">
        <w:rPr>
          <w:rFonts w:ascii="Times New Roman" w:hAnsi="Times New Roman" w:hint="eastAsia"/>
        </w:rPr>
        <w:t>Today's organizations are facing numerous challenges</w:t>
      </w:r>
      <w:r w:rsidR="004F1B14" w:rsidRPr="004F1B14">
        <w:rPr>
          <w:rFonts w:ascii="Times New Roman" w:hAnsi="Times New Roman"/>
        </w:rPr>
        <w:t xml:space="preserve">, </w:t>
      </w:r>
      <w:r w:rsidRPr="004F1B14">
        <w:rPr>
          <w:rFonts w:ascii="Times New Roman" w:hAnsi="Times New Roman" w:hint="eastAsia"/>
        </w:rPr>
        <w:t>retaining employees and maximizing performance has become a challenge as companies are now handling employees from different countries with different cultural backgrounds (Douglas et al., 2021). As a res</w:t>
      </w:r>
      <w:r w:rsidRPr="004F1B14">
        <w:rPr>
          <w:rFonts w:ascii="Times New Roman" w:hAnsi="Times New Roman"/>
        </w:rPr>
        <w:t>ult, performance management becomes necessary for a long-term sustainable competitive advantage. Managers and supervisors work together to manage their employees' performance since the main focus of performance management is on organizational performance, employees, and organizational areas that lead to employee productivity (Berry, 2017). So, the ultimate purpose of performance management is to improve employee performance, hence organizational performance (Bayraktar and Şencan, 2017). This report will discuss performance management in Tesco, its weaknesses regarding performance management, and the impacts it has on employees and the organization in general. Since Tesco is trying to regain its market share in the U.K. retail market to outdo its competitors such as Sainsbury (Ghrmay, 2017), the company needs to address the issue of poor management of employee performance.</w:t>
      </w:r>
    </w:p>
    <w:p w:rsidR="00CE043B" w:rsidRPr="00DD57E5" w:rsidRDefault="00DC1CFE" w:rsidP="00DD57E5">
      <w:pPr>
        <w:pStyle w:val="a6"/>
        <w:numPr>
          <w:ilvl w:val="0"/>
          <w:numId w:val="12"/>
        </w:numPr>
        <w:spacing w:line="480" w:lineRule="auto"/>
        <w:jc w:val="center"/>
        <w:rPr>
          <w:rFonts w:ascii="Times New Roman" w:hAnsi="Times New Roman"/>
          <w:b/>
          <w:bCs/>
          <w:color w:val="000000"/>
          <w:sz w:val="24"/>
          <w:szCs w:val="24"/>
          <w:u w:color="000000"/>
          <w:lang w:val="fr-FR"/>
        </w:rPr>
      </w:pPr>
      <w:bookmarkStart w:id="3" w:name="_Toc2"/>
      <w:r w:rsidRPr="00DD57E5">
        <w:rPr>
          <w:rFonts w:ascii="Times New Roman" w:hAnsi="Times New Roman"/>
          <w:b/>
          <w:bCs/>
          <w:color w:val="000000"/>
          <w:sz w:val="24"/>
          <w:szCs w:val="24"/>
          <w:u w:color="000000"/>
          <w:lang w:val="fr-FR"/>
        </w:rPr>
        <w:t>Organizational Overview</w:t>
      </w:r>
      <w:bookmarkEnd w:id="3"/>
    </w:p>
    <w:p w:rsidR="00CE043B" w:rsidRPr="0049204B" w:rsidRDefault="00DC1CFE" w:rsidP="002F3D3B">
      <w:pPr>
        <w:spacing w:line="360" w:lineRule="auto"/>
        <w:ind w:firstLine="720"/>
        <w:rPr>
          <w:rFonts w:ascii="Times New Roman" w:eastAsia="Times New Roman" w:hAnsi="Times New Roman" w:cs="Times New Roman"/>
        </w:rPr>
      </w:pPr>
      <w:r w:rsidRPr="0049204B">
        <w:rPr>
          <w:rFonts w:ascii="Times New Roman" w:hAnsi="Times New Roman"/>
        </w:rPr>
        <w:t xml:space="preserve">Tesco </w:t>
      </w:r>
      <w:r w:rsidR="00582370" w:rsidRPr="0049204B">
        <w:rPr>
          <w:rFonts w:ascii="Times New Roman" w:hAnsi="Times New Roman"/>
        </w:rPr>
        <w:t xml:space="preserve">is the third largest supermarket, with its headquarters in the UK (Ghrmay, 2017). Tesco sold </w:t>
      </w:r>
      <w:r w:rsidR="00B84673" w:rsidRPr="0049204B">
        <w:rPr>
          <w:rFonts w:ascii="Times New Roman" w:hAnsi="Times New Roman"/>
        </w:rPr>
        <w:t>many kinds of</w:t>
      </w:r>
      <w:r w:rsidR="00582370" w:rsidRPr="0049204B">
        <w:rPr>
          <w:rFonts w:ascii="Times New Roman" w:hAnsi="Times New Roman"/>
        </w:rPr>
        <w:t xml:space="preserve"> products</w:t>
      </w:r>
      <w:r w:rsidR="00B84673" w:rsidRPr="0049204B">
        <w:rPr>
          <w:rFonts w:ascii="Times New Roman" w:hAnsi="Times New Roman"/>
        </w:rPr>
        <w:t xml:space="preserve">, </w:t>
      </w:r>
      <w:r w:rsidR="00582370" w:rsidRPr="0049204B">
        <w:rPr>
          <w:rFonts w:ascii="Times New Roman" w:hAnsi="Times New Roman"/>
        </w:rPr>
        <w:t>such as fresh food, drinks, clothing, entertainment products, household appliances and consumer electronics (Bedford, 2022). By the 2000s, Tesco website serves more than twenty million customers per month (Tesco PLC, n.d.). As a leading multinational retailer with more than 345,000 employees, Tesco has been aiming to serve customers daily with health, affordability, and sustainability so that they can enjoy a better life quality and a simple living (Tesco PLC, n.d.). In 2022, Te</w:t>
      </w:r>
      <w:r w:rsidR="00431351" w:rsidRPr="0049204B">
        <w:rPr>
          <w:rFonts w:ascii="Times New Roman" w:hAnsi="Times New Roman"/>
        </w:rPr>
        <w:t>sco had about 354,744 employees</w:t>
      </w:r>
      <w:r w:rsidR="00582370" w:rsidRPr="0049204B">
        <w:rPr>
          <w:rFonts w:ascii="Times New Roman" w:hAnsi="Times New Roman"/>
        </w:rPr>
        <w:t>. Tesco has a human resources function referred to as the People team, which ensures living by the company's values and initiating great relationships with people across the business (Tesco PLC, n.d.). Tesco has an H.R. office with H.R. professionals and representatives from the Board of Directors who offer relevant H.R. information needed to improve performance</w:t>
      </w:r>
      <w:r w:rsidRPr="0049204B">
        <w:rPr>
          <w:rFonts w:ascii="Times New Roman" w:hAnsi="Times New Roman"/>
        </w:rPr>
        <w:t xml:space="preserve">.                                                   </w:t>
      </w:r>
    </w:p>
    <w:p w:rsidR="00CE043B" w:rsidRDefault="00DC1CFE">
      <w:pPr>
        <w:pStyle w:val="a6"/>
        <w:numPr>
          <w:ilvl w:val="0"/>
          <w:numId w:val="12"/>
        </w:numPr>
        <w:spacing w:line="480" w:lineRule="auto"/>
        <w:jc w:val="center"/>
        <w:rPr>
          <w:rFonts w:ascii="Times New Roman" w:eastAsia="Times New Roman" w:hAnsi="Times New Roman" w:cs="Times New Roman"/>
          <w:b/>
          <w:bCs/>
          <w:color w:val="000000"/>
          <w:sz w:val="24"/>
          <w:szCs w:val="24"/>
        </w:rPr>
      </w:pPr>
      <w:bookmarkStart w:id="4" w:name="_Toc3"/>
      <w:r>
        <w:rPr>
          <w:rFonts w:ascii="Times New Roman" w:hAnsi="Times New Roman"/>
          <w:b/>
          <w:bCs/>
          <w:color w:val="000000"/>
          <w:sz w:val="24"/>
          <w:szCs w:val="24"/>
          <w:u w:color="000000"/>
        </w:rPr>
        <w:t>HRM Priority Area: Performance management</w:t>
      </w:r>
      <w:bookmarkEnd w:id="4"/>
    </w:p>
    <w:p w:rsidR="00CE043B" w:rsidRPr="0049204B" w:rsidRDefault="00DC1CFE" w:rsidP="002F3D3B">
      <w:pPr>
        <w:spacing w:line="360" w:lineRule="auto"/>
        <w:ind w:firstLine="357"/>
        <w:rPr>
          <w:rFonts w:ascii="Times New Roman" w:eastAsia="Times New Roman" w:hAnsi="Times New Roman" w:cs="Times New Roman"/>
        </w:rPr>
      </w:pPr>
      <w:r w:rsidRPr="0049204B">
        <w:rPr>
          <w:rFonts w:ascii="Times New Roman" w:hAnsi="Times New Roman"/>
        </w:rPr>
        <w:t xml:space="preserve">Tesco PLC has its own ways of managing performance in different departments of the organization. Tesco has used the Steering Wheel Philosophy for more than 20 years to measure performance. Although Tesco boss Dave Lewis later launched a Big Six approach to replace the Steering Wheel in measuring performance, the latter has been the driving force for the company's success. The Steering Wheel had four quadrants divided into KPIs, including </w:t>
      </w:r>
      <w:r w:rsidRPr="0049204B">
        <w:rPr>
          <w:rFonts w:ascii="Times New Roman" w:hAnsi="Times New Roman"/>
        </w:rPr>
        <w:lastRenderedPageBreak/>
        <w:t>customers, people, operations, and finance (Quinn, 2022). For instance, if the key performance indicator is performance, then the organization has to try its best to maintain its position in the market. So, the board members of the organization will maximize their time reviewing the performance of the employees and then give the results to the top managers, who then deliver the results to the involved employees. In such a case, it would be easy and possible to set company standards that depend on key performance indicators to set the salaries of senior managers (</w:t>
      </w:r>
      <w:r w:rsidRPr="0049204B">
        <w:rPr>
          <w:rFonts w:ascii="Times New Roman" w:hAnsi="Times New Roman"/>
          <w:shd w:val="clear" w:color="auto" w:fill="FFFFFF"/>
        </w:rPr>
        <w:t xml:space="preserve">Dahlmann, Branicki, and Brammer, 2019). </w:t>
      </w:r>
      <w:r w:rsidRPr="0049204B">
        <w:rPr>
          <w:rFonts w:ascii="Times New Roman" w:hAnsi="Times New Roman"/>
        </w:rPr>
        <w:t xml:space="preserve">In addition, communicating the performance with all the internal (such as management, administrators, employees, and so on) and external (such as suppliers, investors, community groups, and government organizations) stakeholders in the organization can help the organization and employees navigate the future. The main reason why Tesco communicate with stakeholders about organizational and employee performance is to ensure that they understand what is beneficial to them and hence take their position in the current market (Tan and Olaore, 2021). As illustrated in figure 1 below, performance management is a four-cycle process that begins with planning where the company decides what to do and how to do it. The second process is acting, which involves performing the work required for plan implementation, followed by a monitoring process to check on what is being done and assess the progress. The last process is reviewing which involves considering what has been done and identify what more needs to be done as long as performance does not coincide with the plan (U.S. Office of Personnel Management, n.d.). According to Kandpal et al. (2018), there are many tools that organizational leaders can choose for performance evaluation and development. 360-degree feedback is one of the best approaches for monitoring, evaluating, and identifying areas of improvement in an employee’s performance. According to Siddiqui (2017), 360-degree feedback involves collecting and giving feedback on performance to an individual employee or a group based on their performance. Tesco has a wide knowledge of the importance of 360-degree feedback and has been utilizing it in a managerial position to enhance the development and improvement of its management skills. In all stages of improvement and development, feedback is needed to offer better performance. </w:t>
      </w:r>
    </w:p>
    <w:p w:rsidR="00CE043B" w:rsidRDefault="00DC1CFE">
      <w:pPr>
        <w:spacing w:line="480" w:lineRule="auto"/>
        <w:ind w:firstLine="360"/>
        <w:rPr>
          <w:rFonts w:ascii="Times New Roman" w:eastAsia="Times New Roman" w:hAnsi="Times New Roman" w:cs="Times New Roman"/>
          <w:sz w:val="24"/>
          <w:szCs w:val="24"/>
        </w:rPr>
      </w:pPr>
      <w:r>
        <w:rPr>
          <w:rFonts w:ascii="Times New Roman" w:hAnsi="Times New Roman"/>
          <w:sz w:val="24"/>
          <w:szCs w:val="24"/>
        </w:rPr>
        <w:t xml:space="preserve"> </w:t>
      </w:r>
    </w:p>
    <w:p w:rsidR="00CE043B" w:rsidRDefault="00DC1CFE">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076700" cy="3019425"/>
            <wp:effectExtent l="0" t="0" r="0" b="0"/>
            <wp:docPr id="1073741825" name="officeArt object" descr="Picture 2"/>
            <wp:cNvGraphicFramePr/>
            <a:graphic xmlns:a="http://schemas.openxmlformats.org/drawingml/2006/main">
              <a:graphicData uri="http://schemas.openxmlformats.org/drawingml/2006/picture">
                <pic:pic xmlns:pic="http://schemas.openxmlformats.org/drawingml/2006/picture">
                  <pic:nvPicPr>
                    <pic:cNvPr id="1073741825" name="Picture 2" descr="Picture 2"/>
                    <pic:cNvPicPr>
                      <a:picLocks noChangeAspect="1"/>
                    </pic:cNvPicPr>
                  </pic:nvPicPr>
                  <pic:blipFill>
                    <a:blip r:embed="rId8"/>
                    <a:stretch>
                      <a:fillRect/>
                    </a:stretch>
                  </pic:blipFill>
                  <pic:spPr>
                    <a:xfrm>
                      <a:off x="0" y="0"/>
                      <a:ext cx="4076700" cy="3019425"/>
                    </a:xfrm>
                    <a:prstGeom prst="rect">
                      <a:avLst/>
                    </a:prstGeom>
                    <a:ln w="12700" cap="flat">
                      <a:noFill/>
                      <a:miter lim="400000"/>
                    </a:ln>
                    <a:effectLst/>
                  </pic:spPr>
                </pic:pic>
              </a:graphicData>
            </a:graphic>
          </wp:inline>
        </w:drawing>
      </w:r>
    </w:p>
    <w:p w:rsidR="00CE043B" w:rsidRDefault="00667BB7">
      <w:pPr>
        <w:spacing w:line="480" w:lineRule="auto"/>
        <w:jc w:val="center"/>
        <w:rPr>
          <w:rFonts w:ascii="Times New Roman" w:eastAsia="Times New Roman" w:hAnsi="Times New Roman" w:cs="Times New Roman"/>
          <w:sz w:val="24"/>
          <w:szCs w:val="24"/>
        </w:rPr>
      </w:pPr>
      <w:r>
        <w:rPr>
          <w:rFonts w:ascii="Times New Roman" w:hAnsi="Times New Roman"/>
          <w:sz w:val="24"/>
          <w:szCs w:val="24"/>
          <w:lang w:val="fr-FR"/>
        </w:rPr>
        <w:t>Figure 1</w:t>
      </w:r>
      <w:r w:rsidR="00DC1CFE">
        <w:rPr>
          <w:rFonts w:ascii="Times New Roman" w:hAnsi="Times New Roman"/>
          <w:sz w:val="24"/>
          <w:szCs w:val="24"/>
          <w:lang w:val="fr-FR"/>
        </w:rPr>
        <w:t>: Performance Management Cycle</w:t>
      </w:r>
    </w:p>
    <w:p w:rsidR="00CE043B" w:rsidRPr="00B85ED8" w:rsidRDefault="00DC1CFE" w:rsidP="00B85ED8">
      <w:pPr>
        <w:pStyle w:val="a6"/>
        <w:numPr>
          <w:ilvl w:val="0"/>
          <w:numId w:val="12"/>
        </w:numPr>
        <w:spacing w:line="480" w:lineRule="auto"/>
        <w:jc w:val="center"/>
        <w:rPr>
          <w:rFonts w:ascii="Times New Roman" w:hAnsi="Times New Roman"/>
          <w:b/>
          <w:bCs/>
          <w:color w:val="000000"/>
          <w:sz w:val="24"/>
          <w:szCs w:val="24"/>
          <w:u w:color="000000"/>
        </w:rPr>
      </w:pPr>
      <w:r w:rsidRPr="00B85ED8">
        <w:rPr>
          <w:rFonts w:ascii="Times New Roman" w:hAnsi="Times New Roman"/>
          <w:b/>
          <w:bCs/>
          <w:color w:val="000000"/>
          <w:sz w:val="24"/>
          <w:szCs w:val="24"/>
          <w:u w:color="000000"/>
        </w:rPr>
        <w:t>Current Shortfalls at Tesco</w:t>
      </w:r>
    </w:p>
    <w:p w:rsidR="00CE043B" w:rsidRPr="00C41426" w:rsidRDefault="00DC1CFE" w:rsidP="00465B40">
      <w:pPr>
        <w:spacing w:line="360" w:lineRule="auto"/>
        <w:ind w:firstLine="720"/>
        <w:rPr>
          <w:rFonts w:ascii="Times New Roman" w:eastAsia="Times New Roman" w:hAnsi="Times New Roman" w:cs="Times New Roman"/>
        </w:rPr>
      </w:pPr>
      <w:r w:rsidRPr="00C41426">
        <w:rPr>
          <w:rFonts w:ascii="Times New Roman" w:hAnsi="Times New Roman"/>
        </w:rPr>
        <w:t xml:space="preserve">Tesco has been using a 360-degree feedback system for only developmental purposes and as a tool for organizational change. However, using 360-degree feedback for performance review is a gap that Tesco needs to consider. As a performance feedback process, the 360-degree feedback approach allows employees to receive feedback from their colleagues, management, subordinates, and other essential stakeholders in the organization (Meyer-Leive, 2022). After receiving the feedback, the employee goes through a self-assessment process by comparing the feedback with the required standards, with the aim to develop and improve their behaviors and processes. This will help in identifying areas that need further development, hence improving performance. </w:t>
      </w:r>
    </w:p>
    <w:p w:rsidR="00CE043B" w:rsidRPr="00C41426" w:rsidRDefault="00DC1CFE" w:rsidP="00465B40">
      <w:pPr>
        <w:spacing w:line="360" w:lineRule="auto"/>
        <w:ind w:firstLine="720"/>
        <w:rPr>
          <w:rFonts w:ascii="Times New Roman" w:eastAsia="Times New Roman" w:hAnsi="Times New Roman" w:cs="Times New Roman"/>
        </w:rPr>
      </w:pPr>
      <w:r w:rsidRPr="00C41426">
        <w:rPr>
          <w:rFonts w:ascii="Times New Roman" w:hAnsi="Times New Roman"/>
        </w:rPr>
        <w:t xml:space="preserve">Another shortfall is the use of an informal approach to improve employee performance. Tesco asks its employees to write things they believe to be good and those they believe they can do better (ETS, 2017). Consequently, the employees end up identifying areas they can do better. However, this is not an effective solution to performance improvement because motivated employees would want to work in an environment where they feel inspired and listened to by their management. So, 360-degree feedback is the most effective approach to knowing employees’ strengths and areas of improvement. </w:t>
      </w:r>
    </w:p>
    <w:p w:rsidR="00CE043B" w:rsidRDefault="00DC1CFE">
      <w:pPr>
        <w:pStyle w:val="a6"/>
        <w:numPr>
          <w:ilvl w:val="0"/>
          <w:numId w:val="12"/>
        </w:numPr>
        <w:spacing w:line="480" w:lineRule="auto"/>
        <w:jc w:val="center"/>
        <w:rPr>
          <w:rFonts w:ascii="Times New Roman" w:eastAsia="Times New Roman" w:hAnsi="Times New Roman" w:cs="Times New Roman"/>
          <w:b/>
          <w:bCs/>
          <w:color w:val="000000"/>
          <w:sz w:val="24"/>
          <w:szCs w:val="24"/>
        </w:rPr>
      </w:pPr>
      <w:bookmarkStart w:id="5" w:name="_Toc4"/>
      <w:r>
        <w:rPr>
          <w:rFonts w:ascii="Times New Roman" w:hAnsi="Times New Roman"/>
          <w:b/>
          <w:bCs/>
          <w:color w:val="000000"/>
          <w:sz w:val="24"/>
          <w:szCs w:val="24"/>
          <w:u w:color="000000"/>
          <w:lang w:val="de-DE"/>
        </w:rPr>
        <w:lastRenderedPageBreak/>
        <w:t>Strategic HRM</w:t>
      </w:r>
      <w:bookmarkEnd w:id="5"/>
    </w:p>
    <w:p w:rsidR="00CE043B" w:rsidRDefault="00DC1CFE">
      <w:pPr>
        <w:pStyle w:val="20"/>
        <w:spacing w:line="480" w:lineRule="auto"/>
        <w:rPr>
          <w:rFonts w:ascii="Times New Roman" w:eastAsia="Times New Roman" w:hAnsi="Times New Roman" w:cs="Times New Roman"/>
          <w:b/>
          <w:bCs/>
          <w:color w:val="000000"/>
          <w:sz w:val="24"/>
          <w:szCs w:val="24"/>
          <w:u w:color="000000"/>
        </w:rPr>
      </w:pPr>
      <w:bookmarkStart w:id="6" w:name="_Toc5"/>
      <w:r>
        <w:rPr>
          <w:rFonts w:ascii="Times New Roman" w:hAnsi="Times New Roman"/>
          <w:color w:val="000000"/>
          <w:sz w:val="24"/>
          <w:szCs w:val="24"/>
          <w:u w:color="000000"/>
        </w:rPr>
        <w:t xml:space="preserve"> </w:t>
      </w:r>
      <w:r>
        <w:rPr>
          <w:rFonts w:ascii="Times New Roman" w:hAnsi="Times New Roman"/>
          <w:b/>
          <w:bCs/>
          <w:color w:val="000000"/>
          <w:sz w:val="24"/>
          <w:szCs w:val="24"/>
          <w:u w:color="000000"/>
        </w:rPr>
        <w:t xml:space="preserve">5.1 Ulrich and Brockbank Model </w:t>
      </w:r>
      <w:bookmarkEnd w:id="6"/>
    </w:p>
    <w:p w:rsidR="00CE043B" w:rsidRPr="007F5782" w:rsidRDefault="00DC1CFE" w:rsidP="00465B40">
      <w:pPr>
        <w:spacing w:line="360" w:lineRule="auto"/>
        <w:ind w:firstLine="357"/>
        <w:rPr>
          <w:rFonts w:ascii="Times New Roman" w:eastAsia="Times New Roman" w:hAnsi="Times New Roman" w:cs="Times New Roman"/>
        </w:rPr>
      </w:pPr>
      <w:r w:rsidRPr="007F5782">
        <w:rPr>
          <w:rFonts w:ascii="Times New Roman" w:hAnsi="Times New Roman"/>
        </w:rPr>
        <w:t xml:space="preserve">Ulrich and Brckbank model is a mode by helping organizations organize roles and responsibilities across all the departments. Ulrich’s and Brockbank model states that HR functions include being a change agent, employee champion, strategic partner, and administrative expert. An administrative expert is involved in HR processes such as recruiting and hiring, an employee champion focuses on people at the operational levels, a change agent facilitates departmental change to maintain the company’s competitiveness, and a strategic partner adjusts HR practices and strategies to fit business strategies (Ngo, 2011). </w:t>
      </w:r>
    </w:p>
    <w:p w:rsidR="00CE043B" w:rsidRDefault="00DC1CFE">
      <w:pPr>
        <w:spacing w:line="480" w:lineRule="auto"/>
        <w:ind w:firstLine="36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72850" cy="4124901"/>
            <wp:effectExtent l="0" t="0" r="0" b="0"/>
            <wp:docPr id="1073741826" name="officeArt object" descr="Picture 9"/>
            <wp:cNvGraphicFramePr/>
            <a:graphic xmlns:a="http://schemas.openxmlformats.org/drawingml/2006/main">
              <a:graphicData uri="http://schemas.openxmlformats.org/drawingml/2006/picture">
                <pic:pic xmlns:pic="http://schemas.openxmlformats.org/drawingml/2006/picture">
                  <pic:nvPicPr>
                    <pic:cNvPr id="1073741826" name="Picture 9" descr="Picture 9"/>
                    <pic:cNvPicPr>
                      <a:picLocks noChangeAspect="1"/>
                    </pic:cNvPicPr>
                  </pic:nvPicPr>
                  <pic:blipFill>
                    <a:blip r:embed="rId9"/>
                    <a:stretch>
                      <a:fillRect/>
                    </a:stretch>
                  </pic:blipFill>
                  <pic:spPr>
                    <a:xfrm>
                      <a:off x="0" y="0"/>
                      <a:ext cx="5372850" cy="4124901"/>
                    </a:xfrm>
                    <a:prstGeom prst="rect">
                      <a:avLst/>
                    </a:prstGeom>
                    <a:ln w="12700" cap="flat">
                      <a:noFill/>
                      <a:miter lim="400000"/>
                    </a:ln>
                    <a:effectLst/>
                  </pic:spPr>
                </pic:pic>
              </a:graphicData>
            </a:graphic>
          </wp:inline>
        </w:drawing>
      </w:r>
    </w:p>
    <w:p w:rsidR="00CE043B" w:rsidRDefault="00DC1CFE" w:rsidP="00465B40">
      <w:pPr>
        <w:spacing w:line="360" w:lineRule="auto"/>
        <w:ind w:firstLine="357"/>
        <w:rPr>
          <w:rFonts w:ascii="Times New Roman" w:eastAsia="Times New Roman" w:hAnsi="Times New Roman" w:cs="Times New Roman"/>
          <w:sz w:val="24"/>
          <w:szCs w:val="24"/>
        </w:rPr>
      </w:pPr>
      <w:r>
        <w:rPr>
          <w:rFonts w:ascii="Times New Roman" w:hAnsi="Times New Roman"/>
          <w:sz w:val="24"/>
          <w:szCs w:val="24"/>
        </w:rPr>
        <w:t xml:space="preserve">Figure </w:t>
      </w:r>
      <w:r w:rsidR="00C26295">
        <w:rPr>
          <w:rFonts w:ascii="Times New Roman" w:hAnsi="Times New Roman"/>
          <w:sz w:val="24"/>
          <w:szCs w:val="24"/>
        </w:rPr>
        <w:t>2</w:t>
      </w:r>
      <w:r>
        <w:rPr>
          <w:rFonts w:ascii="Times New Roman" w:hAnsi="Times New Roman"/>
          <w:sz w:val="24"/>
          <w:szCs w:val="24"/>
        </w:rPr>
        <w:t>: Ulrich and Brockbank Model</w:t>
      </w:r>
    </w:p>
    <w:p w:rsidR="00CE043B" w:rsidRDefault="00DC1CFE" w:rsidP="00465B40">
      <w:pPr>
        <w:spacing w:line="360" w:lineRule="auto"/>
        <w:ind w:firstLine="357"/>
        <w:rPr>
          <w:rFonts w:ascii="Times New Roman" w:eastAsia="Times New Roman" w:hAnsi="Times New Roman" w:cs="Times New Roman"/>
          <w:sz w:val="24"/>
          <w:szCs w:val="24"/>
        </w:rPr>
      </w:pPr>
      <w:r>
        <w:rPr>
          <w:rFonts w:ascii="Times New Roman" w:hAnsi="Times New Roman"/>
          <w:sz w:val="24"/>
          <w:szCs w:val="24"/>
          <w:lang w:val="nl-NL"/>
        </w:rPr>
        <w:t>Source: (O'Donoghue, 2021)</w:t>
      </w:r>
    </w:p>
    <w:p w:rsidR="00C64C2C" w:rsidRPr="00F72F26" w:rsidRDefault="00DC1CFE" w:rsidP="00465B40">
      <w:pPr>
        <w:spacing w:line="360" w:lineRule="auto"/>
        <w:ind w:firstLine="357"/>
        <w:rPr>
          <w:rFonts w:ascii="Times New Roman" w:hAnsi="Times New Roman"/>
        </w:rPr>
      </w:pPr>
      <w:r w:rsidRPr="00F72F26">
        <w:rPr>
          <w:rFonts w:ascii="Times New Roman" w:hAnsi="Times New Roman"/>
        </w:rPr>
        <w:t>In our case scenario, the current shortfall in Tesco is on employee performance feedback, which according to the Ulrich and Brockbank model should be addressed by the employee champion. As stated by Bruyn &amp; Roodt (2009), the effectiveness of the Ulrich and Brockbank model can be measured not by inputs but by results. Therefore, the effectiveness of the mo</w:t>
      </w:r>
      <w:r w:rsidR="007A241B" w:rsidRPr="00F72F26">
        <w:rPr>
          <w:rFonts w:ascii="Times New Roman" w:hAnsi="Times New Roman"/>
        </w:rPr>
        <w:t>del in Tesco can be measured by</w:t>
      </w:r>
      <w:r w:rsidRPr="00F72F26">
        <w:rPr>
          <w:rFonts w:ascii="Times New Roman" w:hAnsi="Times New Roman"/>
        </w:rPr>
        <w:t xml:space="preserve"> employee performance, which is enhanced by performance </w:t>
      </w:r>
      <w:r w:rsidRPr="00F72F26">
        <w:rPr>
          <w:rFonts w:ascii="Times New Roman" w:hAnsi="Times New Roman"/>
        </w:rPr>
        <w:lastRenderedPageBreak/>
        <w:t>feedback. As an employee champion, HR will develop programs and processes that will meet the personal needs of the employees, have time to listen and respond to the employees, and maintain employee morale. Consequently, there will be an increase in employee performance to meet the company’</w:t>
      </w:r>
      <w:r w:rsidRPr="00F72F26">
        <w:rPr>
          <w:rFonts w:ascii="Times New Roman" w:hAnsi="Times New Roman"/>
          <w:lang w:val="it-IT"/>
        </w:rPr>
        <w:t>s target. For instance, in 2022, Tesco</w:t>
      </w:r>
      <w:r w:rsidRPr="00F72F26">
        <w:rPr>
          <w:rFonts w:ascii="Times New Roman" w:hAnsi="Times New Roman"/>
        </w:rPr>
        <w:t>’s key performance indicators of “Great place to work” (where colleagues recommend Tesco as the best place to work) decreased to 80% from 82% in 2021, while the “Great place to shop” measure (colleagues recommend Tesco as the best place to shop) reduced from 44 points in 2021 to 41 points in 2022 (Tesco PLC, 2022). Implementing the employee champion concept from Ulrich and Brockbank’s model in Tesco would improve employee morale through the response they get from their HR managers, thus recommending the company to others as the best place to work and shop. Therefore, applying Ulrich and Brockbank model in Tesco PLC, the HR roles would be as indicated in the table 1 below.</w:t>
      </w:r>
    </w:p>
    <w:tbl>
      <w:tblPr>
        <w:tblStyle w:val="TableNormal"/>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508"/>
        <w:gridCol w:w="4508"/>
      </w:tblGrid>
      <w:tr w:rsidR="00CE043B" w:rsidRPr="00F72F26">
        <w:trPr>
          <w:trHeight w:val="890"/>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043B" w:rsidRPr="00F72F26" w:rsidRDefault="00DC1CFE" w:rsidP="00465B40">
            <w:pPr>
              <w:spacing w:line="360" w:lineRule="auto"/>
            </w:pPr>
            <w:r w:rsidRPr="00F72F26">
              <w:rPr>
                <w:rFonts w:ascii="Times New Roman" w:hAnsi="Times New Roman"/>
              </w:rPr>
              <w:t>Tesco’s HR Roles based on Ulrich and Brockbank Model</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043B" w:rsidRPr="00F72F26" w:rsidRDefault="00DC1CFE" w:rsidP="00465B40">
            <w:pPr>
              <w:spacing w:line="360" w:lineRule="auto"/>
            </w:pPr>
            <w:r w:rsidRPr="00F72F26">
              <w:rPr>
                <w:rFonts w:ascii="Times New Roman" w:hAnsi="Times New Roman"/>
              </w:rPr>
              <w:t>Description</w:t>
            </w:r>
          </w:p>
        </w:tc>
      </w:tr>
      <w:tr w:rsidR="00CE043B" w:rsidRPr="00F72F26" w:rsidTr="007A241B">
        <w:trPr>
          <w:trHeight w:val="2320"/>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043B" w:rsidRPr="00F72F26" w:rsidRDefault="00DC1CFE" w:rsidP="00465B40">
            <w:pPr>
              <w:spacing w:line="360" w:lineRule="auto"/>
            </w:pPr>
            <w:r w:rsidRPr="00F72F26">
              <w:rPr>
                <w:rFonts w:ascii="Times New Roman" w:hAnsi="Times New Roman"/>
              </w:rPr>
              <w:t>Strategic Partner</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043B" w:rsidRPr="00F72F26" w:rsidRDefault="00DC1CFE" w:rsidP="00465B40">
            <w:pPr>
              <w:spacing w:line="360" w:lineRule="auto"/>
              <w:rPr>
                <w:rFonts w:ascii="Times New Roman" w:eastAsia="Times New Roman" w:hAnsi="Times New Roman" w:cs="Times New Roman"/>
              </w:rPr>
            </w:pPr>
            <w:r w:rsidRPr="00F72F26">
              <w:rPr>
                <w:rFonts w:ascii="Times New Roman" w:hAnsi="Times New Roman"/>
              </w:rPr>
              <w:t>As a strategic partner, HR will help Tesco accomplish its business goals.</w:t>
            </w:r>
          </w:p>
          <w:p w:rsidR="00CE043B" w:rsidRPr="00F72F26" w:rsidRDefault="00DC1CFE" w:rsidP="00465B40">
            <w:pPr>
              <w:spacing w:line="360" w:lineRule="auto"/>
            </w:pPr>
            <w:r w:rsidRPr="00F72F26">
              <w:rPr>
                <w:rFonts w:ascii="Times New Roman" w:hAnsi="Times New Roman"/>
              </w:rPr>
              <w:t xml:space="preserve">Also, HR professionals will be active participants in business planning. </w:t>
            </w:r>
          </w:p>
        </w:tc>
      </w:tr>
      <w:tr w:rsidR="00CE043B" w:rsidRPr="00F72F26" w:rsidTr="00C64C2C">
        <w:trPr>
          <w:trHeight w:val="1456"/>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043B" w:rsidRPr="00F72F26" w:rsidRDefault="00DC1CFE" w:rsidP="00465B40">
            <w:pPr>
              <w:spacing w:line="360" w:lineRule="auto"/>
            </w:pPr>
            <w:r w:rsidRPr="00F72F26">
              <w:rPr>
                <w:rFonts w:ascii="Times New Roman" w:hAnsi="Times New Roman"/>
              </w:rPr>
              <w:t>Change Agent</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043B" w:rsidRPr="00F72F26" w:rsidRDefault="00DC1CFE" w:rsidP="00465B40">
            <w:pPr>
              <w:spacing w:line="360" w:lineRule="auto"/>
            </w:pPr>
            <w:r w:rsidRPr="00F72F26">
              <w:rPr>
                <w:rFonts w:ascii="Times New Roman" w:hAnsi="Times New Roman"/>
              </w:rPr>
              <w:t>Tesco’s HR change agents</w:t>
            </w:r>
            <w:r w:rsidR="007A241B" w:rsidRPr="00F72F26">
              <w:rPr>
                <w:rFonts w:ascii="Times New Roman" w:hAnsi="Times New Roman"/>
              </w:rPr>
              <w:t xml:space="preserve"> will ensure processes and progra</w:t>
            </w:r>
            <w:r w:rsidRPr="00F72F26">
              <w:rPr>
                <w:rFonts w:ascii="Times New Roman" w:hAnsi="Times New Roman"/>
              </w:rPr>
              <w:t>ms enhance the co</w:t>
            </w:r>
            <w:r w:rsidR="007A241B" w:rsidRPr="00F72F26">
              <w:rPr>
                <w:rFonts w:ascii="Times New Roman" w:hAnsi="Times New Roman"/>
              </w:rPr>
              <w:t>m</w:t>
            </w:r>
            <w:r w:rsidRPr="00F72F26">
              <w:rPr>
                <w:rFonts w:ascii="Times New Roman" w:hAnsi="Times New Roman"/>
              </w:rPr>
              <w:t xml:space="preserve">pany’s ability to change. </w:t>
            </w:r>
          </w:p>
        </w:tc>
      </w:tr>
      <w:tr w:rsidR="00CE043B" w:rsidRPr="00F72F26" w:rsidTr="00C64C2C">
        <w:trPr>
          <w:trHeight w:val="3427"/>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043B" w:rsidRPr="00F72F26" w:rsidRDefault="00DC1CFE" w:rsidP="00465B40">
            <w:pPr>
              <w:spacing w:line="360" w:lineRule="auto"/>
            </w:pPr>
            <w:r w:rsidRPr="00F72F26">
              <w:rPr>
                <w:rFonts w:ascii="Times New Roman" w:hAnsi="Times New Roman"/>
              </w:rPr>
              <w:t>Employee Champion</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043B" w:rsidRPr="00F72F26" w:rsidRDefault="00DC1CFE" w:rsidP="00465B40">
            <w:pPr>
              <w:spacing w:line="360" w:lineRule="auto"/>
              <w:rPr>
                <w:rFonts w:ascii="Times New Roman" w:eastAsia="Times New Roman" w:hAnsi="Times New Roman" w:cs="Times New Roman"/>
              </w:rPr>
            </w:pPr>
            <w:r w:rsidRPr="00F72F26">
              <w:rPr>
                <w:rFonts w:ascii="Times New Roman" w:hAnsi="Times New Roman"/>
              </w:rPr>
              <w:t>As an employee champion, the HR professionals will work towards improving employee morale.</w:t>
            </w:r>
          </w:p>
          <w:p w:rsidR="00CE043B" w:rsidRPr="00F72F26" w:rsidRDefault="00DC1CFE" w:rsidP="00465B40">
            <w:pPr>
              <w:spacing w:line="360" w:lineRule="auto"/>
              <w:rPr>
                <w:rFonts w:ascii="Times New Roman" w:eastAsia="Times New Roman" w:hAnsi="Times New Roman" w:cs="Times New Roman"/>
              </w:rPr>
            </w:pPr>
            <w:r w:rsidRPr="00F72F26">
              <w:rPr>
                <w:rFonts w:ascii="Times New Roman" w:hAnsi="Times New Roman"/>
              </w:rPr>
              <w:t>Giving timely feedback to the employees.</w:t>
            </w:r>
          </w:p>
          <w:p w:rsidR="00CE043B" w:rsidRPr="00F72F26" w:rsidRDefault="00DC1CFE" w:rsidP="00465B40">
            <w:pPr>
              <w:spacing w:line="360" w:lineRule="auto"/>
            </w:pPr>
            <w:r w:rsidRPr="00F72F26">
              <w:rPr>
                <w:rFonts w:ascii="Times New Roman" w:hAnsi="Times New Roman"/>
              </w:rPr>
              <w:t>Taking care of employee personal and professional needs.</w:t>
            </w:r>
          </w:p>
        </w:tc>
      </w:tr>
      <w:tr w:rsidR="00CE043B" w:rsidRPr="00F72F26" w:rsidTr="00C64C2C">
        <w:trPr>
          <w:trHeight w:val="1741"/>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043B" w:rsidRPr="00F72F26" w:rsidRDefault="00DC1CFE" w:rsidP="00465B40">
            <w:pPr>
              <w:spacing w:line="360" w:lineRule="auto"/>
            </w:pPr>
            <w:r w:rsidRPr="00F72F26">
              <w:rPr>
                <w:rFonts w:ascii="Times New Roman" w:hAnsi="Times New Roman"/>
              </w:rPr>
              <w:lastRenderedPageBreak/>
              <w:t>Administrative Expert</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043B" w:rsidRPr="00F72F26" w:rsidRDefault="00DC1CFE" w:rsidP="00465B40">
            <w:pPr>
              <w:spacing w:line="360" w:lineRule="auto"/>
              <w:rPr>
                <w:rFonts w:ascii="Times New Roman" w:eastAsiaTheme="minorEastAsia" w:hAnsi="Times New Roman" w:cs="Times New Roman"/>
              </w:rPr>
            </w:pPr>
            <w:r w:rsidRPr="00F72F26">
              <w:rPr>
                <w:rFonts w:ascii="Times New Roman" w:hAnsi="Times New Roman"/>
              </w:rPr>
              <w:t>Tesco’s administrative experts will ensure HR process are efficiently administered for effective organizational performance.</w:t>
            </w:r>
          </w:p>
        </w:tc>
      </w:tr>
    </w:tbl>
    <w:p w:rsidR="00CE043B" w:rsidRPr="00F72F26" w:rsidRDefault="00CE043B" w:rsidP="00465B40">
      <w:pPr>
        <w:widowControl w:val="0"/>
        <w:spacing w:line="360" w:lineRule="auto"/>
        <w:rPr>
          <w:rFonts w:ascii="Times New Roman" w:eastAsiaTheme="minorEastAsia" w:hAnsi="Times New Roman" w:cs="Times New Roman"/>
        </w:rPr>
      </w:pPr>
    </w:p>
    <w:p w:rsidR="00CE043B" w:rsidRPr="00F72F26" w:rsidRDefault="00DC1CFE" w:rsidP="00465B40">
      <w:pPr>
        <w:spacing w:line="360" w:lineRule="auto"/>
        <w:rPr>
          <w:rFonts w:ascii="Times New Roman" w:eastAsia="Times New Roman" w:hAnsi="Times New Roman" w:cs="Times New Roman"/>
        </w:rPr>
      </w:pPr>
      <w:r w:rsidRPr="00F72F26">
        <w:rPr>
          <w:rFonts w:ascii="Times New Roman" w:hAnsi="Times New Roman"/>
          <w:lang w:val="fr-FR"/>
        </w:rPr>
        <w:t>Table 1: Tesco</w:t>
      </w:r>
      <w:r w:rsidRPr="00F72F26">
        <w:rPr>
          <w:rFonts w:ascii="Times New Roman" w:hAnsi="Times New Roman"/>
        </w:rPr>
        <w:t>’s HR Roles based on Ulrich and Brockbank Model</w:t>
      </w:r>
    </w:p>
    <w:p w:rsidR="00CE043B" w:rsidRDefault="00DC1CFE">
      <w:pPr>
        <w:pStyle w:val="20"/>
        <w:spacing w:line="480" w:lineRule="auto"/>
        <w:rPr>
          <w:rFonts w:ascii="Times New Roman" w:eastAsia="Times New Roman" w:hAnsi="Times New Roman" w:cs="Times New Roman"/>
          <w:b/>
          <w:bCs/>
          <w:color w:val="000000"/>
          <w:sz w:val="24"/>
          <w:szCs w:val="24"/>
          <w:u w:color="000000"/>
        </w:rPr>
      </w:pPr>
      <w:bookmarkStart w:id="7" w:name="_Toc6"/>
      <w:r>
        <w:rPr>
          <w:rFonts w:ascii="Times New Roman" w:hAnsi="Times New Roman"/>
          <w:b/>
          <w:bCs/>
          <w:color w:val="000000"/>
          <w:sz w:val="24"/>
          <w:szCs w:val="24"/>
          <w:u w:color="000000"/>
        </w:rPr>
        <w:t>5.2 Harvard Model</w:t>
      </w:r>
      <w:bookmarkEnd w:id="7"/>
    </w:p>
    <w:p w:rsidR="00CE043B" w:rsidRPr="00F72F26" w:rsidRDefault="00DC1CFE" w:rsidP="00465B40">
      <w:pPr>
        <w:spacing w:line="360" w:lineRule="auto"/>
        <w:ind w:firstLine="357"/>
        <w:rPr>
          <w:rFonts w:ascii="Times New Roman" w:eastAsia="Times New Roman" w:hAnsi="Times New Roman" w:cs="Times New Roman"/>
        </w:rPr>
      </w:pPr>
      <w:r w:rsidRPr="00F72F26">
        <w:rPr>
          <w:rFonts w:ascii="Times New Roman" w:hAnsi="Times New Roman"/>
        </w:rPr>
        <w:t xml:space="preserve">The Harvard Model is a crucial model of human resource. As </w:t>
      </w:r>
      <w:r w:rsidR="00195F77" w:rsidRPr="00F72F26">
        <w:rPr>
          <w:rFonts w:ascii="Times New Roman" w:hAnsi="Times New Roman"/>
        </w:rPr>
        <w:t xml:space="preserve">illustration </w:t>
      </w:r>
      <w:r w:rsidRPr="00F72F26">
        <w:rPr>
          <w:rFonts w:ascii="Times New Roman" w:hAnsi="Times New Roman"/>
        </w:rPr>
        <w:t>below, the Harva</w:t>
      </w:r>
      <w:r w:rsidR="00195F77" w:rsidRPr="00F72F26">
        <w:rPr>
          <w:rFonts w:ascii="Times New Roman" w:hAnsi="Times New Roman"/>
        </w:rPr>
        <w:t>rd Model focu</w:t>
      </w:r>
      <w:r w:rsidRPr="00F72F26">
        <w:rPr>
          <w:rFonts w:ascii="Times New Roman" w:hAnsi="Times New Roman"/>
        </w:rPr>
        <w:t>s on four different HR areas including stakeholder interests, situational factors, strategic HRM, and long-term consequences (Thakur, 2022). In our case scenario, long-term consequences will be the main focus to address the employee feedback shortfall experienced in Tesco PLC. Applying the Harvard model to the shortfalls in Tesco PLC, the dimension of long-term consequences would help the company meet the needs of the employees such as timely feedback that would enhance their performance. Usrof (2018) stated that there is a con</w:t>
      </w:r>
      <w:r w:rsidR="0086464F" w:rsidRPr="00F72F26">
        <w:rPr>
          <w:rFonts w:ascii="Times New Roman" w:hAnsi="Times New Roman"/>
        </w:rPr>
        <w:t>n</w:t>
      </w:r>
      <w:r w:rsidRPr="00F72F26">
        <w:rPr>
          <w:rFonts w:ascii="Times New Roman" w:hAnsi="Times New Roman"/>
        </w:rPr>
        <w:t>ection between stakeholder inter</w:t>
      </w:r>
      <w:r w:rsidR="0086464F" w:rsidRPr="00F72F26">
        <w:rPr>
          <w:rFonts w:ascii="Times New Roman" w:hAnsi="Times New Roman"/>
        </w:rPr>
        <w:t>e</w:t>
      </w:r>
      <w:r w:rsidRPr="00F72F26">
        <w:rPr>
          <w:rFonts w:ascii="Times New Roman" w:hAnsi="Times New Roman"/>
        </w:rPr>
        <w:t>sts and situational interests that go through the long-term consequences on employee performance, skills, and attitudes. Therefore, implementing the Harvard Model at Tesco will help investigate the HRM’s long-term consequences on employee feedback, performance, skills, and attitudes to understand HRM aspects with a high likelihood to yield the greatest performance outcomes.</w:t>
      </w:r>
    </w:p>
    <w:p w:rsidR="00CE043B" w:rsidRDefault="00DC1CFE">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731510" cy="3238500"/>
            <wp:effectExtent l="0" t="0" r="2540" b="0"/>
            <wp:docPr id="1073741827" name="officeArt object" descr="Picture 10"/>
            <wp:cNvGraphicFramePr/>
            <a:graphic xmlns:a="http://schemas.openxmlformats.org/drawingml/2006/main">
              <a:graphicData uri="http://schemas.openxmlformats.org/drawingml/2006/picture">
                <pic:pic xmlns:pic="http://schemas.openxmlformats.org/drawingml/2006/picture">
                  <pic:nvPicPr>
                    <pic:cNvPr id="1073741827" name="Picture 10" descr="Picture 10"/>
                    <pic:cNvPicPr>
                      <a:picLocks noChangeAspect="1"/>
                    </pic:cNvPicPr>
                  </pic:nvPicPr>
                  <pic:blipFill>
                    <a:blip r:embed="rId10"/>
                    <a:stretch>
                      <a:fillRect/>
                    </a:stretch>
                  </pic:blipFill>
                  <pic:spPr>
                    <a:xfrm>
                      <a:off x="0" y="0"/>
                      <a:ext cx="5731510" cy="3238500"/>
                    </a:xfrm>
                    <a:prstGeom prst="rect">
                      <a:avLst/>
                    </a:prstGeom>
                    <a:ln w="12700" cap="flat">
                      <a:noFill/>
                      <a:miter lim="400000"/>
                    </a:ln>
                    <a:effectLst/>
                  </pic:spPr>
                </pic:pic>
              </a:graphicData>
            </a:graphic>
          </wp:inline>
        </w:drawing>
      </w:r>
    </w:p>
    <w:p w:rsidR="00CE043B" w:rsidRDefault="00C26295">
      <w:pPr>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Figure 3</w:t>
      </w:r>
      <w:r w:rsidR="00DC1CFE">
        <w:rPr>
          <w:rFonts w:ascii="Times New Roman" w:hAnsi="Times New Roman"/>
          <w:sz w:val="24"/>
          <w:szCs w:val="24"/>
        </w:rPr>
        <w:t>: Harvard Model of HRM</w:t>
      </w:r>
    </w:p>
    <w:p w:rsidR="00CE043B" w:rsidRDefault="00DC1CFE">
      <w:pPr>
        <w:spacing w:line="480" w:lineRule="auto"/>
        <w:rPr>
          <w:rFonts w:ascii="Times New Roman" w:eastAsia="Times New Roman" w:hAnsi="Times New Roman" w:cs="Times New Roman"/>
          <w:sz w:val="24"/>
          <w:szCs w:val="24"/>
        </w:rPr>
      </w:pPr>
      <w:r>
        <w:rPr>
          <w:rFonts w:ascii="Times New Roman" w:hAnsi="Times New Roman"/>
          <w:sz w:val="24"/>
          <w:szCs w:val="24"/>
        </w:rPr>
        <w:t>Source: (Thakur, 2022)</w:t>
      </w:r>
    </w:p>
    <w:p w:rsidR="00CE043B" w:rsidRPr="0053495F" w:rsidRDefault="00DC1CFE" w:rsidP="0053495F">
      <w:pPr>
        <w:pStyle w:val="a6"/>
        <w:numPr>
          <w:ilvl w:val="0"/>
          <w:numId w:val="12"/>
        </w:numPr>
        <w:spacing w:line="480" w:lineRule="auto"/>
        <w:jc w:val="center"/>
        <w:rPr>
          <w:rFonts w:ascii="Times New Roman" w:hAnsi="Times New Roman"/>
          <w:b/>
          <w:bCs/>
          <w:color w:val="000000"/>
          <w:sz w:val="24"/>
          <w:szCs w:val="24"/>
          <w:u w:color="000000"/>
        </w:rPr>
      </w:pPr>
      <w:bookmarkStart w:id="8" w:name="_Toc7"/>
      <w:r>
        <w:rPr>
          <w:rFonts w:ascii="Times New Roman" w:hAnsi="Times New Roman"/>
          <w:b/>
          <w:bCs/>
          <w:color w:val="000000"/>
          <w:sz w:val="24"/>
          <w:szCs w:val="24"/>
          <w:u w:color="000000"/>
        </w:rPr>
        <w:t>Meeting Employees Needs through Performance Feedback</w:t>
      </w:r>
      <w:bookmarkEnd w:id="8"/>
    </w:p>
    <w:p w:rsidR="00CE043B" w:rsidRDefault="00DC1CFE">
      <w:pPr>
        <w:pStyle w:val="20"/>
        <w:spacing w:line="480" w:lineRule="auto"/>
        <w:rPr>
          <w:rFonts w:ascii="Times New Roman" w:eastAsia="Times New Roman" w:hAnsi="Times New Roman" w:cs="Times New Roman"/>
          <w:b/>
          <w:bCs/>
          <w:color w:val="000000"/>
          <w:sz w:val="24"/>
          <w:szCs w:val="24"/>
          <w:u w:color="000000"/>
        </w:rPr>
      </w:pPr>
      <w:bookmarkStart w:id="9" w:name="_Toc8"/>
      <w:r>
        <w:rPr>
          <w:rFonts w:ascii="Times New Roman" w:hAnsi="Times New Roman"/>
          <w:b/>
          <w:bCs/>
          <w:color w:val="000000"/>
          <w:sz w:val="24"/>
          <w:szCs w:val="24"/>
          <w:u w:color="000000"/>
        </w:rPr>
        <w:t>Maslow’s Hierarchy of Needs Theory</w:t>
      </w:r>
      <w:bookmarkEnd w:id="9"/>
    </w:p>
    <w:p w:rsidR="00CE043B" w:rsidRPr="003D03D7" w:rsidRDefault="00DC1CFE" w:rsidP="00465B40">
      <w:pPr>
        <w:spacing w:line="360" w:lineRule="auto"/>
        <w:ind w:firstLine="360"/>
        <w:rPr>
          <w:rFonts w:ascii="Times New Roman" w:eastAsia="Times New Roman" w:hAnsi="Times New Roman" w:cs="Times New Roman"/>
          <w:u w:val="single"/>
        </w:rPr>
      </w:pPr>
      <w:r w:rsidRPr="003D03D7">
        <w:rPr>
          <w:rFonts w:ascii="Times New Roman" w:hAnsi="Times New Roman"/>
        </w:rPr>
        <w:t xml:space="preserve">Maslow’s hierarchy of needs is a motivational theory developed by Maslow to meet psychological needs. The theory consists human needs in a five-tier model as illustrated in figure 3 below, where the needs at the lower levels must be satisfied before an individual can meet the higher level needs (McLeod, 2018). </w:t>
      </w:r>
    </w:p>
    <w:p w:rsidR="00CE043B" w:rsidRDefault="00DC1CFE" w:rsidP="00465B40">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498973" cy="3847332"/>
            <wp:effectExtent l="0" t="0" r="0" b="0"/>
            <wp:docPr id="1073741828" name="officeArt object" descr="Picture 11"/>
            <wp:cNvGraphicFramePr/>
            <a:graphic xmlns:a="http://schemas.openxmlformats.org/drawingml/2006/main">
              <a:graphicData uri="http://schemas.openxmlformats.org/drawingml/2006/picture">
                <pic:pic xmlns:pic="http://schemas.openxmlformats.org/drawingml/2006/picture">
                  <pic:nvPicPr>
                    <pic:cNvPr id="1073741828" name="Picture 11" descr="Picture 11"/>
                    <pic:cNvPicPr>
                      <a:picLocks noChangeAspect="1"/>
                    </pic:cNvPicPr>
                  </pic:nvPicPr>
                  <pic:blipFill>
                    <a:blip r:embed="rId11"/>
                    <a:stretch>
                      <a:fillRect/>
                    </a:stretch>
                  </pic:blipFill>
                  <pic:spPr>
                    <a:xfrm>
                      <a:off x="0" y="0"/>
                      <a:ext cx="5498973" cy="3847332"/>
                    </a:xfrm>
                    <a:prstGeom prst="rect">
                      <a:avLst/>
                    </a:prstGeom>
                    <a:ln w="12700" cap="flat">
                      <a:noFill/>
                      <a:miter lim="400000"/>
                    </a:ln>
                    <a:effectLst/>
                  </pic:spPr>
                </pic:pic>
              </a:graphicData>
            </a:graphic>
          </wp:inline>
        </w:drawing>
      </w:r>
    </w:p>
    <w:p w:rsidR="00CE043B" w:rsidRDefault="006C2E58" w:rsidP="00465B40">
      <w:pPr>
        <w:spacing w:line="360" w:lineRule="auto"/>
        <w:ind w:left="360"/>
        <w:rPr>
          <w:rFonts w:ascii="Times New Roman" w:eastAsia="Times New Roman" w:hAnsi="Times New Roman" w:cs="Times New Roman"/>
          <w:sz w:val="24"/>
          <w:szCs w:val="24"/>
        </w:rPr>
      </w:pPr>
      <w:r>
        <w:rPr>
          <w:rFonts w:ascii="Times New Roman" w:hAnsi="Times New Roman"/>
          <w:sz w:val="24"/>
          <w:szCs w:val="24"/>
        </w:rPr>
        <w:t>Figure 4</w:t>
      </w:r>
      <w:r w:rsidR="00DC1CFE">
        <w:rPr>
          <w:rFonts w:ascii="Times New Roman" w:hAnsi="Times New Roman"/>
          <w:sz w:val="24"/>
          <w:szCs w:val="24"/>
        </w:rPr>
        <w:t>: Maslow’s Hierarchy of Needs Model</w:t>
      </w:r>
    </w:p>
    <w:p w:rsidR="00CE043B" w:rsidRDefault="00DC1CFE" w:rsidP="00465B40">
      <w:pPr>
        <w:spacing w:line="360" w:lineRule="auto"/>
        <w:ind w:left="360"/>
        <w:rPr>
          <w:rFonts w:ascii="Times New Roman" w:eastAsia="Times New Roman" w:hAnsi="Times New Roman" w:cs="Times New Roman"/>
          <w:sz w:val="24"/>
          <w:szCs w:val="24"/>
        </w:rPr>
      </w:pPr>
      <w:r>
        <w:rPr>
          <w:rFonts w:ascii="Times New Roman" w:hAnsi="Times New Roman"/>
          <w:sz w:val="24"/>
          <w:szCs w:val="24"/>
        </w:rPr>
        <w:t>Source:  (McLeod, 2018)</w:t>
      </w:r>
    </w:p>
    <w:p w:rsidR="00CE043B" w:rsidRPr="007213B2" w:rsidRDefault="00DC1CFE" w:rsidP="00465B40">
      <w:pPr>
        <w:spacing w:line="360" w:lineRule="auto"/>
        <w:ind w:firstLine="360"/>
        <w:rPr>
          <w:rFonts w:ascii="Times New Roman" w:eastAsia="Times New Roman" w:hAnsi="Times New Roman" w:cs="Times New Roman"/>
        </w:rPr>
      </w:pPr>
      <w:r w:rsidRPr="007213B2">
        <w:rPr>
          <w:rFonts w:ascii="Times New Roman" w:hAnsi="Times New Roman"/>
        </w:rPr>
        <w:t>Applying Maslow’s Hiera</w:t>
      </w:r>
      <w:r w:rsidR="003D75DB" w:rsidRPr="007213B2">
        <w:rPr>
          <w:rFonts w:ascii="Times New Roman" w:hAnsi="Times New Roman"/>
        </w:rPr>
        <w:t>r</w:t>
      </w:r>
      <w:r w:rsidRPr="007213B2">
        <w:rPr>
          <w:rFonts w:ascii="Times New Roman" w:hAnsi="Times New Roman"/>
        </w:rPr>
        <w:t>chy Needs Theory to the shor</w:t>
      </w:r>
      <w:r w:rsidR="00AC4CDC" w:rsidRPr="007213B2">
        <w:rPr>
          <w:rFonts w:ascii="Times New Roman" w:hAnsi="Times New Roman"/>
        </w:rPr>
        <w:t>t</w:t>
      </w:r>
      <w:r w:rsidRPr="007213B2">
        <w:rPr>
          <w:rFonts w:ascii="Times New Roman" w:hAnsi="Times New Roman"/>
        </w:rPr>
        <w:t>falls at Tesco PLC, employee feedback for performance re</w:t>
      </w:r>
      <w:r w:rsidR="00AC4CDC" w:rsidRPr="007213B2">
        <w:rPr>
          <w:rFonts w:ascii="Times New Roman" w:hAnsi="Times New Roman"/>
        </w:rPr>
        <w:t>v</w:t>
      </w:r>
      <w:r w:rsidRPr="007213B2">
        <w:rPr>
          <w:rFonts w:ascii="Times New Roman" w:hAnsi="Times New Roman"/>
        </w:rPr>
        <w:t>iew falls under the category of esteem needs. Perform</w:t>
      </w:r>
      <w:r w:rsidR="00AC4CDC" w:rsidRPr="007213B2">
        <w:rPr>
          <w:rFonts w:ascii="Times New Roman" w:hAnsi="Times New Roman"/>
        </w:rPr>
        <w:t>ance feedback gives an employee feeling of accom</w:t>
      </w:r>
      <w:r w:rsidRPr="007213B2">
        <w:rPr>
          <w:rFonts w:ascii="Times New Roman" w:hAnsi="Times New Roman"/>
        </w:rPr>
        <w:t>plishment, hence improving the overall job performance. By implementing Maslow’s theory, Tesco will improve employee performance and general org</w:t>
      </w:r>
      <w:r w:rsidR="00AC4CDC" w:rsidRPr="007213B2">
        <w:rPr>
          <w:rFonts w:ascii="Times New Roman" w:hAnsi="Times New Roman"/>
        </w:rPr>
        <w:t>an</w:t>
      </w:r>
      <w:r w:rsidRPr="007213B2">
        <w:rPr>
          <w:rFonts w:ascii="Times New Roman" w:hAnsi="Times New Roman"/>
        </w:rPr>
        <w:t>i</w:t>
      </w:r>
      <w:r w:rsidR="00AC4CDC" w:rsidRPr="007213B2">
        <w:rPr>
          <w:rFonts w:ascii="Times New Roman" w:hAnsi="Times New Roman"/>
        </w:rPr>
        <w:t>z</w:t>
      </w:r>
      <w:r w:rsidRPr="007213B2">
        <w:rPr>
          <w:rFonts w:ascii="Times New Roman" w:hAnsi="Times New Roman"/>
        </w:rPr>
        <w:t xml:space="preserve">ational productivity. </w:t>
      </w:r>
    </w:p>
    <w:p w:rsidR="00CE043B" w:rsidRPr="007355F5" w:rsidRDefault="00DC1CFE" w:rsidP="007355F5">
      <w:pPr>
        <w:pStyle w:val="a6"/>
        <w:numPr>
          <w:ilvl w:val="0"/>
          <w:numId w:val="12"/>
        </w:numPr>
        <w:spacing w:line="480" w:lineRule="auto"/>
        <w:jc w:val="center"/>
        <w:rPr>
          <w:rFonts w:ascii="Times New Roman" w:hAnsi="Times New Roman"/>
          <w:b/>
          <w:bCs/>
          <w:color w:val="000000"/>
          <w:sz w:val="24"/>
          <w:szCs w:val="24"/>
          <w:u w:color="000000"/>
        </w:rPr>
      </w:pPr>
      <w:bookmarkStart w:id="10" w:name="_Toc9"/>
      <w:r>
        <w:rPr>
          <w:rFonts w:ascii="Times New Roman" w:hAnsi="Times New Roman"/>
          <w:b/>
          <w:bCs/>
          <w:color w:val="000000"/>
          <w:sz w:val="24"/>
          <w:szCs w:val="24"/>
          <w:u w:color="000000"/>
        </w:rPr>
        <w:lastRenderedPageBreak/>
        <w:t>Impact on Employee and Organization</w:t>
      </w:r>
      <w:bookmarkEnd w:id="10"/>
    </w:p>
    <w:p w:rsidR="00CE043B" w:rsidRPr="004F35DB" w:rsidRDefault="00DC1CFE" w:rsidP="00465B40">
      <w:pPr>
        <w:spacing w:line="360" w:lineRule="auto"/>
        <w:ind w:firstLine="720"/>
        <w:rPr>
          <w:rFonts w:ascii="Times New Roman" w:eastAsia="Times New Roman" w:hAnsi="Times New Roman" w:cs="Times New Roman"/>
        </w:rPr>
      </w:pPr>
      <w:r w:rsidRPr="004F35DB">
        <w:rPr>
          <w:rFonts w:ascii="Times New Roman" w:hAnsi="Times New Roman"/>
        </w:rPr>
        <w:t>The indicated shortfalls have impacts on the employees and the organization in general. For instance, compared to peers, subordinates, and management feedback ratings, self-rating can be higher because an employee is likely to offer herself or himself a higher mark. In such cases, if the supervisors do not use effective feedback skills, Tesco faces defensiveness and alienation. This was the case between Tesco and its suppliers. BBC News found black holes in the company's accounts and unreasonable supplier payment delays. As a result, the company remains under investigation by the Serious Fraud Office (SFO) following the alleged irregularities in the company's accounts (Simpson, 2016).</w:t>
      </w:r>
    </w:p>
    <w:p w:rsidR="00CE043B" w:rsidRPr="004F35DB" w:rsidRDefault="00DC1CFE" w:rsidP="00465B40">
      <w:pPr>
        <w:spacing w:line="360" w:lineRule="auto"/>
        <w:ind w:firstLine="720"/>
        <w:rPr>
          <w:rFonts w:ascii="Times New Roman" w:eastAsia="Times New Roman" w:hAnsi="Times New Roman" w:cs="Times New Roman"/>
        </w:rPr>
      </w:pPr>
      <w:r w:rsidRPr="004F35DB">
        <w:rPr>
          <w:rFonts w:ascii="Times New Roman" w:hAnsi="Times New Roman"/>
        </w:rPr>
        <w:t>Performance evaluations done by peers are effective for developmental purposes but may not be the most appropriate approach for promotion, pay, and job retention purposes due to different opinions from peers. So, instead of creating cooperation and support in the workplace peer evaluations create tension and breakdown (Mukhopadhyay, 2016). For example, in cases of unfair results or biased performance appraisals, there is a high likelihood for the employees to quit their jobs (Murray, 2018).</w:t>
      </w:r>
      <w:r w:rsidRPr="004F35DB">
        <w:rPr>
          <w:rFonts w:ascii="Times New Roman" w:hAnsi="Times New Roman"/>
          <w:u w:val="single"/>
        </w:rPr>
        <w:t xml:space="preserve"> </w:t>
      </w:r>
      <w:r w:rsidRPr="004F35DB">
        <w:rPr>
          <w:rFonts w:ascii="Times New Roman" w:hAnsi="Times New Roman"/>
        </w:rPr>
        <w:t xml:space="preserve">Additionally, unrecognized and unappreciated employees become demotivated, resulting in lower performance rates. In order to combat this problem, Tesco ensures the anonymity of the raters to assure honest feedback.                                                                                                                                                                                                                                                                                                                                                                                                                                                                                                                                                                                                                                                                                                                                          </w:t>
      </w:r>
    </w:p>
    <w:p w:rsidR="00CE043B" w:rsidRDefault="00DC1CFE" w:rsidP="00465B40">
      <w:pPr>
        <w:spacing w:line="360" w:lineRule="auto"/>
        <w:ind w:firstLine="720"/>
        <w:rPr>
          <w:rFonts w:ascii="Times New Roman" w:eastAsia="Times New Roman" w:hAnsi="Times New Roman" w:cs="Times New Roman"/>
          <w:sz w:val="24"/>
          <w:szCs w:val="24"/>
        </w:rPr>
      </w:pPr>
      <w:r w:rsidRPr="004F35DB">
        <w:rPr>
          <w:rFonts w:ascii="Times New Roman" w:hAnsi="Times New Roman"/>
        </w:rPr>
        <w:t xml:space="preserve">Tesco believes that retaining employees is less expensive than recruiting new ones. So, 360-degree feedback has helped the organization retain employees by improving their skills and capabilities in their areas through performance evaluation. In return, the employees become motivated to lead to improved productivity. Further, using 360-degree feedback, Tesco is able to communicate its values and culture, improve customer service, and identify development and learning needs (Kandpal et al., 2018).    </w:t>
      </w:r>
      <w:r>
        <w:rPr>
          <w:rFonts w:ascii="Times New Roman" w:hAnsi="Times New Roman"/>
          <w:sz w:val="24"/>
          <w:szCs w:val="24"/>
        </w:rPr>
        <w:t xml:space="preserve">                                                                                                                                                                                                                                                                                                                                                                                                                                                                                                                                                                                                                                                                                                                               </w:t>
      </w:r>
    </w:p>
    <w:p w:rsidR="00CE043B" w:rsidRPr="007355F5" w:rsidRDefault="00DC1CFE" w:rsidP="007355F5">
      <w:pPr>
        <w:pStyle w:val="a6"/>
        <w:numPr>
          <w:ilvl w:val="0"/>
          <w:numId w:val="12"/>
        </w:numPr>
        <w:spacing w:line="480" w:lineRule="auto"/>
        <w:jc w:val="center"/>
        <w:rPr>
          <w:rFonts w:ascii="Times New Roman" w:hAnsi="Times New Roman"/>
          <w:b/>
          <w:bCs/>
          <w:color w:val="000000"/>
          <w:sz w:val="24"/>
          <w:szCs w:val="24"/>
          <w:u w:color="000000"/>
        </w:rPr>
      </w:pPr>
      <w:bookmarkStart w:id="11" w:name="_Toc10"/>
      <w:r>
        <w:rPr>
          <w:rFonts w:ascii="Times New Roman" w:hAnsi="Times New Roman"/>
          <w:b/>
          <w:bCs/>
          <w:color w:val="000000"/>
          <w:sz w:val="24"/>
          <w:szCs w:val="24"/>
          <w:u w:color="000000"/>
        </w:rPr>
        <w:t>Benefits of 360-Degrees Feedback as a Performance Appraisal Method</w:t>
      </w:r>
      <w:bookmarkEnd w:id="11"/>
    </w:p>
    <w:p w:rsidR="00CE043B" w:rsidRPr="004F35DB" w:rsidRDefault="00DC1CFE" w:rsidP="00465B40">
      <w:pPr>
        <w:spacing w:line="360" w:lineRule="auto"/>
        <w:ind w:firstLine="720"/>
        <w:rPr>
          <w:rFonts w:ascii="Times New Roman" w:eastAsia="Times New Roman" w:hAnsi="Times New Roman" w:cs="Times New Roman"/>
        </w:rPr>
      </w:pPr>
      <w:r w:rsidRPr="004F35DB">
        <w:rPr>
          <w:rFonts w:ascii="Times New Roman" w:hAnsi="Times New Roman"/>
        </w:rPr>
        <w:t>The 360-degree feedback model creates a workplace atmosphere for continuous learning. At the same time, it offers holistic feedback that improves employee performance and increases organizational growth by getting feedback from a multi-source rating, an individual does a self-rating to identify deficiencies and take necessary actions (Kandpal et al., 2018). Self-assessment allows an employee to be more positive, valuable, and productive to the organization. From the management perspective, giving real-time feedback enables managers to improve capabilities, create better roles, push for better targets, and create a positive work environment where employees feel valued, happy and inspired to perform better (Dasgupta, 2017).</w:t>
      </w:r>
    </w:p>
    <w:p w:rsidR="00CE043B" w:rsidRPr="004F35DB" w:rsidRDefault="00DC1CFE" w:rsidP="00465B40">
      <w:pPr>
        <w:spacing w:line="360" w:lineRule="auto"/>
        <w:ind w:firstLine="720"/>
        <w:rPr>
          <w:rFonts w:ascii="Times New Roman" w:eastAsia="Times New Roman" w:hAnsi="Times New Roman" w:cs="Times New Roman"/>
        </w:rPr>
      </w:pPr>
      <w:r w:rsidRPr="004F35DB">
        <w:rPr>
          <w:rFonts w:ascii="Times New Roman" w:hAnsi="Times New Roman"/>
        </w:rPr>
        <w:lastRenderedPageBreak/>
        <w:t>Another benefit of the 360-degrees feedback system is that it promotes constructive open communication (Singh, 2021). Feedback from all stakeholders in the organization who are required to communicate the feedback to the employee being rated. In order to offer effective knowledge with the required skills and work requirements, open communication is fostered, so that the employee can understand what is required of them. simultaneously, open communication facilitates collaboration between employees and managers as they must consult each other regardless of their job positions (Dayarathna et al., 2019).</w:t>
      </w:r>
    </w:p>
    <w:p w:rsidR="00CE043B" w:rsidRPr="004F35DB" w:rsidRDefault="00DC1CFE" w:rsidP="00465B40">
      <w:pPr>
        <w:spacing w:line="360" w:lineRule="auto"/>
        <w:ind w:firstLine="720"/>
        <w:rPr>
          <w:rFonts w:ascii="Times New Roman" w:eastAsia="Times New Roman" w:hAnsi="Times New Roman" w:cs="Times New Roman"/>
        </w:rPr>
      </w:pPr>
      <w:r w:rsidRPr="004F35DB">
        <w:rPr>
          <w:rFonts w:ascii="Times New Roman" w:hAnsi="Times New Roman"/>
        </w:rPr>
        <w:t>360-degree feedback boosts workplace relationships. Besides boosting employees’ morale to work on the deficiencies, 360-degree feedback creates better work relationships between the employees and the management, hence improving productivity (Singh, 2021). Feedback given in the organization can help create a team with mutual goals to achieve the main objectives of the organization since the organization measures the performance of employees and links it to the achievement of organizational performance (Dayarathna et al., 2019).</w:t>
      </w:r>
    </w:p>
    <w:p w:rsidR="00CE043B" w:rsidRPr="004F35DB" w:rsidRDefault="00DC1CFE" w:rsidP="00465B40">
      <w:pPr>
        <w:spacing w:line="360" w:lineRule="auto"/>
        <w:ind w:firstLine="720"/>
        <w:rPr>
          <w:rFonts w:ascii="Times New Roman" w:eastAsia="Times New Roman" w:hAnsi="Times New Roman" w:cs="Times New Roman"/>
        </w:rPr>
      </w:pPr>
      <w:r w:rsidRPr="004F35DB">
        <w:rPr>
          <w:rFonts w:ascii="Times New Roman" w:hAnsi="Times New Roman"/>
        </w:rPr>
        <w:t xml:space="preserve">360-degree feedback plays a crucial role in motivating employees to do their best in filling the improvement gaps identified during performance evaluation. Motivated employees work hard toward achieving their goals and objectives (Forson et al., 2021), hence job satisfaction and improved performance (Forson et al., 2020). However, this means an organization must pay more attention to how employees can be motivated and offer an environment that helps them deliver results as expected by the management (Forson et al., 2021). In this sense, implementing a 360-degree feedback process will motivate the employees to improve their performance to get positive feedback from the stakeholders involved in the process. </w:t>
      </w:r>
    </w:p>
    <w:p w:rsidR="00CE043B" w:rsidRDefault="00DC1CFE">
      <w:pPr>
        <w:pStyle w:val="a6"/>
        <w:numPr>
          <w:ilvl w:val="0"/>
          <w:numId w:val="12"/>
        </w:numPr>
        <w:spacing w:line="480" w:lineRule="auto"/>
        <w:jc w:val="center"/>
        <w:rPr>
          <w:rFonts w:ascii="Times New Roman" w:eastAsia="Times New Roman" w:hAnsi="Times New Roman" w:cs="Times New Roman"/>
          <w:b/>
          <w:bCs/>
          <w:color w:val="000000"/>
          <w:sz w:val="24"/>
          <w:szCs w:val="24"/>
        </w:rPr>
      </w:pPr>
      <w:bookmarkStart w:id="12" w:name="_Toc11"/>
      <w:r>
        <w:rPr>
          <w:rFonts w:ascii="Times New Roman" w:hAnsi="Times New Roman"/>
          <w:b/>
          <w:bCs/>
          <w:color w:val="000000"/>
          <w:sz w:val="24"/>
          <w:szCs w:val="24"/>
          <w:u w:color="000000"/>
          <w:lang w:val="it-IT"/>
        </w:rPr>
        <w:t>Conclusion</w:t>
      </w:r>
      <w:bookmarkEnd w:id="12"/>
    </w:p>
    <w:p w:rsidR="00CE043B" w:rsidRDefault="00DC1CFE" w:rsidP="00465B40">
      <w:pPr>
        <w:spacing w:line="360" w:lineRule="auto"/>
        <w:ind w:firstLine="720"/>
        <w:rPr>
          <w:rFonts w:ascii="Times New Roman" w:eastAsia="Times New Roman" w:hAnsi="Times New Roman" w:cs="Times New Roman"/>
          <w:sz w:val="24"/>
          <w:szCs w:val="24"/>
        </w:rPr>
      </w:pPr>
      <w:r w:rsidRPr="004A5BD3">
        <w:rPr>
          <w:rFonts w:ascii="Times New Roman" w:hAnsi="Times New Roman"/>
        </w:rPr>
        <w:t xml:space="preserve">Performance management is a human resource tool aiming to develop the organization's potential capabilities. Organizations ensure that their performance management aligns with their long-term policies and can manage employee efforts depending on the performance outcomes. Tesco PLC is not an exemption, as it has put all its efforts into managing performance. 360-degree feedback is one of the approaches implemented by organizations for performance appraisals and developmental purposes. This </w:t>
      </w:r>
      <w:r w:rsidR="00D4139B" w:rsidRPr="004A5BD3">
        <w:rPr>
          <w:rFonts w:ascii="Times New Roman" w:hAnsi="Times New Roman"/>
        </w:rPr>
        <w:t>report</w:t>
      </w:r>
      <w:r w:rsidRPr="004A5BD3">
        <w:rPr>
          <w:rFonts w:ascii="Times New Roman" w:hAnsi="Times New Roman"/>
        </w:rPr>
        <w:t xml:space="preserve"> discussed the gaps in the 360-degree feedback as implemented in Tesco and offered a variety of its benefits to the employee and the organization. Towards the end, the report highlighted some recommendations to enhance performance improvement in the company through 360-degree feedback performance appraisal</w:t>
      </w:r>
      <w:r>
        <w:rPr>
          <w:rFonts w:ascii="Times New Roman" w:hAnsi="Times New Roman"/>
          <w:sz w:val="24"/>
          <w:szCs w:val="24"/>
        </w:rPr>
        <w:t>.</w:t>
      </w:r>
    </w:p>
    <w:p w:rsidR="00CE043B" w:rsidRDefault="00DC1CFE">
      <w:pPr>
        <w:pStyle w:val="a6"/>
        <w:numPr>
          <w:ilvl w:val="0"/>
          <w:numId w:val="12"/>
        </w:numPr>
        <w:spacing w:line="480" w:lineRule="auto"/>
        <w:jc w:val="center"/>
        <w:rPr>
          <w:rFonts w:ascii="Times New Roman" w:eastAsia="Times New Roman" w:hAnsi="Times New Roman" w:cs="Times New Roman"/>
          <w:b/>
          <w:bCs/>
          <w:color w:val="000000"/>
          <w:sz w:val="24"/>
          <w:szCs w:val="24"/>
        </w:rPr>
      </w:pPr>
      <w:bookmarkStart w:id="13" w:name="_Toc12"/>
      <w:r>
        <w:rPr>
          <w:rFonts w:ascii="Times New Roman" w:hAnsi="Times New Roman"/>
          <w:b/>
          <w:bCs/>
          <w:color w:val="000000"/>
          <w:sz w:val="24"/>
          <w:szCs w:val="24"/>
          <w:u w:color="000000"/>
        </w:rPr>
        <w:lastRenderedPageBreak/>
        <w:t>Recommendations</w:t>
      </w:r>
      <w:bookmarkEnd w:id="13"/>
    </w:p>
    <w:p w:rsidR="00CE043B" w:rsidRPr="00B3364E" w:rsidRDefault="00DC1CFE" w:rsidP="00465B40">
      <w:pPr>
        <w:spacing w:line="360" w:lineRule="auto"/>
        <w:rPr>
          <w:rFonts w:ascii="Times New Roman" w:eastAsia="Times New Roman" w:hAnsi="Times New Roman" w:cs="Times New Roman"/>
        </w:rPr>
      </w:pPr>
      <w:r w:rsidRPr="00B3364E">
        <w:rPr>
          <w:rFonts w:ascii="Times New Roman" w:hAnsi="Times New Roman"/>
        </w:rPr>
        <w:t>For 360-degree feedback to be an effective performance appraisal method, Tes</w:t>
      </w:r>
      <w:r w:rsidR="00CC6B5D" w:rsidRPr="00B3364E">
        <w:rPr>
          <w:rFonts w:ascii="Times New Roman" w:hAnsi="Times New Roman"/>
        </w:rPr>
        <w:t>c</w:t>
      </w:r>
      <w:r w:rsidRPr="00B3364E">
        <w:rPr>
          <w:rFonts w:ascii="Times New Roman" w:hAnsi="Times New Roman"/>
        </w:rPr>
        <w:t>o needs to:</w:t>
      </w:r>
    </w:p>
    <w:p w:rsidR="00CE043B" w:rsidRPr="00B3364E" w:rsidRDefault="00DC1CFE" w:rsidP="00465B40">
      <w:pPr>
        <w:pStyle w:val="a8"/>
        <w:numPr>
          <w:ilvl w:val="0"/>
          <w:numId w:val="15"/>
        </w:numPr>
        <w:spacing w:line="360" w:lineRule="auto"/>
        <w:rPr>
          <w:rFonts w:ascii="Times New Roman" w:hAnsi="Times New Roman"/>
        </w:rPr>
      </w:pPr>
      <w:r w:rsidRPr="00B3364E">
        <w:rPr>
          <w:rFonts w:ascii="Times New Roman" w:hAnsi="Times New Roman"/>
        </w:rPr>
        <w:t>Articulate the purpose and make a strategic decision on what the company want to achieve using 360-degree feedback (Center for Creative Leadership, 2020). Tesco should ensure that the 360-degree assessment selected for the organization aligns with the company’s competency model and business outcomes. With this in place, Tesco will ensure that an individual's performance is consistently measured against the organization's objectives and targets.</w:t>
      </w:r>
    </w:p>
    <w:p w:rsidR="00CE043B" w:rsidRPr="00B3364E" w:rsidRDefault="00DC1CFE" w:rsidP="00465B40">
      <w:pPr>
        <w:pStyle w:val="a8"/>
        <w:numPr>
          <w:ilvl w:val="0"/>
          <w:numId w:val="15"/>
        </w:numPr>
        <w:spacing w:line="360" w:lineRule="auto"/>
        <w:rPr>
          <w:rFonts w:ascii="Times New Roman" w:hAnsi="Times New Roman"/>
        </w:rPr>
      </w:pPr>
      <w:r w:rsidRPr="00B3364E">
        <w:rPr>
          <w:rFonts w:ascii="Times New Roman" w:hAnsi="Times New Roman"/>
        </w:rPr>
        <w:t xml:space="preserve">Tesco should also evaluate the various stakeholders involved in giving feedback. Subordinates, customers, and peers can be biased and offer negative appraisals of employee performance. Consequently, an employee may gain considerable anxiety of feeling that everyone in the company is against them (Kandpal et al., 2018), and this may lead to reduced performance that will influence the overall organizational productivity. </w:t>
      </w:r>
    </w:p>
    <w:p w:rsidR="00CE043B" w:rsidRPr="00B3364E" w:rsidRDefault="00DC1CFE" w:rsidP="00465B40">
      <w:pPr>
        <w:pStyle w:val="a8"/>
        <w:numPr>
          <w:ilvl w:val="0"/>
          <w:numId w:val="15"/>
        </w:numPr>
        <w:spacing w:line="360" w:lineRule="auto"/>
        <w:rPr>
          <w:rFonts w:ascii="Times New Roman" w:hAnsi="Times New Roman"/>
        </w:rPr>
      </w:pPr>
      <w:r w:rsidRPr="00B3364E">
        <w:rPr>
          <w:rFonts w:ascii="Times New Roman" w:hAnsi="Times New Roman"/>
        </w:rPr>
        <w:t xml:space="preserve">360-degree is a feedback process that needs a lot of communication. So, it is recommended that Tesco should ensure effective communication among the involved stakeholders so that they understand what they are expected to do. </w:t>
      </w:r>
    </w:p>
    <w:p w:rsidR="00CE043B" w:rsidRPr="00B3364E" w:rsidRDefault="00DC1CFE" w:rsidP="00465B40">
      <w:pPr>
        <w:pStyle w:val="a8"/>
        <w:numPr>
          <w:ilvl w:val="0"/>
          <w:numId w:val="15"/>
        </w:numPr>
        <w:spacing w:line="360" w:lineRule="auto"/>
        <w:rPr>
          <w:rFonts w:ascii="Times New Roman" w:hAnsi="Times New Roman"/>
        </w:rPr>
      </w:pPr>
      <w:r w:rsidRPr="00B3364E">
        <w:rPr>
          <w:rFonts w:ascii="Times New Roman" w:hAnsi="Times New Roman"/>
        </w:rPr>
        <w:t xml:space="preserve">Another recommendation is Tesco’s managers should ensure role clarification. According to Nduati and Wanyoike (2022), role clarification includes authority, responsibilities, work technique, task substance, timeliness in work completion, and operational priority. Therefore, it becomes the role of a manager to know which employee fits into which job because performance management is achieved when communication between the management and employee comes to an understanding of the work to be done, how it will be done, and how it will progress towards the desired results. Kundu et al. (2019) found that role clarity positively correlates with the driving force for workplace engagement and creative work practices. When employees understand what is expected of them, they are less likely to receive negative feedback from the 360-degree process. </w:t>
      </w:r>
    </w:p>
    <w:p w:rsidR="00CE043B" w:rsidRDefault="00DC1CFE" w:rsidP="00465B40">
      <w:pPr>
        <w:pStyle w:val="a8"/>
        <w:numPr>
          <w:ilvl w:val="0"/>
          <w:numId w:val="15"/>
        </w:numPr>
        <w:spacing w:line="360" w:lineRule="auto"/>
        <w:rPr>
          <w:rFonts w:ascii="Times New Roman" w:hAnsi="Times New Roman"/>
          <w:sz w:val="24"/>
          <w:szCs w:val="24"/>
        </w:rPr>
      </w:pPr>
      <w:r w:rsidRPr="00B3364E">
        <w:rPr>
          <w:rFonts w:ascii="Times New Roman" w:hAnsi="Times New Roman"/>
        </w:rPr>
        <w:t xml:space="preserve">Lastly, after the implementation of the 360-degree feedback process, it is recommended that the employees should not be expected to fix all the issues at once. The information disseminated from the questionnaire leaves the employees with numerous suggestions on areas of improvement. It will be overwhelming to deal with all this data at once, so it should be handled bit by bit. </w:t>
      </w:r>
    </w:p>
    <w:p w:rsidR="00CE043B" w:rsidRDefault="00CE043B">
      <w:pPr>
        <w:spacing w:line="480" w:lineRule="auto"/>
      </w:pPr>
    </w:p>
    <w:p w:rsidR="00CE043B" w:rsidRDefault="00DC1CFE">
      <w:pPr>
        <w:pStyle w:val="a6"/>
        <w:numPr>
          <w:ilvl w:val="0"/>
          <w:numId w:val="16"/>
        </w:numPr>
        <w:spacing w:line="480" w:lineRule="auto"/>
        <w:jc w:val="center"/>
        <w:rPr>
          <w:rFonts w:ascii="Times New Roman" w:eastAsia="Times New Roman" w:hAnsi="Times New Roman" w:cs="Times New Roman"/>
          <w:color w:val="000000"/>
          <w:sz w:val="24"/>
          <w:szCs w:val="24"/>
        </w:rPr>
      </w:pPr>
      <w:bookmarkStart w:id="14" w:name="_Toc13"/>
      <w:r>
        <w:rPr>
          <w:rFonts w:ascii="Times New Roman" w:hAnsi="Times New Roman"/>
          <w:color w:val="000000"/>
          <w:sz w:val="24"/>
          <w:szCs w:val="24"/>
          <w:u w:color="000000"/>
          <w:lang w:val="fr-FR"/>
        </w:rPr>
        <w:lastRenderedPageBreak/>
        <w:t>Reference List</w:t>
      </w:r>
      <w:bookmarkEnd w:id="14"/>
    </w:p>
    <w:p w:rsidR="00CE043B" w:rsidRPr="00111992" w:rsidRDefault="00DC1CFE" w:rsidP="00891507">
      <w:pPr>
        <w:pStyle w:val="a9"/>
        <w:spacing w:line="360" w:lineRule="auto"/>
        <w:ind w:left="567" w:hanging="567"/>
        <w:rPr>
          <w:sz w:val="22"/>
          <w:szCs w:val="22"/>
        </w:rPr>
      </w:pPr>
      <w:bookmarkStart w:id="15" w:name="_Hlk127777234"/>
      <w:r w:rsidRPr="00111992">
        <w:rPr>
          <w:sz w:val="22"/>
          <w:szCs w:val="22"/>
          <w:shd w:val="clear" w:color="auto" w:fill="FFFFFF"/>
        </w:rPr>
        <w:t xml:space="preserve">Bayraktar, O. and Şencan, H. </w:t>
      </w:r>
      <w:r w:rsidRPr="00111992">
        <w:rPr>
          <w:sz w:val="22"/>
          <w:szCs w:val="22"/>
          <w:shd w:val="clear" w:color="auto" w:fill="FFFFFF"/>
          <w:lang w:val="en-US"/>
        </w:rPr>
        <w:t>(</w:t>
      </w:r>
      <w:r w:rsidRPr="00111992">
        <w:rPr>
          <w:sz w:val="22"/>
          <w:szCs w:val="22"/>
          <w:shd w:val="clear" w:color="auto" w:fill="FFFFFF"/>
        </w:rPr>
        <w:t>2017</w:t>
      </w:r>
      <w:r w:rsidRPr="00111992">
        <w:rPr>
          <w:sz w:val="22"/>
          <w:szCs w:val="22"/>
          <w:shd w:val="clear" w:color="auto" w:fill="FFFFFF"/>
          <w:lang w:val="en-US"/>
        </w:rPr>
        <w:t>)</w:t>
      </w:r>
      <w:r w:rsidRPr="00111992">
        <w:rPr>
          <w:sz w:val="22"/>
          <w:szCs w:val="22"/>
          <w:shd w:val="clear" w:color="auto" w:fill="FFFFFF"/>
        </w:rPr>
        <w:t xml:space="preserve"> Employees' approaches to human resources from the asset–resource concepts perspective. </w:t>
      </w:r>
      <w:r w:rsidRPr="00111992">
        <w:rPr>
          <w:i/>
          <w:iCs/>
          <w:sz w:val="22"/>
          <w:szCs w:val="22"/>
          <w:shd w:val="clear" w:color="auto" w:fill="FFFFFF"/>
        </w:rPr>
        <w:t>International Journal of Business and Social Science</w:t>
      </w:r>
      <w:r w:rsidRPr="00111992">
        <w:rPr>
          <w:sz w:val="22"/>
          <w:szCs w:val="22"/>
          <w:shd w:val="clear" w:color="auto" w:fill="FFFFFF"/>
        </w:rPr>
        <w:t>, </w:t>
      </w:r>
      <w:r w:rsidRPr="00111992">
        <w:rPr>
          <w:i/>
          <w:iCs/>
          <w:sz w:val="22"/>
          <w:szCs w:val="22"/>
          <w:shd w:val="clear" w:color="auto" w:fill="FFFFFF"/>
        </w:rPr>
        <w:t>8</w:t>
      </w:r>
      <w:r w:rsidRPr="00111992">
        <w:rPr>
          <w:sz w:val="22"/>
          <w:szCs w:val="22"/>
          <w:shd w:val="clear" w:color="auto" w:fill="FFFFFF"/>
        </w:rPr>
        <w:t>(9), pp.116-127.</w:t>
      </w:r>
      <w:bookmarkEnd w:id="15"/>
    </w:p>
    <w:p w:rsidR="00CE043B" w:rsidRPr="00111992" w:rsidRDefault="00DC1CFE" w:rsidP="00891507">
      <w:pPr>
        <w:pStyle w:val="a9"/>
        <w:spacing w:line="360" w:lineRule="auto"/>
        <w:ind w:left="567" w:hanging="567"/>
        <w:rPr>
          <w:sz w:val="22"/>
          <w:szCs w:val="22"/>
        </w:rPr>
      </w:pPr>
      <w:r w:rsidRPr="00111992">
        <w:rPr>
          <w:sz w:val="22"/>
          <w:szCs w:val="22"/>
        </w:rPr>
        <w:t xml:space="preserve">Bedford, E. (2022) </w:t>
      </w:r>
      <w:r w:rsidRPr="00111992">
        <w:rPr>
          <w:i/>
          <w:iCs/>
          <w:sz w:val="22"/>
          <w:szCs w:val="22"/>
        </w:rPr>
        <w:t>Tesco Group employees by region 2021-2022</w:t>
      </w:r>
      <w:r w:rsidRPr="00111992">
        <w:rPr>
          <w:sz w:val="22"/>
          <w:szCs w:val="22"/>
        </w:rPr>
        <w:t xml:space="preserve">, </w:t>
      </w:r>
      <w:r w:rsidRPr="00111992">
        <w:rPr>
          <w:i/>
          <w:iCs/>
          <w:sz w:val="22"/>
          <w:szCs w:val="22"/>
        </w:rPr>
        <w:t>Statista</w:t>
      </w:r>
      <w:r w:rsidRPr="00111992">
        <w:rPr>
          <w:sz w:val="22"/>
          <w:szCs w:val="22"/>
        </w:rPr>
        <w:t xml:space="preserve">. Available at: https://www.statista.com/statistics/490890/tesco-group-number-of-employees-worldwide/ (Accessed: February 19, 2023). </w:t>
      </w:r>
    </w:p>
    <w:p w:rsidR="00CE043B" w:rsidRPr="00111992" w:rsidRDefault="00DC1CFE" w:rsidP="00891507">
      <w:pPr>
        <w:pStyle w:val="a9"/>
        <w:spacing w:line="360" w:lineRule="auto"/>
        <w:ind w:left="567" w:hanging="567"/>
        <w:rPr>
          <w:sz w:val="22"/>
          <w:szCs w:val="22"/>
        </w:rPr>
      </w:pPr>
      <w:r w:rsidRPr="00111992">
        <w:rPr>
          <w:sz w:val="22"/>
          <w:szCs w:val="22"/>
        </w:rPr>
        <w:t xml:space="preserve">Berry, J. (2017) </w:t>
      </w:r>
      <w:r w:rsidRPr="00111992">
        <w:rPr>
          <w:i/>
          <w:iCs/>
          <w:sz w:val="22"/>
          <w:szCs w:val="22"/>
        </w:rPr>
        <w:t>Achieving competitive advantage through people</w:t>
      </w:r>
      <w:r w:rsidRPr="00111992">
        <w:rPr>
          <w:sz w:val="22"/>
          <w:szCs w:val="22"/>
        </w:rPr>
        <w:t xml:space="preserve">, </w:t>
      </w:r>
      <w:r w:rsidRPr="00111992">
        <w:rPr>
          <w:i/>
          <w:iCs/>
          <w:sz w:val="22"/>
          <w:szCs w:val="22"/>
        </w:rPr>
        <w:t>TimelessTime</w:t>
      </w:r>
      <w:r w:rsidRPr="00111992">
        <w:rPr>
          <w:sz w:val="22"/>
          <w:szCs w:val="22"/>
        </w:rPr>
        <w:t xml:space="preserve">. Available at: https://timelesstime.co.uk/knowledgebase/competitive-advantage-through-people/ (Accessed: February 20, 2023). </w:t>
      </w:r>
    </w:p>
    <w:p w:rsidR="00CE043B" w:rsidRPr="00111992" w:rsidRDefault="00DC1CFE" w:rsidP="00891507">
      <w:pPr>
        <w:pStyle w:val="a9"/>
        <w:spacing w:line="360" w:lineRule="auto"/>
        <w:ind w:left="567" w:hanging="567"/>
        <w:rPr>
          <w:sz w:val="22"/>
          <w:szCs w:val="22"/>
        </w:rPr>
      </w:pPr>
      <w:r w:rsidRPr="00111992">
        <w:rPr>
          <w:sz w:val="22"/>
          <w:szCs w:val="22"/>
        </w:rPr>
        <w:t xml:space="preserve">Bruyn, L. and Roodt, G. (2009) “Applying the criteria of Ulrich and Brockbank for the assessment of the role of Human Resources as a strategic business partner in a Mining Company,” </w:t>
      </w:r>
      <w:r w:rsidRPr="00111992">
        <w:rPr>
          <w:i/>
          <w:iCs/>
          <w:sz w:val="22"/>
          <w:szCs w:val="22"/>
        </w:rPr>
        <w:t>SA Journal of Human Resource Management</w:t>
      </w:r>
      <w:r w:rsidRPr="00111992">
        <w:rPr>
          <w:sz w:val="22"/>
          <w:szCs w:val="22"/>
        </w:rPr>
        <w:t xml:space="preserve">, 7(1). Available at: https://doi.org/10.4102/sajhrm.v7i1.200. </w:t>
      </w:r>
    </w:p>
    <w:p w:rsidR="00CE043B" w:rsidRPr="00111992" w:rsidRDefault="00DC1CFE" w:rsidP="00891507">
      <w:pPr>
        <w:pStyle w:val="a9"/>
        <w:spacing w:line="360" w:lineRule="auto"/>
        <w:ind w:left="567" w:hanging="567"/>
        <w:rPr>
          <w:sz w:val="22"/>
          <w:szCs w:val="22"/>
        </w:rPr>
      </w:pPr>
      <w:r w:rsidRPr="00111992">
        <w:rPr>
          <w:sz w:val="22"/>
          <w:szCs w:val="22"/>
        </w:rPr>
        <w:t xml:space="preserve">Center for Creative Leadership (2020) </w:t>
      </w:r>
      <w:r w:rsidRPr="00111992">
        <w:rPr>
          <w:i/>
          <w:iCs/>
          <w:sz w:val="22"/>
          <w:szCs w:val="22"/>
        </w:rPr>
        <w:t>How to implement an organizational 360 feedback initiative</w:t>
      </w:r>
      <w:r w:rsidRPr="00111992">
        <w:rPr>
          <w:sz w:val="22"/>
          <w:szCs w:val="22"/>
        </w:rPr>
        <w:t xml:space="preserve">, </w:t>
      </w:r>
      <w:r w:rsidRPr="00111992">
        <w:rPr>
          <w:i/>
          <w:iCs/>
          <w:sz w:val="22"/>
          <w:szCs w:val="22"/>
        </w:rPr>
        <w:t>CCL</w:t>
      </w:r>
      <w:r w:rsidRPr="00111992">
        <w:rPr>
          <w:sz w:val="22"/>
          <w:szCs w:val="22"/>
        </w:rPr>
        <w:t xml:space="preserve">. Available at: https://www.ccl.org/articles/leading-effectively-articles/how-to-implement-360-feedback-initiative/ (Accessed: March 10, 2023). </w:t>
      </w:r>
    </w:p>
    <w:p w:rsidR="00CE043B" w:rsidRPr="00111992" w:rsidRDefault="00DC1CFE" w:rsidP="00891507">
      <w:pPr>
        <w:pStyle w:val="a9"/>
        <w:spacing w:line="360" w:lineRule="auto"/>
        <w:ind w:left="567" w:hanging="567"/>
        <w:rPr>
          <w:sz w:val="22"/>
          <w:szCs w:val="22"/>
        </w:rPr>
      </w:pPr>
      <w:r w:rsidRPr="00111992">
        <w:rPr>
          <w:sz w:val="22"/>
          <w:szCs w:val="22"/>
        </w:rPr>
        <w:t xml:space="preserve">Corporate Finance Institute (2022) </w:t>
      </w:r>
      <w:r w:rsidRPr="00111992">
        <w:rPr>
          <w:i/>
          <w:iCs/>
          <w:sz w:val="22"/>
          <w:szCs w:val="22"/>
        </w:rPr>
        <w:t>Key performance indicators (kpis)</w:t>
      </w:r>
      <w:r w:rsidRPr="00111992">
        <w:rPr>
          <w:sz w:val="22"/>
          <w:szCs w:val="22"/>
        </w:rPr>
        <w:t xml:space="preserve">, </w:t>
      </w:r>
      <w:r w:rsidRPr="00111992">
        <w:rPr>
          <w:i/>
          <w:iCs/>
          <w:sz w:val="22"/>
          <w:szCs w:val="22"/>
        </w:rPr>
        <w:t>Corporate Finance Institute</w:t>
      </w:r>
      <w:r w:rsidRPr="00111992">
        <w:rPr>
          <w:sz w:val="22"/>
          <w:szCs w:val="22"/>
        </w:rPr>
        <w:t xml:space="preserve">. Available at: https://corporatefinanceinstitute.com/resources/management/key-performance-indicators-kpis/ (Accessed: February 20, 2023). </w:t>
      </w:r>
    </w:p>
    <w:p w:rsidR="00CE043B" w:rsidRPr="00111992" w:rsidRDefault="00DC1CFE" w:rsidP="00891507">
      <w:pPr>
        <w:pStyle w:val="a9"/>
        <w:spacing w:line="360" w:lineRule="auto"/>
        <w:ind w:left="567" w:hanging="567"/>
        <w:rPr>
          <w:sz w:val="22"/>
          <w:szCs w:val="22"/>
        </w:rPr>
      </w:pPr>
      <w:r w:rsidRPr="00111992">
        <w:rPr>
          <w:sz w:val="22"/>
          <w:szCs w:val="22"/>
          <w:shd w:val="clear" w:color="auto" w:fill="FFFFFF"/>
        </w:rPr>
        <w:t xml:space="preserve">Dahlmann, F., Branicki, L. and Brammer, S. </w:t>
      </w:r>
      <w:r w:rsidRPr="00111992">
        <w:rPr>
          <w:sz w:val="22"/>
          <w:szCs w:val="22"/>
          <w:shd w:val="clear" w:color="auto" w:fill="FFFFFF"/>
          <w:lang w:val="en-US"/>
        </w:rPr>
        <w:t>(</w:t>
      </w:r>
      <w:r w:rsidRPr="00111992">
        <w:rPr>
          <w:sz w:val="22"/>
          <w:szCs w:val="22"/>
          <w:shd w:val="clear" w:color="auto" w:fill="FFFFFF"/>
        </w:rPr>
        <w:t>2019</w:t>
      </w:r>
      <w:r w:rsidRPr="00111992">
        <w:rPr>
          <w:sz w:val="22"/>
          <w:szCs w:val="22"/>
          <w:shd w:val="clear" w:color="auto" w:fill="FFFFFF"/>
          <w:lang w:val="en-US"/>
        </w:rPr>
        <w:t>)</w:t>
      </w:r>
      <w:r w:rsidRPr="00111992">
        <w:rPr>
          <w:sz w:val="22"/>
          <w:szCs w:val="22"/>
          <w:shd w:val="clear" w:color="auto" w:fill="FFFFFF"/>
        </w:rPr>
        <w:t xml:space="preserve"> Managing carbon aspirations: The influence of corporate climate change targets on environmental performance. </w:t>
      </w:r>
      <w:r w:rsidRPr="00111992">
        <w:rPr>
          <w:i/>
          <w:iCs/>
          <w:sz w:val="22"/>
          <w:szCs w:val="22"/>
          <w:shd w:val="clear" w:color="auto" w:fill="FFFFFF"/>
        </w:rPr>
        <w:t>Journal of business ethics</w:t>
      </w:r>
      <w:r w:rsidRPr="00111992">
        <w:rPr>
          <w:sz w:val="22"/>
          <w:szCs w:val="22"/>
          <w:shd w:val="clear" w:color="auto" w:fill="FFFFFF"/>
        </w:rPr>
        <w:t>, </w:t>
      </w:r>
      <w:r w:rsidRPr="00111992">
        <w:rPr>
          <w:i/>
          <w:iCs/>
          <w:sz w:val="22"/>
          <w:szCs w:val="22"/>
          <w:shd w:val="clear" w:color="auto" w:fill="FFFFFF"/>
        </w:rPr>
        <w:t>158</w:t>
      </w:r>
      <w:r w:rsidRPr="00111992">
        <w:rPr>
          <w:sz w:val="22"/>
          <w:szCs w:val="22"/>
          <w:shd w:val="clear" w:color="auto" w:fill="FFFFFF"/>
        </w:rPr>
        <w:t>, pp.1-24.</w:t>
      </w:r>
    </w:p>
    <w:p w:rsidR="00CE043B" w:rsidRPr="00111992" w:rsidRDefault="00DC1CFE" w:rsidP="00891507">
      <w:pPr>
        <w:pStyle w:val="a9"/>
        <w:spacing w:line="360" w:lineRule="auto"/>
        <w:ind w:left="567" w:hanging="567"/>
        <w:rPr>
          <w:sz w:val="22"/>
          <w:szCs w:val="22"/>
        </w:rPr>
      </w:pPr>
      <w:r w:rsidRPr="00111992">
        <w:rPr>
          <w:sz w:val="22"/>
          <w:szCs w:val="22"/>
        </w:rPr>
        <w:t xml:space="preserve">Dasgupta, B. (2017) </w:t>
      </w:r>
      <w:r w:rsidRPr="00111992">
        <w:rPr>
          <w:i/>
          <w:iCs/>
          <w:sz w:val="22"/>
          <w:szCs w:val="22"/>
        </w:rPr>
        <w:t>Tesco Bengaluru announces changes to Performance Management Review System</w:t>
      </w:r>
      <w:r w:rsidRPr="00111992">
        <w:rPr>
          <w:sz w:val="22"/>
          <w:szCs w:val="22"/>
        </w:rPr>
        <w:t xml:space="preserve">, </w:t>
      </w:r>
      <w:r w:rsidRPr="00111992">
        <w:rPr>
          <w:i/>
          <w:iCs/>
          <w:sz w:val="22"/>
          <w:szCs w:val="22"/>
        </w:rPr>
        <w:t>The Economic Times</w:t>
      </w:r>
      <w:r w:rsidRPr="00111992">
        <w:rPr>
          <w:sz w:val="22"/>
          <w:szCs w:val="22"/>
        </w:rPr>
        <w:t xml:space="preserve">. Available at: https://economictimes.indiatimes.com/tech/ites/tesco-bengaluru-announces-changes-to-performance-management-review-system/articleshow/56753701.cms?from=mdr (Accessed: February 19, 2023). </w:t>
      </w:r>
    </w:p>
    <w:p w:rsidR="00CE043B" w:rsidRPr="00111992" w:rsidRDefault="00DC1CFE" w:rsidP="00891507">
      <w:pPr>
        <w:pStyle w:val="a9"/>
        <w:spacing w:line="360" w:lineRule="auto"/>
        <w:ind w:left="567" w:hanging="567"/>
        <w:rPr>
          <w:sz w:val="22"/>
          <w:szCs w:val="22"/>
        </w:rPr>
      </w:pPr>
      <w:r w:rsidRPr="00111992">
        <w:rPr>
          <w:sz w:val="22"/>
          <w:szCs w:val="22"/>
        </w:rPr>
        <w:t xml:space="preserve">Dayarathna, D.K., Dowling, P.J. and Bartram, T. (2019) "The effect of high performance work system strength on organizational effectiveness," </w:t>
      </w:r>
      <w:r w:rsidRPr="00111992">
        <w:rPr>
          <w:i/>
          <w:iCs/>
          <w:sz w:val="22"/>
          <w:szCs w:val="22"/>
        </w:rPr>
        <w:t>Review of InternationalBusiness and Strategy</w:t>
      </w:r>
      <w:r w:rsidRPr="00111992">
        <w:rPr>
          <w:sz w:val="22"/>
          <w:szCs w:val="22"/>
        </w:rPr>
        <w:t xml:space="preserve">, 30(1), pp. 77–95. Available at: https://doi.org/10.1108/ribs-06-2019-0085. </w:t>
      </w:r>
    </w:p>
    <w:p w:rsidR="00CE043B" w:rsidRPr="00111992" w:rsidRDefault="00DC1CFE" w:rsidP="00891507">
      <w:pPr>
        <w:pStyle w:val="a9"/>
        <w:spacing w:line="360" w:lineRule="auto"/>
        <w:ind w:left="567" w:hanging="567"/>
        <w:rPr>
          <w:sz w:val="22"/>
          <w:szCs w:val="22"/>
        </w:rPr>
      </w:pPr>
      <w:r w:rsidRPr="00111992">
        <w:rPr>
          <w:sz w:val="22"/>
          <w:szCs w:val="22"/>
        </w:rPr>
        <w:lastRenderedPageBreak/>
        <w:t xml:space="preserve">Douglas, S. </w:t>
      </w:r>
      <w:r w:rsidRPr="00111992">
        <w:rPr>
          <w:i/>
          <w:iCs/>
          <w:sz w:val="22"/>
          <w:szCs w:val="22"/>
        </w:rPr>
        <w:t>et al.</w:t>
      </w:r>
      <w:r w:rsidRPr="00111992">
        <w:rPr>
          <w:sz w:val="22"/>
          <w:szCs w:val="22"/>
        </w:rPr>
        <w:t xml:space="preserve"> (2021) "Systemic leadership development: Impact on organizational effectiveness," </w:t>
      </w:r>
      <w:r w:rsidRPr="00111992">
        <w:rPr>
          <w:i/>
          <w:iCs/>
          <w:sz w:val="22"/>
          <w:szCs w:val="22"/>
        </w:rPr>
        <w:t>International Journal of Organizational Analysis</w:t>
      </w:r>
      <w:r w:rsidRPr="00111992">
        <w:rPr>
          <w:sz w:val="22"/>
          <w:szCs w:val="22"/>
        </w:rPr>
        <w:t xml:space="preserve">, 30(2), pp. 568–588. Available at: https://doi.org/10.1108/ijoa-05-2020-2184. </w:t>
      </w:r>
    </w:p>
    <w:p w:rsidR="00CE043B" w:rsidRPr="00111992" w:rsidRDefault="00DC1CFE" w:rsidP="00891507">
      <w:pPr>
        <w:pStyle w:val="a9"/>
        <w:spacing w:line="360" w:lineRule="auto"/>
        <w:ind w:left="567" w:hanging="567"/>
        <w:rPr>
          <w:sz w:val="22"/>
          <w:szCs w:val="22"/>
        </w:rPr>
      </w:pPr>
      <w:r w:rsidRPr="00111992">
        <w:rPr>
          <w:sz w:val="22"/>
          <w:szCs w:val="22"/>
        </w:rPr>
        <w:t xml:space="preserve">ETS (2017) </w:t>
      </w:r>
      <w:r w:rsidRPr="00111992">
        <w:rPr>
          <w:i/>
          <w:iCs/>
          <w:sz w:val="22"/>
          <w:szCs w:val="22"/>
        </w:rPr>
        <w:t>Tesco 360 degree feedback case study</w:t>
      </w:r>
      <w:r w:rsidRPr="00111992">
        <w:rPr>
          <w:sz w:val="22"/>
          <w:szCs w:val="22"/>
        </w:rPr>
        <w:t xml:space="preserve">, </w:t>
      </w:r>
      <w:r w:rsidRPr="00111992">
        <w:rPr>
          <w:i/>
          <w:iCs/>
          <w:sz w:val="22"/>
          <w:szCs w:val="22"/>
        </w:rPr>
        <w:t>ETS</w:t>
      </w:r>
      <w:r w:rsidRPr="00111992">
        <w:rPr>
          <w:sz w:val="22"/>
          <w:szCs w:val="22"/>
        </w:rPr>
        <w:t xml:space="preserve">. Available at: https://www.etsplc.com/case-studies/tesco-360-degree-feedback-case-study (Accessed: March 10, 2023). </w:t>
      </w:r>
    </w:p>
    <w:p w:rsidR="00CE043B" w:rsidRPr="00111992" w:rsidRDefault="00DC1CFE" w:rsidP="00891507">
      <w:pPr>
        <w:pStyle w:val="a9"/>
        <w:spacing w:line="360" w:lineRule="auto"/>
        <w:ind w:left="567" w:hanging="567"/>
        <w:rPr>
          <w:sz w:val="22"/>
          <w:szCs w:val="22"/>
        </w:rPr>
      </w:pPr>
      <w:r w:rsidRPr="00111992">
        <w:rPr>
          <w:sz w:val="22"/>
          <w:szCs w:val="22"/>
        </w:rPr>
        <w:t xml:space="preserve">Forson, J.A. </w:t>
      </w:r>
      <w:r w:rsidRPr="00111992">
        <w:rPr>
          <w:i/>
          <w:iCs/>
          <w:sz w:val="22"/>
          <w:szCs w:val="22"/>
        </w:rPr>
        <w:t>et al.</w:t>
      </w:r>
      <w:r w:rsidRPr="00111992">
        <w:rPr>
          <w:sz w:val="22"/>
          <w:szCs w:val="22"/>
        </w:rPr>
        <w:t xml:space="preserve"> (2020) "Innovation, institutions and economic growth in sub-Saharan africa – an IV estimation of a panel threshold model," </w:t>
      </w:r>
      <w:r w:rsidRPr="00111992">
        <w:rPr>
          <w:i/>
          <w:iCs/>
          <w:sz w:val="22"/>
          <w:szCs w:val="22"/>
        </w:rPr>
        <w:t>Journal of Economic and Administrative Sciences</w:t>
      </w:r>
      <w:r w:rsidRPr="00111992">
        <w:rPr>
          <w:sz w:val="22"/>
          <w:szCs w:val="22"/>
        </w:rPr>
        <w:t xml:space="preserve">, 37(3), pp. 291–318. Available at: https://doi.org/10.1108/jeas-11-2019-0127. </w:t>
      </w:r>
    </w:p>
    <w:p w:rsidR="00CE043B" w:rsidRPr="00111992" w:rsidRDefault="00DC1CFE" w:rsidP="00891507">
      <w:pPr>
        <w:pStyle w:val="a9"/>
        <w:spacing w:line="360" w:lineRule="auto"/>
        <w:ind w:left="567" w:hanging="567"/>
        <w:rPr>
          <w:sz w:val="22"/>
          <w:szCs w:val="22"/>
        </w:rPr>
      </w:pPr>
      <w:r w:rsidRPr="00111992">
        <w:rPr>
          <w:sz w:val="22"/>
          <w:szCs w:val="22"/>
        </w:rPr>
        <w:t xml:space="preserve">Forson, J.A. </w:t>
      </w:r>
      <w:r w:rsidRPr="00111992">
        <w:rPr>
          <w:i/>
          <w:iCs/>
          <w:sz w:val="22"/>
          <w:szCs w:val="22"/>
        </w:rPr>
        <w:t>et al.</w:t>
      </w:r>
      <w:r w:rsidRPr="00111992">
        <w:rPr>
          <w:sz w:val="22"/>
          <w:szCs w:val="22"/>
        </w:rPr>
        <w:t xml:space="preserve"> (2021) "Employee motivation and job performance: A study of basic school teachers in Ghana," </w:t>
      </w:r>
      <w:r w:rsidRPr="00111992">
        <w:rPr>
          <w:i/>
          <w:iCs/>
          <w:sz w:val="22"/>
          <w:szCs w:val="22"/>
        </w:rPr>
        <w:t>Future Business Journal</w:t>
      </w:r>
      <w:r w:rsidRPr="00111992">
        <w:rPr>
          <w:sz w:val="22"/>
          <w:szCs w:val="22"/>
        </w:rPr>
        <w:t xml:space="preserve">, 7(1). Available at: https://doi.org/10.1186/s43093-021-00077-6. </w:t>
      </w:r>
    </w:p>
    <w:p w:rsidR="00CE043B" w:rsidRPr="00111992" w:rsidRDefault="00DC1CFE" w:rsidP="00891507">
      <w:pPr>
        <w:pStyle w:val="a9"/>
        <w:spacing w:line="360" w:lineRule="auto"/>
        <w:ind w:left="567" w:hanging="567"/>
        <w:rPr>
          <w:sz w:val="22"/>
          <w:szCs w:val="22"/>
        </w:rPr>
      </w:pPr>
      <w:r w:rsidRPr="00111992">
        <w:rPr>
          <w:sz w:val="22"/>
          <w:szCs w:val="22"/>
        </w:rPr>
        <w:t xml:space="preserve">Ghrmay, T.M. (2017) "Tesco: Losing ground in the U.K.," </w:t>
      </w:r>
      <w:r w:rsidRPr="00111992">
        <w:rPr>
          <w:i/>
          <w:iCs/>
          <w:sz w:val="22"/>
          <w:szCs w:val="22"/>
        </w:rPr>
        <w:t>European Journal of Business and Management</w:t>
      </w:r>
      <w:r w:rsidRPr="00111992">
        <w:rPr>
          <w:sz w:val="22"/>
          <w:szCs w:val="22"/>
        </w:rPr>
        <w:t xml:space="preserve">, pp. 239–254. Available at: https://doi.org/10.4324/9781315745565-28. </w:t>
      </w:r>
    </w:p>
    <w:p w:rsidR="00CE043B" w:rsidRPr="00111992" w:rsidRDefault="00DC1CFE" w:rsidP="00891507">
      <w:pPr>
        <w:pStyle w:val="a9"/>
        <w:spacing w:line="360" w:lineRule="auto"/>
        <w:ind w:left="567" w:hanging="567"/>
        <w:rPr>
          <w:sz w:val="22"/>
          <w:szCs w:val="22"/>
        </w:rPr>
      </w:pPr>
      <w:r w:rsidRPr="00111992">
        <w:rPr>
          <w:sz w:val="22"/>
          <w:szCs w:val="22"/>
        </w:rPr>
        <w:t>Kandpal, J., Baroda, D.S. and Sharma, C. (2018) “</w:t>
      </w:r>
      <w:r w:rsidRPr="00111992">
        <w:rPr>
          <w:sz w:val="22"/>
          <w:szCs w:val="22"/>
          <w:lang w:val="en-US"/>
        </w:rPr>
        <w:t>360-degree</w:t>
      </w:r>
      <w:r w:rsidRPr="00111992">
        <w:rPr>
          <w:sz w:val="22"/>
          <w:szCs w:val="22"/>
        </w:rPr>
        <w:t xml:space="preserve"> feedback appraisals- an innovative approach of Performance Management System,” </w:t>
      </w:r>
      <w:r w:rsidRPr="00111992">
        <w:rPr>
          <w:i/>
          <w:iCs/>
          <w:sz w:val="22"/>
          <w:szCs w:val="22"/>
        </w:rPr>
        <w:t>INTERNATIONAL JOURNAL OF MANAGEMENT &amp; INFORMATION TECHNOLOGY</w:t>
      </w:r>
      <w:r w:rsidRPr="00111992">
        <w:rPr>
          <w:sz w:val="22"/>
          <w:szCs w:val="22"/>
        </w:rPr>
        <w:t xml:space="preserve">, 1(2), pp. 53–66. Available at: https://doi.org/10.24297/ijmit.v1i2.1447. </w:t>
      </w:r>
    </w:p>
    <w:p w:rsidR="00CE043B" w:rsidRPr="00111992" w:rsidRDefault="00DC1CFE" w:rsidP="00891507">
      <w:pPr>
        <w:pStyle w:val="a9"/>
        <w:spacing w:line="360" w:lineRule="auto"/>
        <w:ind w:left="567" w:hanging="567"/>
        <w:rPr>
          <w:sz w:val="22"/>
          <w:szCs w:val="22"/>
        </w:rPr>
      </w:pPr>
      <w:r w:rsidRPr="00111992">
        <w:rPr>
          <w:sz w:val="22"/>
          <w:szCs w:val="22"/>
        </w:rPr>
        <w:t xml:space="preserve">Kundu, S.C., Kumar, S. and Lata, K. (2019) "Effects of perceived role clarity on innovative work behavior: A multiple mediation model," </w:t>
      </w:r>
      <w:r w:rsidRPr="00111992">
        <w:rPr>
          <w:i/>
          <w:iCs/>
          <w:sz w:val="22"/>
          <w:szCs w:val="22"/>
        </w:rPr>
        <w:t>RAUSP Management Journal</w:t>
      </w:r>
      <w:r w:rsidRPr="00111992">
        <w:rPr>
          <w:sz w:val="22"/>
          <w:szCs w:val="22"/>
        </w:rPr>
        <w:t xml:space="preserve">, 55(4), pp. 457–472. Available at: https://doi.org/10.1108/rausp-04-2019-0056. </w:t>
      </w:r>
    </w:p>
    <w:p w:rsidR="00CE043B" w:rsidRPr="00111992" w:rsidRDefault="00DC1CFE" w:rsidP="00891507">
      <w:pPr>
        <w:pStyle w:val="a9"/>
        <w:spacing w:line="360" w:lineRule="auto"/>
        <w:ind w:left="567" w:hanging="567"/>
        <w:rPr>
          <w:sz w:val="22"/>
          <w:szCs w:val="22"/>
        </w:rPr>
      </w:pPr>
      <w:r w:rsidRPr="00111992">
        <w:rPr>
          <w:sz w:val="22"/>
          <w:szCs w:val="22"/>
        </w:rPr>
        <w:t xml:space="preserve">McLeod, S. (2018) </w:t>
      </w:r>
      <w:r w:rsidRPr="00111992">
        <w:rPr>
          <w:i/>
          <w:iCs/>
          <w:sz w:val="22"/>
          <w:szCs w:val="22"/>
        </w:rPr>
        <w:t xml:space="preserve">Maslow's hierarchy of needs </w:t>
      </w:r>
      <w:r w:rsidRPr="00111992">
        <w:rPr>
          <w:sz w:val="22"/>
          <w:szCs w:val="22"/>
        </w:rPr>
        <w:t xml:space="preserve">, </w:t>
      </w:r>
      <w:r w:rsidRPr="00111992">
        <w:rPr>
          <w:i/>
          <w:iCs/>
          <w:sz w:val="22"/>
          <w:szCs w:val="22"/>
        </w:rPr>
        <w:t>Cañada College</w:t>
      </w:r>
      <w:r w:rsidRPr="00111992">
        <w:rPr>
          <w:sz w:val="22"/>
          <w:szCs w:val="22"/>
        </w:rPr>
        <w:t xml:space="preserve">. Available at: https://canadacollege.edu/dreamers/docs/Maslows-Hierarchy-of-Needs.pdf (Accessed: March 23, 2023). </w:t>
      </w:r>
    </w:p>
    <w:p w:rsidR="00CE043B" w:rsidRPr="00111992" w:rsidRDefault="00DC1CFE" w:rsidP="00891507">
      <w:pPr>
        <w:pStyle w:val="a9"/>
        <w:spacing w:line="360" w:lineRule="auto"/>
        <w:ind w:left="567" w:hanging="567"/>
        <w:rPr>
          <w:sz w:val="22"/>
          <w:szCs w:val="22"/>
        </w:rPr>
      </w:pPr>
      <w:r w:rsidRPr="00111992">
        <w:rPr>
          <w:sz w:val="22"/>
          <w:szCs w:val="22"/>
          <w:shd w:val="clear" w:color="auto" w:fill="FFFFFF"/>
        </w:rPr>
        <w:t>Meyer-Leive, M.</w:t>
      </w:r>
      <w:r w:rsidRPr="00111992">
        <w:rPr>
          <w:sz w:val="22"/>
          <w:szCs w:val="22"/>
          <w:shd w:val="clear" w:color="auto" w:fill="FFFFFF"/>
          <w:lang w:val="en-US"/>
        </w:rPr>
        <w:t xml:space="preserve"> (</w:t>
      </w:r>
      <w:r w:rsidRPr="00111992">
        <w:rPr>
          <w:sz w:val="22"/>
          <w:szCs w:val="22"/>
          <w:shd w:val="clear" w:color="auto" w:fill="FFFFFF"/>
        </w:rPr>
        <w:t>2022</w:t>
      </w:r>
      <w:r w:rsidRPr="00111992">
        <w:rPr>
          <w:sz w:val="22"/>
          <w:szCs w:val="22"/>
          <w:shd w:val="clear" w:color="auto" w:fill="FFFFFF"/>
          <w:lang w:val="en-US"/>
        </w:rPr>
        <w:t>)</w:t>
      </w:r>
      <w:r w:rsidRPr="00111992">
        <w:rPr>
          <w:sz w:val="22"/>
          <w:szCs w:val="22"/>
          <w:shd w:val="clear" w:color="auto" w:fill="FFFFFF"/>
        </w:rPr>
        <w:t> </w:t>
      </w:r>
      <w:r w:rsidRPr="00111992">
        <w:rPr>
          <w:i/>
          <w:iCs/>
          <w:sz w:val="22"/>
          <w:szCs w:val="22"/>
          <w:shd w:val="clear" w:color="auto" w:fill="FFFFFF"/>
        </w:rPr>
        <w:t>360-degree performance appraisal system with the focus on employee learning and development: A comparison of feedback systems used in organizations and education</w:t>
      </w:r>
      <w:r w:rsidRPr="00111992">
        <w:rPr>
          <w:sz w:val="22"/>
          <w:szCs w:val="22"/>
          <w:shd w:val="clear" w:color="auto" w:fill="FFFFFF"/>
        </w:rPr>
        <w:t> (Bachelor's thesis, University of Twente).</w:t>
      </w:r>
    </w:p>
    <w:p w:rsidR="00CE043B" w:rsidRPr="00111992" w:rsidRDefault="00DC1CFE" w:rsidP="00891507">
      <w:pPr>
        <w:pStyle w:val="a9"/>
        <w:spacing w:line="360" w:lineRule="auto"/>
        <w:ind w:left="567" w:hanging="567"/>
        <w:rPr>
          <w:sz w:val="22"/>
          <w:szCs w:val="22"/>
          <w:shd w:val="clear" w:color="auto" w:fill="FFFFFF"/>
        </w:rPr>
      </w:pPr>
      <w:r w:rsidRPr="00111992">
        <w:rPr>
          <w:sz w:val="22"/>
          <w:szCs w:val="22"/>
          <w:shd w:val="clear" w:color="auto" w:fill="FFFFFF"/>
        </w:rPr>
        <w:t xml:space="preserve">Mukhopadhyay, K. </w:t>
      </w:r>
      <w:r w:rsidRPr="00111992">
        <w:rPr>
          <w:sz w:val="22"/>
          <w:szCs w:val="22"/>
          <w:shd w:val="clear" w:color="auto" w:fill="FFFFFF"/>
          <w:lang w:val="en-US"/>
        </w:rPr>
        <w:t>(</w:t>
      </w:r>
      <w:r w:rsidRPr="00111992">
        <w:rPr>
          <w:sz w:val="22"/>
          <w:szCs w:val="22"/>
          <w:shd w:val="clear" w:color="auto" w:fill="FFFFFF"/>
        </w:rPr>
        <w:t>2016</w:t>
      </w:r>
      <w:r w:rsidRPr="00111992">
        <w:rPr>
          <w:sz w:val="22"/>
          <w:szCs w:val="22"/>
          <w:shd w:val="clear" w:color="auto" w:fill="FFFFFF"/>
          <w:lang w:val="en-US"/>
        </w:rPr>
        <w:t xml:space="preserve">) </w:t>
      </w:r>
      <w:r w:rsidRPr="00111992">
        <w:rPr>
          <w:sz w:val="22"/>
          <w:szCs w:val="22"/>
          <w:shd w:val="clear" w:color="auto" w:fill="FFFFFF"/>
        </w:rPr>
        <w:t>360-degree appraisal–A performance assessment tool. </w:t>
      </w:r>
      <w:r w:rsidRPr="00111992">
        <w:rPr>
          <w:i/>
          <w:iCs/>
          <w:sz w:val="22"/>
          <w:szCs w:val="22"/>
          <w:shd w:val="clear" w:color="auto" w:fill="FFFFFF"/>
        </w:rPr>
        <w:t>Researchgate, Kolkata</w:t>
      </w:r>
      <w:r w:rsidRPr="00111992">
        <w:rPr>
          <w:sz w:val="22"/>
          <w:szCs w:val="22"/>
          <w:shd w:val="clear" w:color="auto" w:fill="FFFFFF"/>
        </w:rPr>
        <w:t>.</w:t>
      </w:r>
    </w:p>
    <w:p w:rsidR="00CE043B" w:rsidRPr="00111992" w:rsidRDefault="00DC1CFE" w:rsidP="00891507">
      <w:pPr>
        <w:pStyle w:val="a9"/>
        <w:spacing w:line="360" w:lineRule="auto"/>
        <w:ind w:left="567" w:hanging="567"/>
        <w:rPr>
          <w:sz w:val="22"/>
          <w:szCs w:val="22"/>
        </w:rPr>
      </w:pPr>
      <w:r w:rsidRPr="00111992">
        <w:rPr>
          <w:sz w:val="22"/>
          <w:szCs w:val="22"/>
        </w:rPr>
        <w:t xml:space="preserve">Murray, N. (2018) </w:t>
      </w:r>
      <w:r w:rsidRPr="00111992">
        <w:rPr>
          <w:i/>
          <w:iCs/>
          <w:sz w:val="22"/>
          <w:szCs w:val="22"/>
        </w:rPr>
        <w:t>Poorly-implemented performance management will cost your organisation.</w:t>
      </w:r>
      <w:r w:rsidRPr="00111992">
        <w:rPr>
          <w:sz w:val="22"/>
          <w:szCs w:val="22"/>
        </w:rPr>
        <w:t xml:space="preserve">, </w:t>
      </w:r>
      <w:r w:rsidRPr="00111992">
        <w:rPr>
          <w:i/>
          <w:iCs/>
          <w:sz w:val="22"/>
          <w:szCs w:val="22"/>
        </w:rPr>
        <w:t>LinkedIn</w:t>
      </w:r>
      <w:r w:rsidRPr="00111992">
        <w:rPr>
          <w:sz w:val="22"/>
          <w:szCs w:val="22"/>
        </w:rPr>
        <w:t xml:space="preserve">. Available at: https://www.linkedin.com/pulse/poorly-implemented-performance-management-cost-your-norman-murray (Accessed: February 19, 2023). </w:t>
      </w:r>
    </w:p>
    <w:p w:rsidR="00CE043B" w:rsidRPr="00111992" w:rsidRDefault="00DC1CFE" w:rsidP="00891507">
      <w:pPr>
        <w:pStyle w:val="a9"/>
        <w:spacing w:line="360" w:lineRule="auto"/>
        <w:ind w:left="567" w:hanging="567"/>
        <w:rPr>
          <w:sz w:val="22"/>
          <w:szCs w:val="22"/>
          <w:shd w:val="clear" w:color="auto" w:fill="FFFFFF"/>
        </w:rPr>
      </w:pPr>
      <w:r w:rsidRPr="00111992">
        <w:rPr>
          <w:sz w:val="22"/>
          <w:szCs w:val="22"/>
          <w:shd w:val="clear" w:color="auto" w:fill="FFFFFF"/>
        </w:rPr>
        <w:lastRenderedPageBreak/>
        <w:t xml:space="preserve">Nduati, M.M. and Wanyoike, R. </w:t>
      </w:r>
      <w:r w:rsidRPr="00111992">
        <w:rPr>
          <w:sz w:val="22"/>
          <w:szCs w:val="22"/>
          <w:shd w:val="clear" w:color="auto" w:fill="FFFFFF"/>
          <w:lang w:val="en-US"/>
        </w:rPr>
        <w:t>(</w:t>
      </w:r>
      <w:r w:rsidRPr="00111992">
        <w:rPr>
          <w:sz w:val="22"/>
          <w:szCs w:val="22"/>
          <w:shd w:val="clear" w:color="auto" w:fill="FFFFFF"/>
        </w:rPr>
        <w:t>2022</w:t>
      </w:r>
      <w:r w:rsidRPr="00111992">
        <w:rPr>
          <w:sz w:val="22"/>
          <w:szCs w:val="22"/>
          <w:shd w:val="clear" w:color="auto" w:fill="FFFFFF"/>
          <w:lang w:val="en-US"/>
        </w:rPr>
        <w:t>)</w:t>
      </w:r>
      <w:r w:rsidRPr="00111992">
        <w:rPr>
          <w:sz w:val="22"/>
          <w:szCs w:val="22"/>
          <w:shd w:val="clear" w:color="auto" w:fill="FFFFFF"/>
        </w:rPr>
        <w:t xml:space="preserve"> Employee performance management practices and organizational effectiveness. </w:t>
      </w:r>
      <w:r w:rsidRPr="00111992">
        <w:rPr>
          <w:i/>
          <w:iCs/>
          <w:sz w:val="22"/>
          <w:szCs w:val="22"/>
          <w:shd w:val="clear" w:color="auto" w:fill="FFFFFF"/>
        </w:rPr>
        <w:t>Int. Acad. J. Hum. Resour. Bus. Adm</w:t>
      </w:r>
      <w:r w:rsidRPr="00111992">
        <w:rPr>
          <w:sz w:val="22"/>
          <w:szCs w:val="22"/>
          <w:shd w:val="clear" w:color="auto" w:fill="FFFFFF"/>
        </w:rPr>
        <w:t>, </w:t>
      </w:r>
      <w:r w:rsidRPr="00111992">
        <w:rPr>
          <w:i/>
          <w:iCs/>
          <w:sz w:val="22"/>
          <w:szCs w:val="22"/>
          <w:shd w:val="clear" w:color="auto" w:fill="FFFFFF"/>
        </w:rPr>
        <w:t>3</w:t>
      </w:r>
      <w:r w:rsidRPr="00111992">
        <w:rPr>
          <w:sz w:val="22"/>
          <w:szCs w:val="22"/>
          <w:shd w:val="clear" w:color="auto" w:fill="FFFFFF"/>
        </w:rPr>
        <w:t>, pp.361-378.</w:t>
      </w:r>
    </w:p>
    <w:p w:rsidR="00CE043B" w:rsidRPr="00111992" w:rsidRDefault="00DC1CFE" w:rsidP="00891507">
      <w:pPr>
        <w:pStyle w:val="a9"/>
        <w:spacing w:line="360" w:lineRule="auto"/>
        <w:ind w:left="567" w:hanging="567"/>
        <w:rPr>
          <w:sz w:val="22"/>
          <w:szCs w:val="22"/>
          <w:shd w:val="clear" w:color="auto" w:fill="FFFFFF"/>
        </w:rPr>
      </w:pPr>
      <w:r w:rsidRPr="00111992">
        <w:rPr>
          <w:sz w:val="22"/>
          <w:szCs w:val="22"/>
          <w:shd w:val="clear" w:color="auto" w:fill="FFFFFF"/>
        </w:rPr>
        <w:t xml:space="preserve">Ngo Thi Vo, H. </w:t>
      </w:r>
      <w:r w:rsidRPr="00111992">
        <w:rPr>
          <w:sz w:val="22"/>
          <w:szCs w:val="22"/>
          <w:shd w:val="clear" w:color="auto" w:fill="FFFFFF"/>
          <w:lang w:val="en-US"/>
        </w:rPr>
        <w:t>(</w:t>
      </w:r>
      <w:r w:rsidRPr="00111992">
        <w:rPr>
          <w:sz w:val="22"/>
          <w:szCs w:val="22"/>
          <w:shd w:val="clear" w:color="auto" w:fill="FFFFFF"/>
        </w:rPr>
        <w:t>2011</w:t>
      </w:r>
      <w:r w:rsidRPr="00111992">
        <w:rPr>
          <w:sz w:val="22"/>
          <w:szCs w:val="22"/>
          <w:shd w:val="clear" w:color="auto" w:fill="FFFFFF"/>
          <w:lang w:val="en-US"/>
        </w:rPr>
        <w:t>)</w:t>
      </w:r>
      <w:r w:rsidRPr="00111992">
        <w:rPr>
          <w:sz w:val="22"/>
          <w:szCs w:val="22"/>
          <w:shd w:val="clear" w:color="auto" w:fill="FFFFFF"/>
        </w:rPr>
        <w:t xml:space="preserve"> The impact of E-HR on the roles and competencies of HR.</w:t>
      </w:r>
    </w:p>
    <w:p w:rsidR="00CE043B" w:rsidRPr="00111992" w:rsidRDefault="00DC1CFE" w:rsidP="00891507">
      <w:pPr>
        <w:pStyle w:val="a9"/>
        <w:spacing w:line="360" w:lineRule="auto"/>
        <w:ind w:left="567" w:hanging="567"/>
        <w:rPr>
          <w:sz w:val="22"/>
          <w:szCs w:val="22"/>
        </w:rPr>
      </w:pPr>
      <w:r w:rsidRPr="00111992">
        <w:rPr>
          <w:sz w:val="22"/>
          <w:szCs w:val="22"/>
        </w:rPr>
        <w:t xml:space="preserve">O'Donoghue, L. (2021) </w:t>
      </w:r>
      <w:r w:rsidRPr="00111992">
        <w:rPr>
          <w:i/>
          <w:iCs/>
          <w:sz w:val="22"/>
          <w:szCs w:val="22"/>
        </w:rPr>
        <w:t>The david ulrich HR model explained (a 2023 guide)</w:t>
      </w:r>
      <w:r w:rsidRPr="00111992">
        <w:rPr>
          <w:sz w:val="22"/>
          <w:szCs w:val="22"/>
        </w:rPr>
        <w:t xml:space="preserve">, </w:t>
      </w:r>
      <w:r w:rsidRPr="00111992">
        <w:rPr>
          <w:i/>
          <w:iCs/>
          <w:sz w:val="22"/>
          <w:szCs w:val="22"/>
        </w:rPr>
        <w:t>Test Candidates</w:t>
      </w:r>
      <w:r w:rsidRPr="00111992">
        <w:rPr>
          <w:sz w:val="22"/>
          <w:szCs w:val="22"/>
        </w:rPr>
        <w:t xml:space="preserve">. Available at: https://www.testcandidates.com/magazine/the-david-ulrich-hr-model/ (Accessed: March 23, 2023). </w:t>
      </w:r>
    </w:p>
    <w:p w:rsidR="00CE043B" w:rsidRPr="00111992" w:rsidRDefault="00DC1CFE" w:rsidP="00891507">
      <w:pPr>
        <w:pStyle w:val="a9"/>
        <w:spacing w:line="360" w:lineRule="auto"/>
        <w:ind w:left="567" w:hanging="567"/>
        <w:rPr>
          <w:sz w:val="22"/>
          <w:szCs w:val="22"/>
        </w:rPr>
      </w:pPr>
      <w:r w:rsidRPr="00111992">
        <w:rPr>
          <w:sz w:val="22"/>
          <w:szCs w:val="22"/>
        </w:rPr>
        <w:t xml:space="preserve">Quinn, I. (2022) </w:t>
      </w:r>
      <w:r w:rsidRPr="00111992">
        <w:rPr>
          <w:i/>
          <w:iCs/>
          <w:sz w:val="22"/>
          <w:szCs w:val="22"/>
        </w:rPr>
        <w:t>Dave Lewis ditches Tesco Steering Wheel in favour of Big Six</w:t>
      </w:r>
      <w:r w:rsidRPr="00111992">
        <w:rPr>
          <w:sz w:val="22"/>
          <w:szCs w:val="22"/>
        </w:rPr>
        <w:t xml:space="preserve">, </w:t>
      </w:r>
      <w:r w:rsidRPr="00111992">
        <w:rPr>
          <w:i/>
          <w:iCs/>
          <w:sz w:val="22"/>
          <w:szCs w:val="22"/>
        </w:rPr>
        <w:t>The Grocer</w:t>
      </w:r>
      <w:r w:rsidRPr="00111992">
        <w:rPr>
          <w:sz w:val="22"/>
          <w:szCs w:val="22"/>
        </w:rPr>
        <w:t xml:space="preserve">. The Grocer. Available at: https://www.thegrocer.co.uk/supermarkets/dave-lewis-ditches-tesco-steering-wheel-in-favour-of-big-six/517182.article (Accessed: February 18, 2023). </w:t>
      </w:r>
    </w:p>
    <w:p w:rsidR="00CE043B" w:rsidRPr="00111992" w:rsidRDefault="00DC1CFE" w:rsidP="00891507">
      <w:pPr>
        <w:pStyle w:val="a9"/>
        <w:spacing w:line="360" w:lineRule="auto"/>
        <w:ind w:left="567" w:hanging="567"/>
        <w:rPr>
          <w:sz w:val="22"/>
          <w:szCs w:val="22"/>
        </w:rPr>
      </w:pPr>
      <w:r w:rsidRPr="00111992">
        <w:rPr>
          <w:sz w:val="22"/>
          <w:szCs w:val="22"/>
        </w:rPr>
        <w:t xml:space="preserve">Siddiqui, S.T. (2017) “Impact of 360-degree feedback on employee and organization growth: With reference to Higher Education Institutes of Pakistan.,” </w:t>
      </w:r>
      <w:r w:rsidRPr="00111992">
        <w:rPr>
          <w:i/>
          <w:iCs/>
          <w:sz w:val="22"/>
          <w:szCs w:val="22"/>
        </w:rPr>
        <w:t>International Journal of Advanced Research</w:t>
      </w:r>
      <w:r w:rsidRPr="00111992">
        <w:rPr>
          <w:sz w:val="22"/>
          <w:szCs w:val="22"/>
        </w:rPr>
        <w:t xml:space="preserve">, 5(4), pp. 27–32. Available at: https://doi.org/10.21474/ijar01/3778. </w:t>
      </w:r>
    </w:p>
    <w:p w:rsidR="00CE043B" w:rsidRPr="00111992" w:rsidRDefault="00DC1CFE" w:rsidP="00891507">
      <w:pPr>
        <w:pStyle w:val="a9"/>
        <w:spacing w:line="360" w:lineRule="auto"/>
        <w:ind w:left="567" w:hanging="567"/>
        <w:rPr>
          <w:sz w:val="22"/>
          <w:szCs w:val="22"/>
        </w:rPr>
      </w:pPr>
      <w:r w:rsidRPr="00111992">
        <w:rPr>
          <w:sz w:val="22"/>
          <w:szCs w:val="22"/>
        </w:rPr>
        <w:t xml:space="preserve">Simpson, E. (2016) </w:t>
      </w:r>
      <w:r w:rsidRPr="00111992">
        <w:rPr>
          <w:i/>
          <w:iCs/>
          <w:sz w:val="22"/>
          <w:szCs w:val="22"/>
        </w:rPr>
        <w:t>Tesco knowingly delayed payments to suppliers</w:t>
      </w:r>
      <w:r w:rsidRPr="00111992">
        <w:rPr>
          <w:sz w:val="22"/>
          <w:szCs w:val="22"/>
        </w:rPr>
        <w:t xml:space="preserve">, </w:t>
      </w:r>
      <w:r w:rsidRPr="00111992">
        <w:rPr>
          <w:i/>
          <w:iCs/>
          <w:sz w:val="22"/>
          <w:szCs w:val="22"/>
        </w:rPr>
        <w:t>BBC News</w:t>
      </w:r>
      <w:r w:rsidRPr="00111992">
        <w:rPr>
          <w:sz w:val="22"/>
          <w:szCs w:val="22"/>
        </w:rPr>
        <w:t xml:space="preserve">. BBC. Available at: https://www.bbc.com/news/business-35408064 (Accessed: February 19, 2023). </w:t>
      </w:r>
    </w:p>
    <w:p w:rsidR="00CE043B" w:rsidRPr="00111992" w:rsidRDefault="00DC1CFE" w:rsidP="00891507">
      <w:pPr>
        <w:pStyle w:val="a9"/>
        <w:spacing w:line="360" w:lineRule="auto"/>
        <w:ind w:left="567" w:hanging="567"/>
        <w:rPr>
          <w:sz w:val="22"/>
          <w:szCs w:val="22"/>
        </w:rPr>
      </w:pPr>
      <w:r w:rsidRPr="00111992">
        <w:rPr>
          <w:sz w:val="22"/>
          <w:szCs w:val="22"/>
        </w:rPr>
        <w:t xml:space="preserve">Singh, M. (2021) </w:t>
      </w:r>
      <w:r w:rsidRPr="00111992">
        <w:rPr>
          <w:i/>
          <w:iCs/>
          <w:sz w:val="22"/>
          <w:szCs w:val="22"/>
        </w:rPr>
        <w:t>Advantages and disadvantages of 360 degree feedback</w:t>
      </w:r>
      <w:r w:rsidRPr="00111992">
        <w:rPr>
          <w:sz w:val="22"/>
          <w:szCs w:val="22"/>
        </w:rPr>
        <w:t xml:space="preserve">, </w:t>
      </w:r>
      <w:r w:rsidRPr="00111992">
        <w:rPr>
          <w:i/>
          <w:iCs/>
          <w:sz w:val="22"/>
          <w:szCs w:val="22"/>
        </w:rPr>
        <w:t>mettl</w:t>
      </w:r>
      <w:r w:rsidRPr="00111992">
        <w:rPr>
          <w:sz w:val="22"/>
          <w:szCs w:val="22"/>
        </w:rPr>
        <w:t xml:space="preserve">. Available at: https://blog.mettl.com/advantages-disadvantages-of-360-degree-appraisal/ (Accessed: March 10, 2023). </w:t>
      </w:r>
    </w:p>
    <w:p w:rsidR="00CE043B" w:rsidRPr="00111992" w:rsidRDefault="00DC1CFE" w:rsidP="00891507">
      <w:pPr>
        <w:pStyle w:val="a9"/>
        <w:spacing w:line="360" w:lineRule="auto"/>
        <w:ind w:left="567" w:hanging="567"/>
        <w:rPr>
          <w:sz w:val="22"/>
          <w:szCs w:val="22"/>
        </w:rPr>
      </w:pPr>
      <w:r w:rsidRPr="00111992">
        <w:rPr>
          <w:sz w:val="22"/>
          <w:szCs w:val="22"/>
        </w:rPr>
        <w:t xml:space="preserve">Tan, F.Z. and Olaore, G.O. (2021) "Effect of organizational learning and effectiveness on the operations, employees productivity and management performance," </w:t>
      </w:r>
      <w:r w:rsidRPr="00111992">
        <w:rPr>
          <w:i/>
          <w:iCs/>
          <w:sz w:val="22"/>
          <w:szCs w:val="22"/>
        </w:rPr>
        <w:t>Vilakshan - XIMB Journal of Management</w:t>
      </w:r>
      <w:r w:rsidRPr="00111992">
        <w:rPr>
          <w:sz w:val="22"/>
          <w:szCs w:val="22"/>
        </w:rPr>
        <w:t xml:space="preserve">, 19(2), pp. 110–127. Available at: https://doi.org/10.1108/xjm-09-2020-0122. </w:t>
      </w:r>
    </w:p>
    <w:p w:rsidR="00CE043B" w:rsidRPr="00111992" w:rsidRDefault="00DC1CFE" w:rsidP="00891507">
      <w:pPr>
        <w:pStyle w:val="a9"/>
        <w:spacing w:line="360" w:lineRule="auto"/>
        <w:ind w:left="567" w:hanging="567"/>
        <w:rPr>
          <w:sz w:val="22"/>
          <w:szCs w:val="22"/>
        </w:rPr>
      </w:pPr>
      <w:r w:rsidRPr="00111992">
        <w:rPr>
          <w:sz w:val="22"/>
          <w:szCs w:val="22"/>
        </w:rPr>
        <w:t xml:space="preserve">Tesco PLC (n.d.) </w:t>
      </w:r>
      <w:r w:rsidRPr="00111992">
        <w:rPr>
          <w:i/>
          <w:iCs/>
          <w:sz w:val="22"/>
          <w:szCs w:val="22"/>
        </w:rPr>
        <w:t>About</w:t>
      </w:r>
      <w:r w:rsidRPr="00111992">
        <w:rPr>
          <w:sz w:val="22"/>
          <w:szCs w:val="22"/>
        </w:rPr>
        <w:t xml:space="preserve">, </w:t>
      </w:r>
      <w:r w:rsidRPr="00111992">
        <w:rPr>
          <w:i/>
          <w:iCs/>
          <w:sz w:val="22"/>
          <w:szCs w:val="22"/>
        </w:rPr>
        <w:t>Tesco PLC</w:t>
      </w:r>
      <w:r w:rsidRPr="00111992">
        <w:rPr>
          <w:sz w:val="22"/>
          <w:szCs w:val="22"/>
        </w:rPr>
        <w:t xml:space="preserve">. Available at: https://www.tescoplc.com/about/ (Accessed: February 19, 2023). </w:t>
      </w:r>
    </w:p>
    <w:p w:rsidR="00CE043B" w:rsidRPr="00111992" w:rsidRDefault="00DC1CFE" w:rsidP="00891507">
      <w:pPr>
        <w:pStyle w:val="a9"/>
        <w:spacing w:line="360" w:lineRule="auto"/>
        <w:ind w:left="567" w:hanging="567"/>
        <w:rPr>
          <w:sz w:val="22"/>
          <w:szCs w:val="22"/>
        </w:rPr>
      </w:pPr>
      <w:r w:rsidRPr="00111992">
        <w:rPr>
          <w:sz w:val="22"/>
          <w:szCs w:val="22"/>
        </w:rPr>
        <w:t xml:space="preserve">Tesco PLC (2022) </w:t>
      </w:r>
      <w:r w:rsidRPr="00111992">
        <w:rPr>
          <w:i/>
          <w:iCs/>
          <w:sz w:val="22"/>
          <w:szCs w:val="22"/>
        </w:rPr>
        <w:t>Annual report 2022</w:t>
      </w:r>
      <w:r w:rsidRPr="00111992">
        <w:rPr>
          <w:sz w:val="22"/>
          <w:szCs w:val="22"/>
        </w:rPr>
        <w:t xml:space="preserve">, </w:t>
      </w:r>
      <w:r w:rsidRPr="00111992">
        <w:rPr>
          <w:i/>
          <w:iCs/>
          <w:sz w:val="22"/>
          <w:szCs w:val="22"/>
        </w:rPr>
        <w:t>Tesco PLC</w:t>
      </w:r>
      <w:r w:rsidRPr="00111992">
        <w:rPr>
          <w:sz w:val="22"/>
          <w:szCs w:val="22"/>
        </w:rPr>
        <w:t xml:space="preserve">. Available at: https://www.tescoplc.com/investors/reports-results-and-presentations/annual-report-2022/ (Accessed: March 22, 2023). </w:t>
      </w:r>
    </w:p>
    <w:p w:rsidR="00CE043B" w:rsidRPr="00111992" w:rsidRDefault="00DC1CFE" w:rsidP="00891507">
      <w:pPr>
        <w:pStyle w:val="a9"/>
        <w:spacing w:line="360" w:lineRule="auto"/>
        <w:ind w:left="567" w:hanging="567"/>
        <w:rPr>
          <w:sz w:val="22"/>
          <w:szCs w:val="22"/>
        </w:rPr>
      </w:pPr>
      <w:r w:rsidRPr="00111992">
        <w:rPr>
          <w:sz w:val="22"/>
          <w:szCs w:val="22"/>
        </w:rPr>
        <w:t xml:space="preserve">Tesco PLC (n.d.) </w:t>
      </w:r>
      <w:r w:rsidRPr="00111992">
        <w:rPr>
          <w:i/>
          <w:iCs/>
          <w:sz w:val="22"/>
          <w:szCs w:val="22"/>
        </w:rPr>
        <w:t>Our history</w:t>
      </w:r>
      <w:r w:rsidRPr="00111992">
        <w:rPr>
          <w:sz w:val="22"/>
          <w:szCs w:val="22"/>
        </w:rPr>
        <w:t xml:space="preserve">, </w:t>
      </w:r>
      <w:r w:rsidRPr="00111992">
        <w:rPr>
          <w:i/>
          <w:iCs/>
          <w:sz w:val="22"/>
          <w:szCs w:val="22"/>
        </w:rPr>
        <w:t>Tesco PLC</w:t>
      </w:r>
      <w:r w:rsidRPr="00111992">
        <w:rPr>
          <w:sz w:val="22"/>
          <w:szCs w:val="22"/>
        </w:rPr>
        <w:t xml:space="preserve">. Available at: https://www.tescoplc.com/about/our-history/ (Accessed: February 19, 2023). </w:t>
      </w:r>
    </w:p>
    <w:p w:rsidR="00CE043B" w:rsidRPr="00111992" w:rsidRDefault="00DC1CFE" w:rsidP="00891507">
      <w:pPr>
        <w:pStyle w:val="a9"/>
        <w:spacing w:line="360" w:lineRule="auto"/>
        <w:ind w:left="567" w:hanging="567"/>
        <w:rPr>
          <w:sz w:val="22"/>
          <w:szCs w:val="22"/>
        </w:rPr>
      </w:pPr>
      <w:r w:rsidRPr="00111992">
        <w:rPr>
          <w:sz w:val="22"/>
          <w:szCs w:val="22"/>
        </w:rPr>
        <w:t xml:space="preserve">Tesco PLC (n.d.) </w:t>
      </w:r>
      <w:r w:rsidRPr="00111992">
        <w:rPr>
          <w:i/>
          <w:iCs/>
          <w:sz w:val="22"/>
          <w:szCs w:val="22"/>
        </w:rPr>
        <w:t>People | tesco careers</w:t>
      </w:r>
      <w:r w:rsidRPr="00111992">
        <w:rPr>
          <w:sz w:val="22"/>
          <w:szCs w:val="22"/>
        </w:rPr>
        <w:t xml:space="preserve">, </w:t>
      </w:r>
      <w:r w:rsidRPr="00111992">
        <w:rPr>
          <w:i/>
          <w:iCs/>
          <w:sz w:val="22"/>
          <w:szCs w:val="22"/>
        </w:rPr>
        <w:t>Tesco Careeers</w:t>
      </w:r>
      <w:r w:rsidRPr="00111992">
        <w:rPr>
          <w:sz w:val="22"/>
          <w:szCs w:val="22"/>
        </w:rPr>
        <w:t xml:space="preserve">. Available at: https://www.tesco-careers.com/office/corporate-functions/people/ (Accessed: February 19, 2023). </w:t>
      </w:r>
    </w:p>
    <w:p w:rsidR="00CE043B" w:rsidRPr="00111992" w:rsidRDefault="00DC1CFE" w:rsidP="00891507">
      <w:pPr>
        <w:pStyle w:val="a9"/>
        <w:spacing w:line="360" w:lineRule="auto"/>
        <w:ind w:left="567" w:hanging="567"/>
        <w:rPr>
          <w:sz w:val="22"/>
          <w:szCs w:val="22"/>
        </w:rPr>
      </w:pPr>
      <w:r w:rsidRPr="00111992">
        <w:rPr>
          <w:sz w:val="22"/>
          <w:szCs w:val="22"/>
        </w:rPr>
        <w:lastRenderedPageBreak/>
        <w:t xml:space="preserve">Thakur, S. (2022) </w:t>
      </w:r>
      <w:r w:rsidRPr="00111992">
        <w:rPr>
          <w:i/>
          <w:iCs/>
          <w:sz w:val="22"/>
          <w:szCs w:val="22"/>
        </w:rPr>
        <w:t>Harvard model of HRM: Complete detail with diagram</w:t>
      </w:r>
      <w:r w:rsidRPr="00111992">
        <w:rPr>
          <w:sz w:val="22"/>
          <w:szCs w:val="22"/>
        </w:rPr>
        <w:t xml:space="preserve">, </w:t>
      </w:r>
      <w:r w:rsidRPr="00111992">
        <w:rPr>
          <w:i/>
          <w:iCs/>
          <w:sz w:val="22"/>
          <w:szCs w:val="22"/>
        </w:rPr>
        <w:t>Huge Reference Manual</w:t>
      </w:r>
      <w:r w:rsidRPr="00111992">
        <w:rPr>
          <w:sz w:val="22"/>
          <w:szCs w:val="22"/>
        </w:rPr>
        <w:t xml:space="preserve">. Available at: https://101hrm.com/harvard-model-of-hrm/ (Accessed: March 23, 2023). </w:t>
      </w:r>
    </w:p>
    <w:p w:rsidR="00CE043B" w:rsidRPr="00111992" w:rsidRDefault="00DC1CFE" w:rsidP="00891507">
      <w:pPr>
        <w:pStyle w:val="a9"/>
        <w:spacing w:line="360" w:lineRule="auto"/>
        <w:ind w:left="567" w:hanging="567"/>
        <w:rPr>
          <w:sz w:val="22"/>
          <w:szCs w:val="22"/>
        </w:rPr>
      </w:pPr>
      <w:r w:rsidRPr="00111992">
        <w:rPr>
          <w:sz w:val="22"/>
          <w:szCs w:val="22"/>
        </w:rPr>
        <w:t xml:space="preserve">U.S. Office of Personnel Management (n.d.) </w:t>
      </w:r>
      <w:r w:rsidRPr="00111992">
        <w:rPr>
          <w:i/>
          <w:iCs/>
          <w:sz w:val="22"/>
          <w:szCs w:val="22"/>
        </w:rPr>
        <w:t>Performance management cycle</w:t>
      </w:r>
      <w:r w:rsidRPr="00111992">
        <w:rPr>
          <w:sz w:val="22"/>
          <w:szCs w:val="22"/>
        </w:rPr>
        <w:t xml:space="preserve">, </w:t>
      </w:r>
      <w:r w:rsidRPr="00111992">
        <w:rPr>
          <w:i/>
          <w:iCs/>
          <w:sz w:val="22"/>
          <w:szCs w:val="22"/>
        </w:rPr>
        <w:t>U.S. Office of Personnel Management</w:t>
      </w:r>
      <w:r w:rsidRPr="00111992">
        <w:rPr>
          <w:sz w:val="22"/>
          <w:szCs w:val="22"/>
        </w:rPr>
        <w:t xml:space="preserve">. Available at: https://www.opm.gov/policy-data-oversight/performance-management/performance-management-cycle/ (Accessed: February 19, 2023). </w:t>
      </w:r>
    </w:p>
    <w:p w:rsidR="00CE043B" w:rsidRPr="00111992" w:rsidRDefault="00DC1CFE" w:rsidP="00891507">
      <w:pPr>
        <w:pStyle w:val="a9"/>
        <w:spacing w:line="360" w:lineRule="auto"/>
        <w:ind w:left="567" w:hanging="567"/>
        <w:rPr>
          <w:sz w:val="22"/>
          <w:szCs w:val="22"/>
        </w:rPr>
      </w:pPr>
      <w:r w:rsidRPr="00111992">
        <w:rPr>
          <w:sz w:val="22"/>
          <w:szCs w:val="22"/>
          <w:shd w:val="clear" w:color="auto" w:fill="FFFFFF"/>
        </w:rPr>
        <w:t>Usrof, H.</w:t>
      </w:r>
      <w:r w:rsidRPr="00111992">
        <w:rPr>
          <w:sz w:val="22"/>
          <w:szCs w:val="22"/>
          <w:shd w:val="clear" w:color="auto" w:fill="FFFFFF"/>
          <w:lang w:val="en-US"/>
        </w:rPr>
        <w:t xml:space="preserve"> (2018) </w:t>
      </w:r>
      <w:r w:rsidRPr="00111992">
        <w:rPr>
          <w:sz w:val="22"/>
          <w:szCs w:val="22"/>
          <w:shd w:val="clear" w:color="auto" w:fill="FFFFFF"/>
        </w:rPr>
        <w:t>The Impact of Developing HRM Harvard Model on Employee’s Attitude, and Skills: A Case of Sharjah Municipality UAE Appraisal.</w:t>
      </w:r>
    </w:p>
    <w:sectPr w:rsidR="00CE043B" w:rsidRPr="00111992" w:rsidSect="00C73A1E">
      <w:headerReference w:type="default" r:id="rId12"/>
      <w:pgSz w:w="11900" w:h="16840"/>
      <w:pgMar w:top="1440" w:right="1800" w:bottom="1440" w:left="1800"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A6A85" w:rsidRDefault="002A6A85">
      <w:pPr>
        <w:spacing w:after="0" w:line="240" w:lineRule="auto"/>
      </w:pPr>
      <w:r>
        <w:separator/>
      </w:r>
    </w:p>
  </w:endnote>
  <w:endnote w:type="continuationSeparator" w:id="0">
    <w:p w:rsidR="002A6A85" w:rsidRDefault="002A6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PingFang SC Regular">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PingFang SC Semi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A6A85" w:rsidRDefault="002A6A85">
      <w:pPr>
        <w:spacing w:after="0" w:line="240" w:lineRule="auto"/>
      </w:pPr>
      <w:r>
        <w:separator/>
      </w:r>
    </w:p>
  </w:footnote>
  <w:footnote w:type="continuationSeparator" w:id="0">
    <w:p w:rsidR="002A6A85" w:rsidRDefault="002A6A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E043B" w:rsidRDefault="00DC1CFE">
    <w:pPr>
      <w:pStyle w:val="a4"/>
      <w:tabs>
        <w:tab w:val="clear" w:pos="9026"/>
        <w:tab w:val="right" w:pos="9000"/>
      </w:tabs>
      <w:jc w:val="right"/>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sidR="00FE60AC">
      <w:rPr>
        <w:rFonts w:ascii="Times New Roman" w:hAnsi="Times New Roman"/>
        <w:noProof/>
      </w:rPr>
      <w:t>18</w:t>
    </w:r>
    <w:r>
      <w:rPr>
        <w:rFonts w:ascii="Times New Roman" w:hAnsi="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44E13"/>
    <w:multiLevelType w:val="hybridMultilevel"/>
    <w:tmpl w:val="0C80CF90"/>
    <w:styleLink w:val="1"/>
    <w:lvl w:ilvl="0" w:tplc="6BB2EFD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B30170E">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CA64043E">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01A8F00E">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C808756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28A628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89F02A6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B59499D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BE0727A">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9453B53"/>
    <w:multiLevelType w:val="hybridMultilevel"/>
    <w:tmpl w:val="05806648"/>
    <w:numStyleLink w:val="2"/>
  </w:abstractNum>
  <w:abstractNum w:abstractNumId="2" w15:restartNumberingAfterBreak="0">
    <w:nsid w:val="0F7E0FB1"/>
    <w:multiLevelType w:val="hybridMultilevel"/>
    <w:tmpl w:val="0C80CF90"/>
    <w:numStyleLink w:val="1"/>
  </w:abstractNum>
  <w:abstractNum w:abstractNumId="3" w15:restartNumberingAfterBreak="0">
    <w:nsid w:val="18134FBC"/>
    <w:multiLevelType w:val="hybridMultilevel"/>
    <w:tmpl w:val="4ADE9E1E"/>
    <w:lvl w:ilvl="0" w:tplc="95D807C6">
      <w:start w:val="1"/>
      <w:numFmt w:val="decimal"/>
      <w:lvlText w:val="%1."/>
      <w:lvlJc w:val="left"/>
      <w:pPr>
        <w:ind w:left="690" w:hanging="330"/>
      </w:pPr>
      <w:rPr>
        <w:rFonts w:hAnsi="Arial Unicode MS"/>
        <w:caps w:val="0"/>
        <w:smallCaps w:val="0"/>
        <w:strike w:val="0"/>
        <w:dstrike w:val="0"/>
        <w:outline w:val="0"/>
        <w:emboss w:val="0"/>
        <w:imprint w:val="0"/>
        <w:spacing w:val="0"/>
        <w:w w:val="100"/>
        <w:kern w:val="0"/>
        <w:position w:val="0"/>
        <w:highlight w:val="none"/>
        <w:vertAlign w:val="baseline"/>
      </w:rPr>
    </w:lvl>
    <w:lvl w:ilvl="1" w:tplc="B6EC1D76">
      <w:start w:val="1"/>
      <w:numFmt w:val="lowerLetter"/>
      <w:lvlText w:val="%2."/>
      <w:lvlJc w:val="left"/>
      <w:pPr>
        <w:ind w:left="1410" w:hanging="330"/>
      </w:pPr>
      <w:rPr>
        <w:rFonts w:hAnsi="Arial Unicode MS"/>
        <w:caps w:val="0"/>
        <w:smallCaps w:val="0"/>
        <w:strike w:val="0"/>
        <w:dstrike w:val="0"/>
        <w:outline w:val="0"/>
        <w:emboss w:val="0"/>
        <w:imprint w:val="0"/>
        <w:spacing w:val="0"/>
        <w:w w:val="100"/>
        <w:kern w:val="0"/>
        <w:position w:val="0"/>
        <w:highlight w:val="none"/>
        <w:vertAlign w:val="baseline"/>
      </w:rPr>
    </w:lvl>
    <w:lvl w:ilvl="2" w:tplc="7F765734">
      <w:start w:val="1"/>
      <w:numFmt w:val="lowerRoman"/>
      <w:lvlText w:val="%3."/>
      <w:lvlJc w:val="left"/>
      <w:pPr>
        <w:ind w:left="2135" w:hanging="275"/>
      </w:pPr>
      <w:rPr>
        <w:rFonts w:hAnsi="Arial Unicode MS"/>
        <w:caps w:val="0"/>
        <w:smallCaps w:val="0"/>
        <w:strike w:val="0"/>
        <w:dstrike w:val="0"/>
        <w:outline w:val="0"/>
        <w:emboss w:val="0"/>
        <w:imprint w:val="0"/>
        <w:spacing w:val="0"/>
        <w:w w:val="100"/>
        <w:kern w:val="0"/>
        <w:position w:val="0"/>
        <w:highlight w:val="none"/>
        <w:vertAlign w:val="baseline"/>
      </w:rPr>
    </w:lvl>
    <w:lvl w:ilvl="3" w:tplc="C83E97B2">
      <w:start w:val="1"/>
      <w:numFmt w:val="decimal"/>
      <w:lvlText w:val="%4."/>
      <w:lvlJc w:val="left"/>
      <w:pPr>
        <w:ind w:left="2850" w:hanging="330"/>
      </w:pPr>
      <w:rPr>
        <w:rFonts w:hAnsi="Arial Unicode MS"/>
        <w:caps w:val="0"/>
        <w:smallCaps w:val="0"/>
        <w:strike w:val="0"/>
        <w:dstrike w:val="0"/>
        <w:outline w:val="0"/>
        <w:emboss w:val="0"/>
        <w:imprint w:val="0"/>
        <w:spacing w:val="0"/>
        <w:w w:val="100"/>
        <w:kern w:val="0"/>
        <w:position w:val="0"/>
        <w:highlight w:val="none"/>
        <w:vertAlign w:val="baseline"/>
      </w:rPr>
    </w:lvl>
    <w:lvl w:ilvl="4" w:tplc="105E619E">
      <w:start w:val="1"/>
      <w:numFmt w:val="lowerLetter"/>
      <w:lvlText w:val="%5."/>
      <w:lvlJc w:val="left"/>
      <w:pPr>
        <w:ind w:left="3570" w:hanging="330"/>
      </w:pPr>
      <w:rPr>
        <w:rFonts w:hAnsi="Arial Unicode MS"/>
        <w:caps w:val="0"/>
        <w:smallCaps w:val="0"/>
        <w:strike w:val="0"/>
        <w:dstrike w:val="0"/>
        <w:outline w:val="0"/>
        <w:emboss w:val="0"/>
        <w:imprint w:val="0"/>
        <w:spacing w:val="0"/>
        <w:w w:val="100"/>
        <w:kern w:val="0"/>
        <w:position w:val="0"/>
        <w:highlight w:val="none"/>
        <w:vertAlign w:val="baseline"/>
      </w:rPr>
    </w:lvl>
    <w:lvl w:ilvl="5" w:tplc="62023BA6">
      <w:start w:val="1"/>
      <w:numFmt w:val="lowerRoman"/>
      <w:lvlText w:val="%6."/>
      <w:lvlJc w:val="left"/>
      <w:pPr>
        <w:ind w:left="4295" w:hanging="275"/>
      </w:pPr>
      <w:rPr>
        <w:rFonts w:hAnsi="Arial Unicode MS"/>
        <w:caps w:val="0"/>
        <w:smallCaps w:val="0"/>
        <w:strike w:val="0"/>
        <w:dstrike w:val="0"/>
        <w:outline w:val="0"/>
        <w:emboss w:val="0"/>
        <w:imprint w:val="0"/>
        <w:spacing w:val="0"/>
        <w:w w:val="100"/>
        <w:kern w:val="0"/>
        <w:position w:val="0"/>
        <w:highlight w:val="none"/>
        <w:vertAlign w:val="baseline"/>
      </w:rPr>
    </w:lvl>
    <w:lvl w:ilvl="6" w:tplc="CE308E04">
      <w:start w:val="1"/>
      <w:numFmt w:val="decimal"/>
      <w:lvlText w:val="%7."/>
      <w:lvlJc w:val="left"/>
      <w:pPr>
        <w:ind w:left="5010" w:hanging="330"/>
      </w:pPr>
      <w:rPr>
        <w:rFonts w:hAnsi="Arial Unicode MS"/>
        <w:caps w:val="0"/>
        <w:smallCaps w:val="0"/>
        <w:strike w:val="0"/>
        <w:dstrike w:val="0"/>
        <w:outline w:val="0"/>
        <w:emboss w:val="0"/>
        <w:imprint w:val="0"/>
        <w:spacing w:val="0"/>
        <w:w w:val="100"/>
        <w:kern w:val="0"/>
        <w:position w:val="0"/>
        <w:highlight w:val="none"/>
        <w:vertAlign w:val="baseline"/>
      </w:rPr>
    </w:lvl>
    <w:lvl w:ilvl="7" w:tplc="99BAEAD6">
      <w:start w:val="1"/>
      <w:numFmt w:val="lowerLetter"/>
      <w:lvlText w:val="%8."/>
      <w:lvlJc w:val="left"/>
      <w:pPr>
        <w:ind w:left="5730" w:hanging="330"/>
      </w:pPr>
      <w:rPr>
        <w:rFonts w:hAnsi="Arial Unicode MS"/>
        <w:caps w:val="0"/>
        <w:smallCaps w:val="0"/>
        <w:strike w:val="0"/>
        <w:dstrike w:val="0"/>
        <w:outline w:val="0"/>
        <w:emboss w:val="0"/>
        <w:imprint w:val="0"/>
        <w:spacing w:val="0"/>
        <w:w w:val="100"/>
        <w:kern w:val="0"/>
        <w:position w:val="0"/>
        <w:highlight w:val="none"/>
        <w:vertAlign w:val="baseline"/>
      </w:rPr>
    </w:lvl>
    <w:lvl w:ilvl="8" w:tplc="9476F296">
      <w:start w:val="1"/>
      <w:numFmt w:val="lowerRoman"/>
      <w:lvlText w:val="%9."/>
      <w:lvlJc w:val="left"/>
      <w:pPr>
        <w:ind w:left="6455" w:hanging="27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63131576"/>
    <w:multiLevelType w:val="hybridMultilevel"/>
    <w:tmpl w:val="05806648"/>
    <w:styleLink w:val="2"/>
    <w:lvl w:ilvl="0" w:tplc="45844DC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A24F41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00C5CB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2D451A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B76F53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26615D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B720B7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47283E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96DDA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791822643">
    <w:abstractNumId w:val="3"/>
  </w:num>
  <w:num w:numId="2" w16cid:durableId="632757186">
    <w:abstractNumId w:val="3"/>
    <w:lvlOverride w:ilvl="0">
      <w:startOverride w:val="2"/>
      <w:lvl w:ilvl="0" w:tplc="95D807C6">
        <w:start w:val="2"/>
        <w:numFmt w:val="decimal"/>
        <w:lvlText w:val="%1."/>
        <w:lvlJc w:val="left"/>
        <w:pPr>
          <w:ind w:left="910" w:hanging="3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6EC1D76">
        <w:start w:val="1"/>
        <w:numFmt w:val="lowerLetter"/>
        <w:lvlText w:val="%2."/>
        <w:lvlJc w:val="left"/>
        <w:pPr>
          <w:ind w:left="1630" w:hanging="3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F765734">
        <w:start w:val="1"/>
        <w:numFmt w:val="lowerRoman"/>
        <w:lvlText w:val="%3."/>
        <w:lvlJc w:val="left"/>
        <w:pPr>
          <w:ind w:left="2355" w:hanging="2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83E97B2">
        <w:start w:val="1"/>
        <w:numFmt w:val="decimal"/>
        <w:lvlText w:val="%4."/>
        <w:lvlJc w:val="left"/>
        <w:pPr>
          <w:ind w:left="3070" w:hanging="3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105E619E">
        <w:start w:val="1"/>
        <w:numFmt w:val="lowerLetter"/>
        <w:lvlText w:val="%5."/>
        <w:lvlJc w:val="left"/>
        <w:pPr>
          <w:ind w:left="3790" w:hanging="3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2023BA6">
        <w:start w:val="1"/>
        <w:numFmt w:val="lowerRoman"/>
        <w:lvlText w:val="%6."/>
        <w:lvlJc w:val="left"/>
        <w:pPr>
          <w:ind w:left="4515" w:hanging="2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E308E04">
        <w:start w:val="1"/>
        <w:numFmt w:val="decimal"/>
        <w:lvlText w:val="%7."/>
        <w:lvlJc w:val="left"/>
        <w:pPr>
          <w:ind w:left="5230" w:hanging="3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9BAEAD6">
        <w:start w:val="1"/>
        <w:numFmt w:val="lowerLetter"/>
        <w:lvlText w:val="%8."/>
        <w:lvlJc w:val="left"/>
        <w:pPr>
          <w:ind w:left="5950" w:hanging="3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476F296">
        <w:start w:val="1"/>
        <w:numFmt w:val="lowerRoman"/>
        <w:lvlText w:val="%9."/>
        <w:lvlJc w:val="left"/>
        <w:pPr>
          <w:ind w:left="6675" w:hanging="27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 w16cid:durableId="534272320">
    <w:abstractNumId w:val="3"/>
    <w:lvlOverride w:ilvl="0">
      <w:startOverride w:val="3"/>
    </w:lvlOverride>
  </w:num>
  <w:num w:numId="4" w16cid:durableId="2060666386">
    <w:abstractNumId w:val="3"/>
    <w:lvlOverride w:ilvl="0">
      <w:startOverride w:val="5"/>
    </w:lvlOverride>
  </w:num>
  <w:num w:numId="5" w16cid:durableId="1841627200">
    <w:abstractNumId w:val="3"/>
    <w:lvlOverride w:ilvl="0">
      <w:startOverride w:val="6"/>
    </w:lvlOverride>
  </w:num>
  <w:num w:numId="6" w16cid:durableId="347367077">
    <w:abstractNumId w:val="3"/>
    <w:lvlOverride w:ilvl="0">
      <w:startOverride w:val="7"/>
    </w:lvlOverride>
  </w:num>
  <w:num w:numId="7" w16cid:durableId="1816413806">
    <w:abstractNumId w:val="3"/>
    <w:lvlOverride w:ilvl="0">
      <w:startOverride w:val="8"/>
    </w:lvlOverride>
  </w:num>
  <w:num w:numId="8" w16cid:durableId="1244679036">
    <w:abstractNumId w:val="3"/>
    <w:lvlOverride w:ilvl="0">
      <w:startOverride w:val="9"/>
    </w:lvlOverride>
  </w:num>
  <w:num w:numId="9" w16cid:durableId="595987270">
    <w:abstractNumId w:val="3"/>
    <w:lvlOverride w:ilvl="0">
      <w:startOverride w:val="10"/>
    </w:lvlOverride>
  </w:num>
  <w:num w:numId="10" w16cid:durableId="879633650">
    <w:abstractNumId w:val="3"/>
    <w:lvlOverride w:ilvl="0">
      <w:startOverride w:val="11"/>
    </w:lvlOverride>
  </w:num>
  <w:num w:numId="11" w16cid:durableId="921834137">
    <w:abstractNumId w:val="0"/>
  </w:num>
  <w:num w:numId="12" w16cid:durableId="1274479047">
    <w:abstractNumId w:val="2"/>
  </w:num>
  <w:num w:numId="13" w16cid:durableId="1507789896">
    <w:abstractNumId w:val="2"/>
    <w:lvlOverride w:ilvl="0">
      <w:startOverride w:val="6"/>
    </w:lvlOverride>
  </w:num>
  <w:num w:numId="14" w16cid:durableId="1754661903">
    <w:abstractNumId w:val="4"/>
  </w:num>
  <w:num w:numId="15" w16cid:durableId="723213373">
    <w:abstractNumId w:val="1"/>
  </w:num>
  <w:num w:numId="16" w16cid:durableId="844129409">
    <w:abstractNumId w:val="2"/>
    <w:lvlOverride w:ilvl="0">
      <w:startOverride w:val="1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043B"/>
    <w:rsid w:val="000C0537"/>
    <w:rsid w:val="00111992"/>
    <w:rsid w:val="00136DB6"/>
    <w:rsid w:val="00195F77"/>
    <w:rsid w:val="00202FC6"/>
    <w:rsid w:val="002521A4"/>
    <w:rsid w:val="00260851"/>
    <w:rsid w:val="002A6A85"/>
    <w:rsid w:val="002B3971"/>
    <w:rsid w:val="002F3D3B"/>
    <w:rsid w:val="003D03D7"/>
    <w:rsid w:val="003D75DB"/>
    <w:rsid w:val="00431351"/>
    <w:rsid w:val="0043304E"/>
    <w:rsid w:val="00465B40"/>
    <w:rsid w:val="004846AC"/>
    <w:rsid w:val="0049204B"/>
    <w:rsid w:val="004A5BD3"/>
    <w:rsid w:val="004A7C7A"/>
    <w:rsid w:val="004F1B14"/>
    <w:rsid w:val="004F35DB"/>
    <w:rsid w:val="00524EA1"/>
    <w:rsid w:val="00533DE1"/>
    <w:rsid w:val="0053495F"/>
    <w:rsid w:val="0056013D"/>
    <w:rsid w:val="00582370"/>
    <w:rsid w:val="0059338E"/>
    <w:rsid w:val="00631B0A"/>
    <w:rsid w:val="00667BB7"/>
    <w:rsid w:val="006C2E58"/>
    <w:rsid w:val="00701334"/>
    <w:rsid w:val="007213B2"/>
    <w:rsid w:val="007355F5"/>
    <w:rsid w:val="00776C00"/>
    <w:rsid w:val="007A241B"/>
    <w:rsid w:val="007F2D00"/>
    <w:rsid w:val="007F4B0E"/>
    <w:rsid w:val="007F5782"/>
    <w:rsid w:val="00816E19"/>
    <w:rsid w:val="0082372B"/>
    <w:rsid w:val="00845051"/>
    <w:rsid w:val="008624D2"/>
    <w:rsid w:val="0086464F"/>
    <w:rsid w:val="00891507"/>
    <w:rsid w:val="00963704"/>
    <w:rsid w:val="00995393"/>
    <w:rsid w:val="009F6806"/>
    <w:rsid w:val="00A22BA3"/>
    <w:rsid w:val="00A23061"/>
    <w:rsid w:val="00AC4CDC"/>
    <w:rsid w:val="00AD6FD1"/>
    <w:rsid w:val="00AF3A13"/>
    <w:rsid w:val="00B066C6"/>
    <w:rsid w:val="00B3364E"/>
    <w:rsid w:val="00B37207"/>
    <w:rsid w:val="00B84673"/>
    <w:rsid w:val="00B85ED8"/>
    <w:rsid w:val="00BD04E4"/>
    <w:rsid w:val="00C26295"/>
    <w:rsid w:val="00C41426"/>
    <w:rsid w:val="00C463E2"/>
    <w:rsid w:val="00C64C2C"/>
    <w:rsid w:val="00C73A1E"/>
    <w:rsid w:val="00CC6B5D"/>
    <w:rsid w:val="00CE043B"/>
    <w:rsid w:val="00D26A70"/>
    <w:rsid w:val="00D4139B"/>
    <w:rsid w:val="00D60A82"/>
    <w:rsid w:val="00DC1CFE"/>
    <w:rsid w:val="00DD57E5"/>
    <w:rsid w:val="00E03000"/>
    <w:rsid w:val="00E107EE"/>
    <w:rsid w:val="00E45CDE"/>
    <w:rsid w:val="00E54BCF"/>
    <w:rsid w:val="00EF3719"/>
    <w:rsid w:val="00F72F26"/>
    <w:rsid w:val="00F9023B"/>
    <w:rsid w:val="00FB0593"/>
    <w:rsid w:val="00FE60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8D4E2"/>
  <w15:docId w15:val="{D79FACC2-5400-4F37-B388-87A8C891D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pacing w:after="160" w:line="259" w:lineRule="auto"/>
    </w:pPr>
    <w:rPr>
      <w:rFonts w:ascii="Calibri" w:eastAsia="Arial Unicode MS" w:hAnsi="Calibri" w:cs="Arial Unicode MS"/>
      <w:color w:val="000000"/>
      <w:kern w:val="2"/>
      <w:sz w:val="22"/>
      <w:szCs w:val="22"/>
      <w:u w:color="000000"/>
      <w14:textOutline w14:w="0" w14:cap="flat" w14:cmpd="sng" w14:algn="ctr">
        <w14:noFill/>
        <w14:prstDash w14:val="solid"/>
        <w14:bevel/>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4">
    <w:name w:val="header"/>
    <w:pPr>
      <w:tabs>
        <w:tab w:val="center" w:pos="4513"/>
        <w:tab w:val="right" w:pos="9026"/>
      </w:tabs>
    </w:pPr>
    <w:rPr>
      <w:rFonts w:ascii="Calibri" w:eastAsia="Arial Unicode MS" w:hAnsi="Calibri" w:cs="Arial Unicode MS"/>
      <w:color w:val="000000"/>
      <w:kern w:val="2"/>
      <w:sz w:val="22"/>
      <w:szCs w:val="22"/>
      <w:u w:color="000000"/>
    </w:rPr>
  </w:style>
  <w:style w:type="paragraph" w:customStyle="1" w:styleId="a5">
    <w:name w:val="页眉与页脚"/>
    <w:pPr>
      <w:tabs>
        <w:tab w:val="right" w:pos="9020"/>
      </w:tabs>
    </w:pPr>
    <w:rPr>
      <w:rFonts w:ascii="PingFang SC Regular" w:eastAsia="Arial Unicode MS" w:hAnsi="PingFang SC Regular" w:cs="Arial Unicode MS"/>
      <w:color w:val="000000"/>
      <w:sz w:val="24"/>
      <w:szCs w:val="24"/>
      <w14:textOutline w14:w="0" w14:cap="flat" w14:cmpd="sng" w14:algn="ctr">
        <w14:noFill/>
        <w14:prstDash w14:val="solid"/>
        <w14:bevel/>
      </w14:textOutline>
    </w:rPr>
  </w:style>
  <w:style w:type="paragraph" w:customStyle="1" w:styleId="TOCHeading1">
    <w:name w:val="TOC Heading1"/>
    <w:next w:val="a"/>
    <w:pPr>
      <w:keepNext/>
      <w:keepLines/>
      <w:spacing w:before="240" w:line="259" w:lineRule="auto"/>
    </w:pPr>
    <w:rPr>
      <w:rFonts w:ascii="Calibri Light" w:eastAsia="Arial Unicode MS" w:hAnsi="Calibri Light" w:cs="Arial Unicode MS"/>
      <w:color w:val="2F5496"/>
      <w:sz w:val="32"/>
      <w:szCs w:val="32"/>
      <w:u w:color="2F5496"/>
    </w:rPr>
  </w:style>
  <w:style w:type="paragraph" w:styleId="TOC1">
    <w:name w:val="toc 1"/>
    <w:pPr>
      <w:tabs>
        <w:tab w:val="left" w:pos="440"/>
        <w:tab w:val="right" w:leader="dot" w:pos="9000"/>
      </w:tabs>
      <w:spacing w:after="100" w:line="360" w:lineRule="auto"/>
    </w:pPr>
    <w:rPr>
      <w:rFonts w:ascii="Calibri" w:eastAsia="Calibri" w:hAnsi="Calibri" w:cs="Calibri"/>
      <w:color w:val="000000"/>
      <w:kern w:val="2"/>
      <w:sz w:val="22"/>
      <w:szCs w:val="22"/>
      <w:u w:color="000000"/>
    </w:rPr>
  </w:style>
  <w:style w:type="paragraph" w:customStyle="1" w:styleId="a6">
    <w:name w:val="小标题"/>
    <w:next w:val="a"/>
    <w:pPr>
      <w:keepNext/>
      <w:keepLines/>
      <w:spacing w:before="240" w:line="259" w:lineRule="auto"/>
      <w:outlineLvl w:val="0"/>
    </w:pPr>
    <w:rPr>
      <w:rFonts w:ascii="Calibri Light" w:eastAsia="Calibri Light" w:hAnsi="Calibri Light" w:cs="Calibri Light"/>
      <w:color w:val="2F5496"/>
      <w:kern w:val="2"/>
      <w:sz w:val="32"/>
      <w:szCs w:val="32"/>
      <w:u w:color="2F5496"/>
      <w14:textOutline w14:w="0" w14:cap="flat" w14:cmpd="sng" w14:algn="ctr">
        <w14:noFill/>
        <w14:prstDash w14:val="solid"/>
        <w14:bevel/>
      </w14:textOutline>
    </w:rPr>
  </w:style>
  <w:style w:type="paragraph" w:styleId="TOC2">
    <w:name w:val="toc 2"/>
    <w:pPr>
      <w:tabs>
        <w:tab w:val="left" w:pos="660"/>
        <w:tab w:val="right" w:leader="dot" w:pos="9000"/>
      </w:tabs>
      <w:spacing w:after="100" w:line="259" w:lineRule="auto"/>
      <w:ind w:left="220"/>
    </w:pPr>
    <w:rPr>
      <w:rFonts w:ascii="Calibri" w:eastAsia="Calibri" w:hAnsi="Calibri" w:cs="Calibri"/>
      <w:color w:val="000000"/>
      <w:kern w:val="2"/>
      <w:sz w:val="22"/>
      <w:szCs w:val="22"/>
      <w:u w:color="000000"/>
    </w:rPr>
  </w:style>
  <w:style w:type="paragraph" w:customStyle="1" w:styleId="20">
    <w:name w:val="小标题 2"/>
    <w:next w:val="a"/>
    <w:pPr>
      <w:keepNext/>
      <w:keepLines/>
      <w:spacing w:before="40" w:line="259" w:lineRule="auto"/>
      <w:outlineLvl w:val="1"/>
    </w:pPr>
    <w:rPr>
      <w:rFonts w:ascii="Calibri Light" w:eastAsia="Calibri Light" w:hAnsi="Calibri Light" w:cs="Calibri Light"/>
      <w:color w:val="2F5496"/>
      <w:kern w:val="2"/>
      <w:sz w:val="26"/>
      <w:szCs w:val="26"/>
      <w:u w:color="2F5496"/>
      <w14:textOutline w14:w="0" w14:cap="flat" w14:cmpd="sng" w14:algn="ctr">
        <w14:noFill/>
        <w14:prstDash w14:val="solid"/>
        <w14:bevel/>
      </w14:textOutline>
    </w:rPr>
  </w:style>
  <w:style w:type="numbering" w:customStyle="1" w:styleId="1">
    <w:name w:val="已导入的样式“1”"/>
    <w:pPr>
      <w:numPr>
        <w:numId w:val="11"/>
      </w:numPr>
    </w:pPr>
  </w:style>
  <w:style w:type="character" w:customStyle="1" w:styleId="a7">
    <w:name w:val="链接"/>
    <w:rPr>
      <w:outline w:val="0"/>
      <w:color w:val="0563C1"/>
      <w:u w:val="single" w:color="0563C1"/>
    </w:rPr>
  </w:style>
  <w:style w:type="character" w:customStyle="1" w:styleId="Hyperlink0">
    <w:name w:val="Hyperlink.0"/>
    <w:basedOn w:val="a7"/>
    <w:rPr>
      <w:rFonts w:ascii="Times New Roman" w:eastAsia="Times New Roman" w:hAnsi="Times New Roman" w:cs="Times New Roman"/>
      <w:outline w:val="0"/>
      <w:color w:val="000000"/>
      <w:sz w:val="24"/>
      <w:szCs w:val="24"/>
      <w:u w:val="single" w:color="000000"/>
    </w:rPr>
  </w:style>
  <w:style w:type="paragraph" w:styleId="a8">
    <w:name w:val="List Paragraph"/>
    <w:pPr>
      <w:spacing w:after="160" w:line="259" w:lineRule="auto"/>
      <w:ind w:left="720"/>
    </w:pPr>
    <w:rPr>
      <w:rFonts w:ascii="Calibri" w:eastAsia="Arial Unicode MS" w:hAnsi="Calibri" w:cs="Arial Unicode MS"/>
      <w:color w:val="000000"/>
      <w:kern w:val="2"/>
      <w:sz w:val="22"/>
      <w:szCs w:val="22"/>
      <w:u w:color="000000"/>
    </w:rPr>
  </w:style>
  <w:style w:type="numbering" w:customStyle="1" w:styleId="2">
    <w:name w:val="已导入的样式“2”"/>
    <w:pPr>
      <w:numPr>
        <w:numId w:val="14"/>
      </w:numPr>
    </w:pPr>
  </w:style>
  <w:style w:type="paragraph" w:styleId="a9">
    <w:name w:val="Normal (Web)"/>
    <w:pPr>
      <w:spacing w:before="100" w:after="100"/>
    </w:pPr>
    <w:rPr>
      <w:rFonts w:eastAsia="Times New Roman"/>
      <w:color w:val="000000"/>
      <w:sz w:val="24"/>
      <w:szCs w:val="24"/>
      <w:u w:color="000000"/>
      <w:lang w:val="zh-TW" w:eastAsia="zh-TW"/>
    </w:rPr>
  </w:style>
  <w:style w:type="paragraph" w:styleId="aa">
    <w:name w:val="footer"/>
    <w:basedOn w:val="a"/>
    <w:link w:val="ab"/>
    <w:uiPriority w:val="99"/>
    <w:unhideWhenUsed/>
    <w:rsid w:val="00C73A1E"/>
    <w:pPr>
      <w:tabs>
        <w:tab w:val="center" w:pos="4153"/>
        <w:tab w:val="right" w:pos="8306"/>
      </w:tabs>
      <w:snapToGrid w:val="0"/>
      <w:spacing w:line="240" w:lineRule="auto"/>
    </w:pPr>
    <w:rPr>
      <w:sz w:val="18"/>
      <w:szCs w:val="18"/>
    </w:rPr>
  </w:style>
  <w:style w:type="character" w:customStyle="1" w:styleId="ab">
    <w:name w:val="页脚 字符"/>
    <w:basedOn w:val="a0"/>
    <w:link w:val="aa"/>
    <w:uiPriority w:val="99"/>
    <w:rsid w:val="00C73A1E"/>
    <w:rPr>
      <w:rFonts w:ascii="Calibri" w:eastAsia="Arial Unicode MS" w:hAnsi="Calibri" w:cs="Arial Unicode MS"/>
      <w:color w:val="000000"/>
      <w:kern w:val="2"/>
      <w:sz w:val="18"/>
      <w:szCs w:val="18"/>
      <w:u w:color="000000"/>
      <w14:textOutline w14:w="0" w14:cap="flat" w14:cmpd="sng" w14:algn="ctr">
        <w14:noFill/>
        <w14:prstDash w14:val="solid"/>
        <w14:bevel/>
      </w14:textOutline>
    </w:rPr>
  </w:style>
  <w:style w:type="paragraph" w:styleId="ac">
    <w:name w:val="Body Text"/>
    <w:basedOn w:val="a"/>
    <w:link w:val="ad"/>
    <w:uiPriority w:val="99"/>
    <w:semiHidden/>
    <w:unhideWhenUsed/>
    <w:rsid w:val="00845051"/>
    <w:pPr>
      <w:spacing w:after="120"/>
    </w:pPr>
  </w:style>
  <w:style w:type="character" w:customStyle="1" w:styleId="ad">
    <w:name w:val="正文文本 字符"/>
    <w:basedOn w:val="a0"/>
    <w:link w:val="ac"/>
    <w:uiPriority w:val="99"/>
    <w:semiHidden/>
    <w:rsid w:val="00845051"/>
    <w:rPr>
      <w:rFonts w:ascii="Calibri" w:eastAsia="Arial Unicode MS" w:hAnsi="Calibri" w:cs="Arial Unicode MS"/>
      <w:color w:val="000000"/>
      <w:kern w:val="2"/>
      <w:sz w:val="22"/>
      <w:szCs w:val="22"/>
      <w:u w:color="000000"/>
      <w14:textOutline w14:w="0" w14:cap="flat" w14:cmpd="sng" w14:algn="ctr">
        <w14:noFill/>
        <w14:prstDash w14:val="solid"/>
        <w14:bevel/>
      </w14:textOutline>
    </w:rPr>
  </w:style>
  <w:style w:type="paragraph" w:styleId="ae">
    <w:name w:val="Body Text First Indent"/>
    <w:basedOn w:val="ac"/>
    <w:link w:val="af"/>
    <w:uiPriority w:val="99"/>
    <w:qFormat/>
    <w:rsid w:val="00845051"/>
    <w:pPr>
      <w:pBdr>
        <w:top w:val="none" w:sz="0" w:space="0" w:color="auto"/>
        <w:left w:val="none" w:sz="0" w:space="0" w:color="auto"/>
        <w:bottom w:val="none" w:sz="0" w:space="0" w:color="auto"/>
        <w:right w:val="none" w:sz="0" w:space="0" w:color="auto"/>
        <w:between w:val="none" w:sz="0" w:space="0" w:color="auto"/>
        <w:bar w:val="none" w:sz="0" w:color="auto"/>
      </w:pBdr>
      <w:kinsoku w:val="0"/>
      <w:autoSpaceDE w:val="0"/>
      <w:autoSpaceDN w:val="0"/>
      <w:adjustRightInd w:val="0"/>
      <w:snapToGrid w:val="0"/>
      <w:spacing w:after="0" w:line="240" w:lineRule="auto"/>
      <w:ind w:firstLineChars="100" w:firstLine="420"/>
      <w:textAlignment w:val="baseline"/>
    </w:pPr>
    <w:rPr>
      <w:rFonts w:ascii="宋体" w:eastAsiaTheme="minorEastAsia" w:hAnsi="Times New Roman" w:cs="宋体"/>
      <w:kern w:val="0"/>
      <w:sz w:val="24"/>
      <w:szCs w:val="24"/>
      <w:bdr w:val="none" w:sz="0" w:space="0" w:color="auto"/>
      <w:lang w:val="zh-CN"/>
      <w14:textOutline w14:w="0" w14:cap="rnd" w14:cmpd="sng" w14:algn="ctr">
        <w14:noFill/>
        <w14:prstDash w14:val="solid"/>
        <w14:bevel/>
      </w14:textOutline>
    </w:rPr>
  </w:style>
  <w:style w:type="character" w:customStyle="1" w:styleId="af">
    <w:name w:val="正文文本首行缩进 字符"/>
    <w:basedOn w:val="ad"/>
    <w:link w:val="ae"/>
    <w:uiPriority w:val="99"/>
    <w:rsid w:val="00845051"/>
    <w:rPr>
      <w:rFonts w:ascii="宋体" w:eastAsia="Arial Unicode MS" w:hAnsi="Calibri" w:cs="宋体"/>
      <w:color w:val="000000"/>
      <w:kern w:val="2"/>
      <w:sz w:val="24"/>
      <w:szCs w:val="24"/>
      <w:u w:color="000000"/>
      <w:bdr w:val="none" w:sz="0" w:space="0" w:color="auto"/>
      <w:lang w:val="zh-CN"/>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PingFang SC Semibold"/>
        <a:ea typeface="黑体"/>
        <a:cs typeface="PingFang SC Semibold"/>
      </a:majorFont>
      <a:minorFont>
        <a:latin typeface="PingFang SC Regular"/>
        <a:ea typeface="宋体"/>
        <a:cs typeface="PingFang SC Regular"/>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18</Pages>
  <Words>4504</Words>
  <Characters>25675</Characters>
  <Application>Microsoft Office Word</Application>
  <DocSecurity>0</DocSecurity>
  <Lines>213</Lines>
  <Paragraphs>60</Paragraphs>
  <ScaleCrop>false</ScaleCrop>
  <Company/>
  <LinksUpToDate>false</LinksUpToDate>
  <CharactersWithSpaces>30119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Shenghua Yu</cp:lastModifiedBy>
  <cp:revision>90</cp:revision>
  <dcterms:created xsi:type="dcterms:W3CDTF">2023-03-24T05:21:00Z</dcterms:created>
  <dcterms:modified xsi:type="dcterms:W3CDTF">2023-03-24T08:54:00Z</dcterms:modified>
</cp:coreProperties>
</file>