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4406" w:rsidRPr="00534A20" w:rsidRDefault="00FE4406" w:rsidP="00FE4406">
      <w:pPr>
        <w:rPr>
          <w:rFonts w:ascii="Times New Roman" w:hAnsi="Times New Roman" w:cs="Times New Roman"/>
        </w:rPr>
      </w:pPr>
      <w:r>
        <w:rPr>
          <w:rFonts w:ascii="Times New Roman" w:hAnsi="Times New Roman" w:cs="Times New Roman"/>
          <w:noProof/>
          <w:lang w:eastAsia="en-GB"/>
        </w:rPr>
        <w:drawing>
          <wp:inline distT="0" distB="0" distL="0" distR="0">
            <wp:extent cx="2616835" cy="961390"/>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616835" cy="961390"/>
                    </a:xfrm>
                    <a:prstGeom prst="rect">
                      <a:avLst/>
                    </a:prstGeom>
                    <a:noFill/>
                    <a:ln w="9525">
                      <a:noFill/>
                      <a:miter lim="800000"/>
                      <a:headEnd/>
                      <a:tailEnd/>
                    </a:ln>
                  </pic:spPr>
                </pic:pic>
              </a:graphicData>
            </a:graphic>
          </wp:inline>
        </w:drawing>
      </w:r>
    </w:p>
    <w:p w:rsidR="00FE4406" w:rsidRPr="00534A20" w:rsidRDefault="00FE4406" w:rsidP="00FE4406">
      <w:pPr>
        <w:rPr>
          <w:rFonts w:ascii="Times New Roman" w:hAnsi="Times New Roman" w:cs="Times New Roman"/>
        </w:rPr>
      </w:pPr>
    </w:p>
    <w:p w:rsidR="00FE4406" w:rsidRPr="00534A20" w:rsidRDefault="00FE4406" w:rsidP="00FE4406">
      <w:pPr>
        <w:rPr>
          <w:rFonts w:ascii="Times New Roman" w:hAnsi="Times New Roman" w:cs="Times New Roman"/>
        </w:rPr>
      </w:pPr>
    </w:p>
    <w:p w:rsidR="00FE4406" w:rsidRDefault="00FE4406" w:rsidP="00FE4406">
      <w:pPr>
        <w:rPr>
          <w:rFonts w:ascii="Times New Roman" w:hAnsi="Times New Roman" w:cs="Times New Roman"/>
        </w:rPr>
      </w:pPr>
    </w:p>
    <w:p w:rsidR="00FE4406" w:rsidRDefault="00FE4406" w:rsidP="00FE4406">
      <w:pPr>
        <w:rPr>
          <w:rFonts w:ascii="Times New Roman" w:hAnsi="Times New Roman" w:cs="Times New Roman"/>
        </w:rPr>
      </w:pPr>
    </w:p>
    <w:p w:rsidR="00FE4406" w:rsidRPr="00780CF7" w:rsidRDefault="00FE4406" w:rsidP="00FE4406">
      <w:pPr>
        <w:jc w:val="center"/>
        <w:rPr>
          <w:rFonts w:ascii="Times New Roman" w:hAnsi="Times New Roman" w:cs="Times New Roman"/>
          <w:b/>
          <w:sz w:val="32"/>
          <w:szCs w:val="32"/>
        </w:rPr>
      </w:pPr>
      <w:r w:rsidRPr="00780CF7">
        <w:rPr>
          <w:rFonts w:ascii="Times New Roman" w:hAnsi="Times New Roman" w:cs="Times New Roman"/>
          <w:b/>
          <w:sz w:val="32"/>
          <w:szCs w:val="32"/>
        </w:rPr>
        <w:t>Module</w:t>
      </w:r>
      <w:r w:rsidR="0041172D">
        <w:rPr>
          <w:rFonts w:ascii="Times New Roman" w:hAnsi="Times New Roman" w:cs="Times New Roman"/>
          <w:b/>
          <w:sz w:val="32"/>
          <w:szCs w:val="32"/>
        </w:rPr>
        <w:t xml:space="preserve"> Name</w:t>
      </w:r>
      <w:r w:rsidRPr="00780CF7">
        <w:rPr>
          <w:rFonts w:ascii="Times New Roman" w:hAnsi="Times New Roman" w:cs="Times New Roman"/>
          <w:b/>
          <w:sz w:val="32"/>
          <w:szCs w:val="32"/>
        </w:rPr>
        <w:t xml:space="preserve">: </w:t>
      </w:r>
      <w:r>
        <w:rPr>
          <w:rFonts w:ascii="Times New Roman" w:hAnsi="Times New Roman" w:cs="Times New Roman"/>
          <w:b/>
          <w:sz w:val="32"/>
          <w:szCs w:val="32"/>
        </w:rPr>
        <w:t xml:space="preserve">Marketing Fundamentals </w:t>
      </w:r>
      <w:r w:rsidR="00E54A17" w:rsidRPr="00FE4406">
        <w:rPr>
          <w:rFonts w:ascii="Times New Roman" w:hAnsi="Times New Roman" w:cs="Times New Roman"/>
          <w:b/>
          <w:sz w:val="32"/>
          <w:szCs w:val="32"/>
        </w:rPr>
        <w:t>LCBB4004</w:t>
      </w:r>
    </w:p>
    <w:p w:rsidR="00FE4406" w:rsidRPr="00780CF7" w:rsidRDefault="00FE4406" w:rsidP="00FE4406">
      <w:pPr>
        <w:jc w:val="center"/>
        <w:rPr>
          <w:rFonts w:ascii="Times New Roman" w:hAnsi="Times New Roman" w:cs="Times New Roman"/>
          <w:b/>
          <w:sz w:val="32"/>
          <w:szCs w:val="32"/>
        </w:rPr>
      </w:pPr>
      <w:r w:rsidRPr="00780CF7">
        <w:rPr>
          <w:rFonts w:ascii="Times New Roman" w:hAnsi="Times New Roman" w:cs="Times New Roman"/>
          <w:b/>
          <w:sz w:val="32"/>
          <w:szCs w:val="32"/>
        </w:rPr>
        <w:t xml:space="preserve">Title: </w:t>
      </w:r>
      <w:r w:rsidRPr="00FE4406">
        <w:rPr>
          <w:rFonts w:ascii="Times New Roman" w:hAnsi="Times New Roman" w:cs="Times New Roman"/>
          <w:b/>
          <w:sz w:val="32"/>
          <w:szCs w:val="32"/>
        </w:rPr>
        <w:t>Assessment 2 Marketing Fundamentals Analysis and Evaluati</w:t>
      </w:r>
      <w:r>
        <w:rPr>
          <w:rFonts w:ascii="Times New Roman" w:hAnsi="Times New Roman" w:cs="Times New Roman"/>
          <w:b/>
          <w:sz w:val="32"/>
          <w:szCs w:val="32"/>
        </w:rPr>
        <w:t xml:space="preserve">on </w:t>
      </w:r>
    </w:p>
    <w:p w:rsidR="00FE4406" w:rsidRDefault="00FE4406" w:rsidP="00FE4406">
      <w:pPr>
        <w:rPr>
          <w:rFonts w:ascii="Times New Roman" w:hAnsi="Times New Roman" w:cs="Times New Roman"/>
        </w:rPr>
      </w:pPr>
    </w:p>
    <w:p w:rsidR="00FE4406" w:rsidRDefault="00FE4406" w:rsidP="00FE4406">
      <w:pPr>
        <w:rPr>
          <w:rFonts w:ascii="Times New Roman" w:hAnsi="Times New Roman" w:cs="Times New Roman"/>
        </w:rPr>
      </w:pPr>
    </w:p>
    <w:p w:rsidR="00FE4406" w:rsidRDefault="00FE4406" w:rsidP="00FE4406">
      <w:pPr>
        <w:rPr>
          <w:rFonts w:ascii="Times New Roman" w:hAnsi="Times New Roman" w:cs="Times New Roman"/>
        </w:rPr>
      </w:pPr>
    </w:p>
    <w:p w:rsidR="00FE4406" w:rsidRPr="00534A20" w:rsidRDefault="00FE4406" w:rsidP="00FE4406">
      <w:pPr>
        <w:rPr>
          <w:rFonts w:ascii="Times New Roman" w:hAnsi="Times New Roman" w:cs="Times New Roman"/>
        </w:rPr>
      </w:pPr>
    </w:p>
    <w:p w:rsidR="00FE4406" w:rsidRPr="00534A20" w:rsidRDefault="00FE4406" w:rsidP="00FE4406">
      <w:pPr>
        <w:rPr>
          <w:rFonts w:ascii="Times New Roman" w:hAnsi="Times New Roman" w:cs="Times New Roman"/>
        </w:rPr>
      </w:pPr>
    </w:p>
    <w:p w:rsidR="009D70F8" w:rsidRDefault="00AE3690" w:rsidP="00E54A17">
      <w:pPr>
        <w:spacing w:line="480" w:lineRule="auto"/>
        <w:rPr>
          <w:rFonts w:ascii="Times New Roman" w:hAnsi="Times New Roman" w:cs="Times New Roman"/>
          <w:b/>
          <w:sz w:val="24"/>
          <w:szCs w:val="24"/>
          <w:lang w:val="en-US"/>
        </w:rPr>
      </w:pPr>
      <w:r>
        <w:rPr>
          <w:rFonts w:ascii="Times New Roman" w:hAnsi="Times New Roman" w:cs="Times New Roman"/>
          <w:b/>
          <w:sz w:val="24"/>
          <w:szCs w:val="24"/>
          <w:lang w:val="en-US"/>
        </w:rPr>
        <w:t>L</w:t>
      </w:r>
      <w:r w:rsidRPr="00EE6C0E">
        <w:rPr>
          <w:rFonts w:ascii="Times New Roman" w:hAnsi="Times New Roman" w:cs="Times New Roman"/>
          <w:b/>
          <w:sz w:val="24"/>
          <w:szCs w:val="24"/>
          <w:lang w:val="en-US"/>
        </w:rPr>
        <w:t>ecturer</w:t>
      </w:r>
      <w:r>
        <w:rPr>
          <w:rFonts w:ascii="Times New Roman" w:hAnsi="Times New Roman" w:cs="Times New Roman"/>
          <w:b/>
          <w:sz w:val="24"/>
          <w:szCs w:val="24"/>
          <w:lang w:val="en-US"/>
        </w:rPr>
        <w:t>: Olusoyi Ashaye</w:t>
      </w:r>
    </w:p>
    <w:p w:rsidR="00E143E4" w:rsidRPr="009D70F8" w:rsidRDefault="00E143E4" w:rsidP="00E143E4">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Module Leader`s Name: Hossein Shokri</w:t>
      </w:r>
      <w:bookmarkStart w:id="0" w:name="_GoBack"/>
      <w:bookmarkEnd w:id="0"/>
    </w:p>
    <w:p w:rsidR="00E54A17" w:rsidRPr="00FE6309" w:rsidRDefault="00E54A17" w:rsidP="00E54A17">
      <w:pPr>
        <w:spacing w:line="480" w:lineRule="auto"/>
        <w:rPr>
          <w:rFonts w:ascii="Times New Roman" w:hAnsi="Times New Roman" w:cs="Times New Roman"/>
          <w:b/>
          <w:sz w:val="24"/>
          <w:szCs w:val="24"/>
        </w:rPr>
      </w:pPr>
      <w:r w:rsidRPr="00FE6309">
        <w:rPr>
          <w:rFonts w:ascii="Times New Roman" w:hAnsi="Times New Roman" w:cs="Times New Roman"/>
          <w:b/>
          <w:sz w:val="24"/>
          <w:szCs w:val="24"/>
        </w:rPr>
        <w:t>Student</w:t>
      </w:r>
      <w:r w:rsidR="00FE6309">
        <w:rPr>
          <w:rFonts w:ascii="Times New Roman" w:hAnsi="Times New Roman" w:cs="Times New Roman"/>
          <w:b/>
          <w:sz w:val="24"/>
          <w:szCs w:val="24"/>
        </w:rPr>
        <w:t xml:space="preserve"> Name</w:t>
      </w:r>
      <w:r w:rsidRPr="00FE6309">
        <w:rPr>
          <w:rFonts w:ascii="Times New Roman" w:hAnsi="Times New Roman" w:cs="Times New Roman"/>
          <w:b/>
          <w:sz w:val="24"/>
          <w:szCs w:val="24"/>
        </w:rPr>
        <w:t xml:space="preserve">: Pavel Bodushki </w:t>
      </w:r>
    </w:p>
    <w:p w:rsidR="00E54A17" w:rsidRPr="00FE6309" w:rsidRDefault="00E54A17" w:rsidP="00E54A17">
      <w:pPr>
        <w:spacing w:line="480" w:lineRule="auto"/>
        <w:rPr>
          <w:rFonts w:ascii="Times New Roman" w:hAnsi="Times New Roman" w:cs="Times New Roman"/>
          <w:b/>
          <w:sz w:val="24"/>
          <w:szCs w:val="24"/>
        </w:rPr>
      </w:pPr>
      <w:r w:rsidRPr="00FE6309">
        <w:rPr>
          <w:rFonts w:ascii="Times New Roman" w:hAnsi="Times New Roman" w:cs="Times New Roman"/>
          <w:b/>
          <w:sz w:val="24"/>
          <w:szCs w:val="24"/>
        </w:rPr>
        <w:t>Number</w:t>
      </w:r>
      <w:r w:rsidR="00FE6309" w:rsidRPr="00FE6309">
        <w:rPr>
          <w:rFonts w:ascii="Times New Roman" w:hAnsi="Times New Roman" w:cs="Times New Roman"/>
          <w:b/>
          <w:sz w:val="24"/>
          <w:szCs w:val="24"/>
        </w:rPr>
        <w:t xml:space="preserve"> Number</w:t>
      </w:r>
      <w:r w:rsidRPr="00FE6309">
        <w:rPr>
          <w:rFonts w:ascii="Times New Roman" w:hAnsi="Times New Roman" w:cs="Times New Roman"/>
          <w:b/>
          <w:sz w:val="24"/>
          <w:szCs w:val="24"/>
        </w:rPr>
        <w:t>: 2023711</w:t>
      </w:r>
    </w:p>
    <w:p w:rsidR="00B72112" w:rsidRDefault="00FE6309" w:rsidP="00E54A17">
      <w:pPr>
        <w:spacing w:line="480" w:lineRule="auto"/>
        <w:rPr>
          <w:rFonts w:ascii="Times New Roman" w:hAnsi="Times New Roman" w:cs="Times New Roman"/>
          <w:b/>
          <w:sz w:val="24"/>
          <w:szCs w:val="24"/>
        </w:rPr>
      </w:pPr>
      <w:r w:rsidRPr="00FE6309">
        <w:rPr>
          <w:rFonts w:ascii="Times New Roman" w:hAnsi="Times New Roman" w:cs="Times New Roman"/>
          <w:b/>
          <w:sz w:val="24"/>
          <w:szCs w:val="24"/>
        </w:rPr>
        <w:t>Submission Date:</w:t>
      </w:r>
      <w:r w:rsidR="00E802B9">
        <w:rPr>
          <w:rFonts w:ascii="Times New Roman" w:hAnsi="Times New Roman" w:cs="Times New Roman"/>
          <w:b/>
          <w:sz w:val="24"/>
          <w:szCs w:val="24"/>
        </w:rPr>
        <w:t xml:space="preserve"> </w:t>
      </w:r>
      <w:r w:rsidR="006A62D5">
        <w:rPr>
          <w:rFonts w:ascii="Times New Roman" w:hAnsi="Times New Roman" w:cs="Times New Roman"/>
          <w:b/>
          <w:sz w:val="24"/>
          <w:szCs w:val="24"/>
        </w:rPr>
        <w:t>9.9.21</w:t>
      </w:r>
    </w:p>
    <w:p w:rsidR="00FE6309" w:rsidRDefault="00FE6309" w:rsidP="00E54A17">
      <w:pPr>
        <w:spacing w:line="480" w:lineRule="auto"/>
        <w:rPr>
          <w:rFonts w:ascii="Times New Roman" w:hAnsi="Times New Roman" w:cs="Times New Roman"/>
          <w:b/>
          <w:sz w:val="24"/>
          <w:szCs w:val="24"/>
        </w:rPr>
      </w:pPr>
      <w:r>
        <w:rPr>
          <w:rFonts w:ascii="Times New Roman" w:hAnsi="Times New Roman" w:cs="Times New Roman"/>
          <w:b/>
          <w:sz w:val="24"/>
          <w:szCs w:val="24"/>
        </w:rPr>
        <w:t>Name of University: University of Wales Trinity Saint David</w:t>
      </w:r>
    </w:p>
    <w:p w:rsidR="00FE6309" w:rsidRPr="00FE6309" w:rsidRDefault="00FE6309" w:rsidP="00E54A17">
      <w:pPr>
        <w:spacing w:line="480" w:lineRule="auto"/>
        <w:rPr>
          <w:rFonts w:ascii="Times New Roman" w:hAnsi="Times New Roman" w:cs="Times New Roman"/>
          <w:b/>
          <w:sz w:val="24"/>
          <w:szCs w:val="24"/>
        </w:rPr>
      </w:pPr>
      <w:r>
        <w:rPr>
          <w:rFonts w:ascii="Times New Roman" w:hAnsi="Times New Roman" w:cs="Times New Roman"/>
          <w:b/>
          <w:sz w:val="24"/>
          <w:szCs w:val="24"/>
        </w:rPr>
        <w:t>Module Code: LCBB4004</w:t>
      </w:r>
    </w:p>
    <w:p w:rsidR="00E54A17" w:rsidRPr="00FE6309" w:rsidRDefault="003C4FB2" w:rsidP="00E54A17">
      <w:pPr>
        <w:spacing w:line="480" w:lineRule="auto"/>
        <w:rPr>
          <w:rFonts w:ascii="Times New Roman" w:hAnsi="Times New Roman" w:cs="Times New Roman"/>
          <w:b/>
          <w:sz w:val="24"/>
          <w:szCs w:val="24"/>
        </w:rPr>
      </w:pPr>
      <w:r>
        <w:rPr>
          <w:rFonts w:ascii="Times New Roman" w:hAnsi="Times New Roman" w:cs="Times New Roman"/>
          <w:b/>
          <w:sz w:val="24"/>
          <w:szCs w:val="24"/>
        </w:rPr>
        <w:t>Word C</w:t>
      </w:r>
      <w:r w:rsidR="00E54A17" w:rsidRPr="00FE6309">
        <w:rPr>
          <w:rFonts w:ascii="Times New Roman" w:hAnsi="Times New Roman" w:cs="Times New Roman"/>
          <w:b/>
          <w:sz w:val="24"/>
          <w:szCs w:val="24"/>
        </w:rPr>
        <w:t>ount: 2,999</w:t>
      </w:r>
    </w:p>
    <w:sdt>
      <w:sdtPr>
        <w:rPr>
          <w:rFonts w:asciiTheme="minorHAnsi" w:eastAsiaTheme="minorHAnsi" w:hAnsiTheme="minorHAnsi" w:cstheme="minorBidi"/>
          <w:b w:val="0"/>
          <w:bCs w:val="0"/>
          <w:color w:val="auto"/>
          <w:sz w:val="22"/>
          <w:szCs w:val="22"/>
          <w:lang w:val="en-GB"/>
        </w:rPr>
        <w:id w:val="191794548"/>
        <w:docPartObj>
          <w:docPartGallery w:val="Table of Contents"/>
          <w:docPartUnique/>
        </w:docPartObj>
      </w:sdtPr>
      <w:sdtEndPr/>
      <w:sdtContent>
        <w:p w:rsidR="00B72112" w:rsidRPr="009A5522" w:rsidRDefault="00B72112" w:rsidP="009A5522">
          <w:pPr>
            <w:pStyle w:val="TOCHeading"/>
            <w:spacing w:line="480" w:lineRule="auto"/>
            <w:jc w:val="both"/>
            <w:rPr>
              <w:rFonts w:ascii="Times New Roman" w:hAnsi="Times New Roman" w:cs="Times New Roman"/>
              <w:sz w:val="24"/>
              <w:szCs w:val="24"/>
            </w:rPr>
          </w:pPr>
          <w:r w:rsidRPr="009A5522">
            <w:rPr>
              <w:rFonts w:ascii="Times New Roman" w:hAnsi="Times New Roman" w:cs="Times New Roman"/>
            </w:rPr>
            <w:t>Table of Contents</w:t>
          </w:r>
        </w:p>
        <w:p w:rsidR="009A5522" w:rsidRPr="009A5522" w:rsidRDefault="00EA260A" w:rsidP="009A5522">
          <w:pPr>
            <w:pStyle w:val="TOC1"/>
            <w:tabs>
              <w:tab w:val="right" w:leader="dot" w:pos="9408"/>
            </w:tabs>
            <w:spacing w:line="480" w:lineRule="auto"/>
            <w:jc w:val="both"/>
            <w:rPr>
              <w:rFonts w:eastAsiaTheme="minorEastAsia"/>
              <w:noProof/>
              <w:sz w:val="24"/>
              <w:szCs w:val="24"/>
              <w:lang w:val="en-US"/>
            </w:rPr>
          </w:pPr>
          <w:r w:rsidRPr="009A5522">
            <w:rPr>
              <w:rFonts w:ascii="Times New Roman" w:hAnsi="Times New Roman" w:cs="Times New Roman"/>
              <w:sz w:val="24"/>
              <w:szCs w:val="24"/>
            </w:rPr>
            <w:fldChar w:fldCharType="begin"/>
          </w:r>
          <w:r w:rsidR="00B72112" w:rsidRPr="009A5522">
            <w:rPr>
              <w:rFonts w:ascii="Times New Roman" w:hAnsi="Times New Roman" w:cs="Times New Roman"/>
              <w:sz w:val="24"/>
              <w:szCs w:val="24"/>
            </w:rPr>
            <w:instrText xml:space="preserve"> TOC \o "1-3" \h \z \u </w:instrText>
          </w:r>
          <w:r w:rsidRPr="009A5522">
            <w:rPr>
              <w:rFonts w:ascii="Times New Roman" w:hAnsi="Times New Roman" w:cs="Times New Roman"/>
              <w:sz w:val="24"/>
              <w:szCs w:val="24"/>
            </w:rPr>
            <w:fldChar w:fldCharType="separate"/>
          </w:r>
          <w:hyperlink w:anchor="_Toc81499229" w:history="1">
            <w:r w:rsidR="009A5522" w:rsidRPr="009A5522">
              <w:rPr>
                <w:rStyle w:val="Hyperlink"/>
                <w:noProof/>
                <w:sz w:val="24"/>
                <w:szCs w:val="24"/>
              </w:rPr>
              <w:t>Introduction</w:t>
            </w:r>
            <w:r w:rsidR="009A5522" w:rsidRPr="009A5522">
              <w:rPr>
                <w:noProof/>
                <w:webHidden/>
                <w:sz w:val="24"/>
                <w:szCs w:val="24"/>
              </w:rPr>
              <w:tab/>
            </w:r>
            <w:r w:rsidRPr="009A5522">
              <w:rPr>
                <w:noProof/>
                <w:webHidden/>
                <w:sz w:val="24"/>
                <w:szCs w:val="24"/>
              </w:rPr>
              <w:fldChar w:fldCharType="begin"/>
            </w:r>
            <w:r w:rsidR="009A5522" w:rsidRPr="009A5522">
              <w:rPr>
                <w:noProof/>
                <w:webHidden/>
                <w:sz w:val="24"/>
                <w:szCs w:val="24"/>
              </w:rPr>
              <w:instrText xml:space="preserve"> PAGEREF _Toc81499229 \h </w:instrText>
            </w:r>
            <w:r w:rsidRPr="009A5522">
              <w:rPr>
                <w:noProof/>
                <w:webHidden/>
                <w:sz w:val="24"/>
                <w:szCs w:val="24"/>
              </w:rPr>
            </w:r>
            <w:r w:rsidRPr="009A5522">
              <w:rPr>
                <w:noProof/>
                <w:webHidden/>
                <w:sz w:val="24"/>
                <w:szCs w:val="24"/>
              </w:rPr>
              <w:fldChar w:fldCharType="separate"/>
            </w:r>
            <w:r w:rsidR="009A5522">
              <w:rPr>
                <w:noProof/>
                <w:webHidden/>
                <w:sz w:val="24"/>
                <w:szCs w:val="24"/>
              </w:rPr>
              <w:t>3</w:t>
            </w:r>
            <w:r w:rsidRPr="009A5522">
              <w:rPr>
                <w:noProof/>
                <w:webHidden/>
                <w:sz w:val="24"/>
                <w:szCs w:val="24"/>
              </w:rPr>
              <w:fldChar w:fldCharType="end"/>
            </w:r>
          </w:hyperlink>
        </w:p>
        <w:p w:rsidR="009A5522" w:rsidRPr="009A5522" w:rsidRDefault="00F925B3" w:rsidP="009A5522">
          <w:pPr>
            <w:pStyle w:val="TOC1"/>
            <w:tabs>
              <w:tab w:val="right" w:leader="dot" w:pos="9408"/>
            </w:tabs>
            <w:spacing w:line="480" w:lineRule="auto"/>
            <w:jc w:val="both"/>
            <w:rPr>
              <w:rFonts w:eastAsiaTheme="minorEastAsia"/>
              <w:noProof/>
              <w:sz w:val="24"/>
              <w:szCs w:val="24"/>
              <w:lang w:val="en-US"/>
            </w:rPr>
          </w:pPr>
          <w:hyperlink w:anchor="_Toc81499230" w:history="1">
            <w:r w:rsidR="009A5522" w:rsidRPr="009A5522">
              <w:rPr>
                <w:rStyle w:val="Hyperlink"/>
                <w:noProof/>
                <w:sz w:val="24"/>
                <w:szCs w:val="24"/>
              </w:rPr>
              <w:t>Role of marketing in creating customer value</w:t>
            </w:r>
            <w:r w:rsidR="009A5522" w:rsidRPr="009A5522">
              <w:rPr>
                <w:noProof/>
                <w:webHidden/>
                <w:sz w:val="24"/>
                <w:szCs w:val="24"/>
              </w:rPr>
              <w:tab/>
            </w:r>
            <w:r w:rsidR="00EA260A" w:rsidRPr="009A5522">
              <w:rPr>
                <w:noProof/>
                <w:webHidden/>
                <w:sz w:val="24"/>
                <w:szCs w:val="24"/>
              </w:rPr>
              <w:fldChar w:fldCharType="begin"/>
            </w:r>
            <w:r w:rsidR="009A5522" w:rsidRPr="009A5522">
              <w:rPr>
                <w:noProof/>
                <w:webHidden/>
                <w:sz w:val="24"/>
                <w:szCs w:val="24"/>
              </w:rPr>
              <w:instrText xml:space="preserve"> PAGEREF _Toc81499230 \h </w:instrText>
            </w:r>
            <w:r w:rsidR="00EA260A" w:rsidRPr="009A5522">
              <w:rPr>
                <w:noProof/>
                <w:webHidden/>
                <w:sz w:val="24"/>
                <w:szCs w:val="24"/>
              </w:rPr>
            </w:r>
            <w:r w:rsidR="00EA260A" w:rsidRPr="009A5522">
              <w:rPr>
                <w:noProof/>
                <w:webHidden/>
                <w:sz w:val="24"/>
                <w:szCs w:val="24"/>
              </w:rPr>
              <w:fldChar w:fldCharType="separate"/>
            </w:r>
            <w:r w:rsidR="009A5522">
              <w:rPr>
                <w:noProof/>
                <w:webHidden/>
                <w:sz w:val="24"/>
                <w:szCs w:val="24"/>
              </w:rPr>
              <w:t>3</w:t>
            </w:r>
            <w:r w:rsidR="00EA260A" w:rsidRPr="009A5522">
              <w:rPr>
                <w:noProof/>
                <w:webHidden/>
                <w:sz w:val="24"/>
                <w:szCs w:val="24"/>
              </w:rPr>
              <w:fldChar w:fldCharType="end"/>
            </w:r>
          </w:hyperlink>
        </w:p>
        <w:p w:rsidR="009A5522" w:rsidRPr="009A5522" w:rsidRDefault="00F925B3" w:rsidP="009A5522">
          <w:pPr>
            <w:pStyle w:val="TOC1"/>
            <w:tabs>
              <w:tab w:val="right" w:leader="dot" w:pos="9408"/>
            </w:tabs>
            <w:spacing w:line="480" w:lineRule="auto"/>
            <w:jc w:val="both"/>
            <w:rPr>
              <w:rFonts w:eastAsiaTheme="minorEastAsia"/>
              <w:noProof/>
              <w:sz w:val="24"/>
              <w:szCs w:val="24"/>
              <w:lang w:val="en-US"/>
            </w:rPr>
          </w:pPr>
          <w:hyperlink w:anchor="_Toc81499231" w:history="1">
            <w:r w:rsidR="009A5522" w:rsidRPr="009A5522">
              <w:rPr>
                <w:rStyle w:val="Hyperlink"/>
                <w:noProof/>
                <w:sz w:val="24"/>
                <w:szCs w:val="24"/>
              </w:rPr>
              <w:t>Stakeholder engagement and their impact on the marketing activities of an organisation</w:t>
            </w:r>
            <w:r w:rsidR="009A5522" w:rsidRPr="009A5522">
              <w:rPr>
                <w:noProof/>
                <w:webHidden/>
                <w:sz w:val="24"/>
                <w:szCs w:val="24"/>
              </w:rPr>
              <w:tab/>
            </w:r>
            <w:r w:rsidR="00EA260A" w:rsidRPr="009A5522">
              <w:rPr>
                <w:noProof/>
                <w:webHidden/>
                <w:sz w:val="24"/>
                <w:szCs w:val="24"/>
              </w:rPr>
              <w:fldChar w:fldCharType="begin"/>
            </w:r>
            <w:r w:rsidR="009A5522" w:rsidRPr="009A5522">
              <w:rPr>
                <w:noProof/>
                <w:webHidden/>
                <w:sz w:val="24"/>
                <w:szCs w:val="24"/>
              </w:rPr>
              <w:instrText xml:space="preserve"> PAGEREF _Toc81499231 \h </w:instrText>
            </w:r>
            <w:r w:rsidR="00EA260A" w:rsidRPr="009A5522">
              <w:rPr>
                <w:noProof/>
                <w:webHidden/>
                <w:sz w:val="24"/>
                <w:szCs w:val="24"/>
              </w:rPr>
            </w:r>
            <w:r w:rsidR="00EA260A" w:rsidRPr="009A5522">
              <w:rPr>
                <w:noProof/>
                <w:webHidden/>
                <w:sz w:val="24"/>
                <w:szCs w:val="24"/>
              </w:rPr>
              <w:fldChar w:fldCharType="separate"/>
            </w:r>
            <w:r w:rsidR="009A5522">
              <w:rPr>
                <w:noProof/>
                <w:webHidden/>
                <w:sz w:val="24"/>
                <w:szCs w:val="24"/>
              </w:rPr>
              <w:t>7</w:t>
            </w:r>
            <w:r w:rsidR="00EA260A" w:rsidRPr="009A5522">
              <w:rPr>
                <w:noProof/>
                <w:webHidden/>
                <w:sz w:val="24"/>
                <w:szCs w:val="24"/>
              </w:rPr>
              <w:fldChar w:fldCharType="end"/>
            </w:r>
          </w:hyperlink>
        </w:p>
        <w:p w:rsidR="009A5522" w:rsidRPr="009A5522" w:rsidRDefault="00F925B3" w:rsidP="009A5522">
          <w:pPr>
            <w:pStyle w:val="TOC1"/>
            <w:tabs>
              <w:tab w:val="right" w:leader="dot" w:pos="9408"/>
            </w:tabs>
            <w:spacing w:line="480" w:lineRule="auto"/>
            <w:jc w:val="both"/>
            <w:rPr>
              <w:rFonts w:eastAsiaTheme="minorEastAsia"/>
              <w:noProof/>
              <w:sz w:val="24"/>
              <w:szCs w:val="24"/>
              <w:lang w:val="en-US"/>
            </w:rPr>
          </w:pPr>
          <w:hyperlink w:anchor="_Toc81499232" w:history="1">
            <w:r w:rsidR="009A5522" w:rsidRPr="009A5522">
              <w:rPr>
                <w:rStyle w:val="Hyperlink"/>
                <w:noProof/>
                <w:sz w:val="24"/>
                <w:szCs w:val="24"/>
              </w:rPr>
              <w:t>Conclusion</w:t>
            </w:r>
            <w:r w:rsidR="009A5522" w:rsidRPr="009A5522">
              <w:rPr>
                <w:noProof/>
                <w:webHidden/>
                <w:sz w:val="24"/>
                <w:szCs w:val="24"/>
              </w:rPr>
              <w:tab/>
            </w:r>
            <w:r w:rsidR="00EA260A" w:rsidRPr="009A5522">
              <w:rPr>
                <w:noProof/>
                <w:webHidden/>
                <w:sz w:val="24"/>
                <w:szCs w:val="24"/>
              </w:rPr>
              <w:fldChar w:fldCharType="begin"/>
            </w:r>
            <w:r w:rsidR="009A5522" w:rsidRPr="009A5522">
              <w:rPr>
                <w:noProof/>
                <w:webHidden/>
                <w:sz w:val="24"/>
                <w:szCs w:val="24"/>
              </w:rPr>
              <w:instrText xml:space="preserve"> PAGEREF _Toc81499232 \h </w:instrText>
            </w:r>
            <w:r w:rsidR="00EA260A" w:rsidRPr="009A5522">
              <w:rPr>
                <w:noProof/>
                <w:webHidden/>
                <w:sz w:val="24"/>
                <w:szCs w:val="24"/>
              </w:rPr>
            </w:r>
            <w:r w:rsidR="00EA260A" w:rsidRPr="009A5522">
              <w:rPr>
                <w:noProof/>
                <w:webHidden/>
                <w:sz w:val="24"/>
                <w:szCs w:val="24"/>
              </w:rPr>
              <w:fldChar w:fldCharType="separate"/>
            </w:r>
            <w:r w:rsidR="009A5522">
              <w:rPr>
                <w:noProof/>
                <w:webHidden/>
                <w:sz w:val="24"/>
                <w:szCs w:val="24"/>
              </w:rPr>
              <w:t>13</w:t>
            </w:r>
            <w:r w:rsidR="00EA260A" w:rsidRPr="009A5522">
              <w:rPr>
                <w:noProof/>
                <w:webHidden/>
                <w:sz w:val="24"/>
                <w:szCs w:val="24"/>
              </w:rPr>
              <w:fldChar w:fldCharType="end"/>
            </w:r>
          </w:hyperlink>
        </w:p>
        <w:p w:rsidR="009A5522" w:rsidRPr="009A5522" w:rsidRDefault="00F925B3" w:rsidP="009A5522">
          <w:pPr>
            <w:pStyle w:val="TOC1"/>
            <w:tabs>
              <w:tab w:val="right" w:leader="dot" w:pos="9408"/>
            </w:tabs>
            <w:spacing w:line="480" w:lineRule="auto"/>
            <w:jc w:val="both"/>
            <w:rPr>
              <w:rFonts w:eastAsiaTheme="minorEastAsia"/>
              <w:noProof/>
              <w:sz w:val="24"/>
              <w:szCs w:val="24"/>
              <w:lang w:val="en-US"/>
            </w:rPr>
          </w:pPr>
          <w:hyperlink w:anchor="_Toc81499233" w:history="1">
            <w:r w:rsidR="009A5522" w:rsidRPr="009A5522">
              <w:rPr>
                <w:rStyle w:val="Hyperlink"/>
                <w:noProof/>
                <w:sz w:val="24"/>
                <w:szCs w:val="24"/>
              </w:rPr>
              <w:t>References</w:t>
            </w:r>
            <w:r w:rsidR="009A5522" w:rsidRPr="009A5522">
              <w:rPr>
                <w:noProof/>
                <w:webHidden/>
                <w:sz w:val="24"/>
                <w:szCs w:val="24"/>
              </w:rPr>
              <w:tab/>
            </w:r>
            <w:r w:rsidR="00EA260A" w:rsidRPr="009A5522">
              <w:rPr>
                <w:noProof/>
                <w:webHidden/>
                <w:sz w:val="24"/>
                <w:szCs w:val="24"/>
              </w:rPr>
              <w:fldChar w:fldCharType="begin"/>
            </w:r>
            <w:r w:rsidR="009A5522" w:rsidRPr="009A5522">
              <w:rPr>
                <w:noProof/>
                <w:webHidden/>
                <w:sz w:val="24"/>
                <w:szCs w:val="24"/>
              </w:rPr>
              <w:instrText xml:space="preserve"> PAGEREF _Toc81499233 \h </w:instrText>
            </w:r>
            <w:r w:rsidR="00EA260A" w:rsidRPr="009A5522">
              <w:rPr>
                <w:noProof/>
                <w:webHidden/>
                <w:sz w:val="24"/>
                <w:szCs w:val="24"/>
              </w:rPr>
            </w:r>
            <w:r w:rsidR="00EA260A" w:rsidRPr="009A5522">
              <w:rPr>
                <w:noProof/>
                <w:webHidden/>
                <w:sz w:val="24"/>
                <w:szCs w:val="24"/>
              </w:rPr>
              <w:fldChar w:fldCharType="separate"/>
            </w:r>
            <w:r w:rsidR="009A5522">
              <w:rPr>
                <w:noProof/>
                <w:webHidden/>
                <w:sz w:val="24"/>
                <w:szCs w:val="24"/>
              </w:rPr>
              <w:t>14</w:t>
            </w:r>
            <w:r w:rsidR="00EA260A" w:rsidRPr="009A5522">
              <w:rPr>
                <w:noProof/>
                <w:webHidden/>
                <w:sz w:val="24"/>
                <w:szCs w:val="24"/>
              </w:rPr>
              <w:fldChar w:fldCharType="end"/>
            </w:r>
          </w:hyperlink>
        </w:p>
        <w:p w:rsidR="00B72112" w:rsidRDefault="00EA260A" w:rsidP="009A5522">
          <w:pPr>
            <w:spacing w:line="480" w:lineRule="auto"/>
            <w:jc w:val="both"/>
          </w:pPr>
          <w:r w:rsidRPr="009A5522">
            <w:rPr>
              <w:rFonts w:ascii="Times New Roman" w:hAnsi="Times New Roman" w:cs="Times New Roman"/>
              <w:sz w:val="24"/>
              <w:szCs w:val="24"/>
            </w:rPr>
            <w:fldChar w:fldCharType="end"/>
          </w:r>
        </w:p>
      </w:sdtContent>
    </w:sdt>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B72112" w:rsidRDefault="00B72112" w:rsidP="006E1B1D">
      <w:pPr>
        <w:spacing w:line="240" w:lineRule="auto"/>
        <w:jc w:val="both"/>
        <w:rPr>
          <w:rFonts w:ascii="Times New Roman" w:hAnsi="Times New Roman" w:cs="Times New Roman"/>
          <w:b/>
          <w:sz w:val="28"/>
          <w:szCs w:val="28"/>
          <w:lang w:val="en-US"/>
        </w:rPr>
      </w:pPr>
    </w:p>
    <w:p w:rsidR="0037790D" w:rsidRPr="00C03F53" w:rsidRDefault="00C03F53" w:rsidP="00B72112">
      <w:pPr>
        <w:pStyle w:val="Heading1"/>
        <w:spacing w:line="360" w:lineRule="auto"/>
      </w:pPr>
      <w:bookmarkStart w:id="1" w:name="_Toc81499229"/>
      <w:r w:rsidRPr="00C03F53">
        <w:lastRenderedPageBreak/>
        <w:t>Introduction</w:t>
      </w:r>
      <w:bookmarkEnd w:id="1"/>
      <w:r w:rsidRPr="00C03F53">
        <w:t xml:space="preserve"> </w:t>
      </w:r>
    </w:p>
    <w:p w:rsidR="00C03F53" w:rsidRPr="00C03F53" w:rsidRDefault="00862D2E" w:rsidP="00B7211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essay provides a critical evaluation of important concepts in marketing. More specifically, the discussion explores the importance of marketing in creating value to customers, as well as the relevance of stakeholder engagement on marketing activities and performance. These are key aspects affecting marketing success as a whole. The essay includes theoretical models and actual examples in order to support the proposed statements. The case of Tesco is integrated in the essay, as this is the largest retailer in the UK with 27% market share and extensive marketing activities (Blazquez, 2021). The information availability in relation to Tesco, as well as the leading position of the company in the retail sector could be quite indicative for understanding the main principles of marketing as a value creation tool and the relevance of stakeholder engagement. </w:t>
      </w:r>
    </w:p>
    <w:p w:rsidR="00C03F53" w:rsidRPr="00C70EAB" w:rsidRDefault="00C70EAB" w:rsidP="009A5522">
      <w:pPr>
        <w:pStyle w:val="Heading1"/>
        <w:spacing w:before="0" w:line="360" w:lineRule="auto"/>
      </w:pPr>
      <w:bookmarkStart w:id="2" w:name="_Toc81499230"/>
      <w:r w:rsidRPr="00C70EAB">
        <w:t>Role of marketing in creating customer value</w:t>
      </w:r>
      <w:bookmarkEnd w:id="2"/>
    </w:p>
    <w:p w:rsidR="00C70EAB" w:rsidRDefault="000D606A" w:rsidP="00B7211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marketing process requires from companies to engage with customers and deliver value to them with the expectation of receiving value from customers in return (Kotler et al., 2020). In this relation, it is very important for companies to be able to deliver value to customers as a way of developing competitive advantage in the marketplace. In most cases, the value, which is received by customers, is proportional to the level of customer satisfaction which in turn depends on the difference between expectations and actually received benefits from the offered products and services (Kotler et al., 2020). Given this definition, the concept of value remains subjective and depending on individual expectations of customers. Nevertheless, companies are required to exceed expectations as a way of delivering perceived value to customers (Kotler et al., 2020). </w:t>
      </w:r>
    </w:p>
    <w:p w:rsidR="00C03F53" w:rsidRPr="00C03F53" w:rsidRDefault="000D606A" w:rsidP="00B7211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Kotler et al. (2020), creating value to customers is of significant importance for generating profitability and sustainable development</w:t>
      </w:r>
      <w:r w:rsidR="00860E4E">
        <w:rPr>
          <w:rFonts w:ascii="Times New Roman" w:hAnsi="Times New Roman" w:cs="Times New Roman"/>
          <w:sz w:val="24"/>
          <w:szCs w:val="24"/>
          <w:lang w:val="en-US"/>
        </w:rPr>
        <w:t xml:space="preserve"> over a long period of time</w:t>
      </w:r>
      <w:r>
        <w:rPr>
          <w:rFonts w:ascii="Times New Roman" w:hAnsi="Times New Roman" w:cs="Times New Roman"/>
          <w:sz w:val="24"/>
          <w:szCs w:val="24"/>
          <w:lang w:val="en-US"/>
        </w:rPr>
        <w:t xml:space="preserve">. </w:t>
      </w:r>
      <w:r w:rsidR="00860E4E">
        <w:rPr>
          <w:rFonts w:ascii="Times New Roman" w:hAnsi="Times New Roman" w:cs="Times New Roman"/>
          <w:sz w:val="24"/>
          <w:szCs w:val="24"/>
          <w:lang w:val="en-US"/>
        </w:rPr>
        <w:t xml:space="preserve">Kotler et al. (2020) explain that customer value creation process depends on consistent performance in several key marketing areas, as shown below. Thus, Tesco is required to simultaneously address </w:t>
      </w:r>
      <w:r w:rsidR="006E1B1D">
        <w:rPr>
          <w:rFonts w:ascii="Times New Roman" w:hAnsi="Times New Roman" w:cs="Times New Roman"/>
          <w:sz w:val="24"/>
          <w:szCs w:val="24"/>
          <w:lang w:val="en-US"/>
        </w:rPr>
        <w:t xml:space="preserve">several areas in a consecutive order: 1) identify </w:t>
      </w:r>
      <w:r w:rsidR="00860E4E">
        <w:rPr>
          <w:rFonts w:ascii="Times New Roman" w:hAnsi="Times New Roman" w:cs="Times New Roman"/>
          <w:sz w:val="24"/>
          <w:szCs w:val="24"/>
          <w:lang w:val="en-US"/>
        </w:rPr>
        <w:t xml:space="preserve">the prevailing customer needs; </w:t>
      </w:r>
      <w:r w:rsidR="006E1B1D">
        <w:rPr>
          <w:rFonts w:ascii="Times New Roman" w:hAnsi="Times New Roman" w:cs="Times New Roman"/>
          <w:sz w:val="24"/>
          <w:szCs w:val="24"/>
          <w:lang w:val="en-US"/>
        </w:rPr>
        <w:t xml:space="preserve">2) </w:t>
      </w:r>
      <w:r w:rsidR="00860E4E">
        <w:rPr>
          <w:rFonts w:ascii="Times New Roman" w:hAnsi="Times New Roman" w:cs="Times New Roman"/>
          <w:sz w:val="24"/>
          <w:szCs w:val="24"/>
          <w:lang w:val="en-US"/>
        </w:rPr>
        <w:t xml:space="preserve">deliver a customer-driven marketing strategy; </w:t>
      </w:r>
      <w:r w:rsidR="006E1B1D">
        <w:rPr>
          <w:rFonts w:ascii="Times New Roman" w:hAnsi="Times New Roman" w:cs="Times New Roman"/>
          <w:sz w:val="24"/>
          <w:szCs w:val="24"/>
          <w:lang w:val="en-US"/>
        </w:rPr>
        <w:t xml:space="preserve">3) </w:t>
      </w:r>
      <w:r w:rsidR="00860E4E">
        <w:rPr>
          <w:rFonts w:ascii="Times New Roman" w:hAnsi="Times New Roman" w:cs="Times New Roman"/>
          <w:sz w:val="24"/>
          <w:szCs w:val="24"/>
          <w:lang w:val="en-US"/>
        </w:rPr>
        <w:t xml:space="preserve">construct an integrated marketing programme; as well as </w:t>
      </w:r>
      <w:r w:rsidR="006E1B1D">
        <w:rPr>
          <w:rFonts w:ascii="Times New Roman" w:hAnsi="Times New Roman" w:cs="Times New Roman"/>
          <w:sz w:val="24"/>
          <w:szCs w:val="24"/>
          <w:lang w:val="en-US"/>
        </w:rPr>
        <w:t xml:space="preserve">4) </w:t>
      </w:r>
      <w:r w:rsidR="00860E4E">
        <w:rPr>
          <w:rFonts w:ascii="Times New Roman" w:hAnsi="Times New Roman" w:cs="Times New Roman"/>
          <w:sz w:val="24"/>
          <w:szCs w:val="24"/>
          <w:lang w:val="en-US"/>
        </w:rPr>
        <w:t xml:space="preserve">build profitable relationships with customers (Kotler et al., 2020). </w:t>
      </w:r>
      <w:r w:rsidR="006E1B1D">
        <w:rPr>
          <w:rFonts w:ascii="Times New Roman" w:hAnsi="Times New Roman" w:cs="Times New Roman"/>
          <w:sz w:val="24"/>
          <w:szCs w:val="24"/>
          <w:lang w:val="en-US"/>
        </w:rPr>
        <w:t xml:space="preserve">Each of these key pillars for value creation are analysed in more details in the rest of the discussion. </w:t>
      </w:r>
    </w:p>
    <w:p w:rsidR="0056498D" w:rsidRPr="00B014EF" w:rsidRDefault="0056498D" w:rsidP="00B72112">
      <w:pPr>
        <w:pStyle w:val="Caption"/>
        <w:spacing w:after="0" w:line="360" w:lineRule="auto"/>
        <w:jc w:val="both"/>
        <w:rPr>
          <w:rFonts w:ascii="Times New Roman" w:hAnsi="Times New Roman" w:cs="Times New Roman"/>
          <w:b/>
          <w:i w:val="0"/>
          <w:color w:val="000000" w:themeColor="text1"/>
        </w:rPr>
      </w:pPr>
      <w:r w:rsidRPr="00B014EF">
        <w:rPr>
          <w:rFonts w:ascii="Times New Roman" w:hAnsi="Times New Roman" w:cs="Times New Roman"/>
          <w:b/>
          <w:i w:val="0"/>
          <w:color w:val="000000" w:themeColor="text1"/>
        </w:rPr>
        <w:lastRenderedPageBreak/>
        <w:t xml:space="preserve">Figure </w:t>
      </w:r>
      <w:r w:rsidR="00EA260A" w:rsidRPr="00B014EF">
        <w:rPr>
          <w:rFonts w:ascii="Times New Roman" w:hAnsi="Times New Roman" w:cs="Times New Roman"/>
          <w:b/>
          <w:i w:val="0"/>
          <w:color w:val="000000" w:themeColor="text1"/>
        </w:rPr>
        <w:fldChar w:fldCharType="begin"/>
      </w:r>
      <w:r w:rsidRPr="00B014EF">
        <w:rPr>
          <w:rFonts w:ascii="Times New Roman" w:hAnsi="Times New Roman" w:cs="Times New Roman"/>
          <w:b/>
          <w:i w:val="0"/>
          <w:color w:val="000000" w:themeColor="text1"/>
        </w:rPr>
        <w:instrText xml:space="preserve"> SEQ Figure \* ARABIC </w:instrText>
      </w:r>
      <w:r w:rsidR="00EA260A" w:rsidRPr="00B014EF">
        <w:rPr>
          <w:rFonts w:ascii="Times New Roman" w:hAnsi="Times New Roman" w:cs="Times New Roman"/>
          <w:b/>
          <w:i w:val="0"/>
          <w:color w:val="000000" w:themeColor="text1"/>
        </w:rPr>
        <w:fldChar w:fldCharType="separate"/>
      </w:r>
      <w:r w:rsidRPr="00B014EF">
        <w:rPr>
          <w:rFonts w:ascii="Times New Roman" w:hAnsi="Times New Roman" w:cs="Times New Roman"/>
          <w:b/>
          <w:i w:val="0"/>
          <w:noProof/>
          <w:color w:val="000000" w:themeColor="text1"/>
        </w:rPr>
        <w:t>1</w:t>
      </w:r>
      <w:r w:rsidR="00EA260A" w:rsidRPr="00B014EF">
        <w:rPr>
          <w:rFonts w:ascii="Times New Roman" w:hAnsi="Times New Roman" w:cs="Times New Roman"/>
          <w:b/>
          <w:i w:val="0"/>
          <w:color w:val="000000" w:themeColor="text1"/>
        </w:rPr>
        <w:fldChar w:fldCharType="end"/>
      </w:r>
      <w:r>
        <w:rPr>
          <w:rFonts w:ascii="Times New Roman" w:hAnsi="Times New Roman" w:cs="Times New Roman"/>
          <w:b/>
          <w:i w:val="0"/>
          <w:color w:val="000000" w:themeColor="text1"/>
        </w:rPr>
        <w:t xml:space="preserve"> – </w:t>
      </w:r>
      <w:r w:rsidR="00860E4E">
        <w:rPr>
          <w:rFonts w:ascii="Times New Roman" w:hAnsi="Times New Roman" w:cs="Times New Roman"/>
          <w:b/>
          <w:i w:val="0"/>
          <w:color w:val="000000" w:themeColor="text1"/>
        </w:rPr>
        <w:t xml:space="preserve">Stages of marketing process creating value to customers </w:t>
      </w:r>
    </w:p>
    <w:p w:rsidR="0056498D" w:rsidRPr="00B014EF" w:rsidRDefault="0056498D" w:rsidP="00B72112">
      <w:pPr>
        <w:spacing w:after="240" w:line="360" w:lineRule="auto"/>
        <w:ind w:left="-1134"/>
        <w:jc w:val="both"/>
        <w:rPr>
          <w:rFonts w:ascii="Times New Roman" w:hAnsi="Times New Roman" w:cs="Times New Roman"/>
          <w:sz w:val="24"/>
          <w:szCs w:val="24"/>
        </w:rPr>
      </w:pPr>
      <w:r w:rsidRPr="00B014EF">
        <w:rPr>
          <w:rFonts w:ascii="Times New Roman" w:hAnsi="Times New Roman" w:cs="Times New Roman"/>
          <w:noProof/>
          <w:sz w:val="24"/>
          <w:szCs w:val="24"/>
          <w:lang w:eastAsia="en-GB"/>
        </w:rPr>
        <w:drawing>
          <wp:inline distT="0" distB="0" distL="0" distR="0">
            <wp:extent cx="7305565" cy="1592317"/>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7309814" cy="1593243"/>
                    </a:xfrm>
                    <a:prstGeom prst="rect">
                      <a:avLst/>
                    </a:prstGeom>
                  </pic:spPr>
                </pic:pic>
              </a:graphicData>
            </a:graphic>
          </wp:inline>
        </w:drawing>
      </w:r>
    </w:p>
    <w:p w:rsidR="0056498D" w:rsidRPr="00B014EF" w:rsidRDefault="0056498D" w:rsidP="00B72112">
      <w:pPr>
        <w:spacing w:after="240" w:line="360" w:lineRule="auto"/>
        <w:jc w:val="both"/>
        <w:rPr>
          <w:rFonts w:ascii="Times New Roman" w:hAnsi="Times New Roman" w:cs="Times New Roman"/>
          <w:i/>
          <w:sz w:val="24"/>
          <w:szCs w:val="24"/>
        </w:rPr>
      </w:pPr>
      <w:r w:rsidRPr="00B014EF">
        <w:rPr>
          <w:rFonts w:ascii="Times New Roman" w:hAnsi="Times New Roman" w:cs="Times New Roman"/>
          <w:i/>
          <w:sz w:val="24"/>
          <w:szCs w:val="24"/>
        </w:rPr>
        <w:t>Source: Kotler et al. (2020)</w:t>
      </w:r>
    </w:p>
    <w:p w:rsidR="00860E4E" w:rsidRDefault="006E1B1D"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step – identify prevailing customer trends – requires a detailed analysis of the marketplace and changing customer preferences (Kotler et al., 2020). This is the initial stage of the model which largely determines the products and services with the highest demand and value for customers. As a result, companies have to analyse consumer trends, industry developments and preferences of consumers in order to deliver value through accurate products and services (Kotler et al., 2020). Tesco has adopted various technologically advanced tools in order to understand the changes in customer preferences and overall industry trends. For examples, the company has millions of ClubCard </w:t>
      </w:r>
      <w:r w:rsidR="00E70897">
        <w:rPr>
          <w:rFonts w:ascii="Times New Roman" w:hAnsi="Times New Roman" w:cs="Times New Roman"/>
          <w:sz w:val="24"/>
          <w:szCs w:val="24"/>
        </w:rPr>
        <w:t xml:space="preserve">users which enable the real-time monitoring of customers’ purchases (Rijmenam, 2014). Gathering extensive and real-time data regarding the purchases made by customers is very important in identifying how consumer shopping patterns evolve over time. Tesco also applies Big Data analytics in order to understand the incoming consumer-related data instantaneously (Rijmenam, 2014). As a result, the retailer is able to conduct data-based decisions about the most demanded products by consumers. This has a positive impact on delivering products and services, which are considered as valuable by consumers. Moreover, being aware about the changes in consumer trends allows Tesco reduce its unnecessary inventory and save significant financial resources by avoiding excess inventory or product shortages (Rijmenam, 2014). This is important as reduced inventory management costs facilitate the delivery of lower prices which maximise consumer value. Avoiding product shortages is also important as consumers have access to demanded products – another driver of high consumer value. </w:t>
      </w:r>
    </w:p>
    <w:p w:rsidR="00E70897" w:rsidRDefault="00454AFC"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design of customer-focused marketing strategy is the second major areas of value creation, according to the model by Kotler et al. (2020). In general, customer orientation largely depends on two major factors – appropriate customer segmentation and value proposition for each of the targeted segments (Kotler et al., 2020). The process of segmentation may be executed based on one or more segmentation criteria. As suggested by Kotler and Armstrong (2018), geographic, demographic, behavioural and psychographic segmentation criteria are widely used in practice. Typically, business organisations may decide to target the entire market or particular customer segments where it is possible to achieve competitive advantage. In this relation, it is very important to conduct effective customer segmentation and targeting, as well as have distinctive resources and capabilities for competitive advantage (Kotler and Armstrong, 2018). In relation to value proposition, this is the promised value which is expected to be received by consumers when purchasing the products or services of a company (Kotler et al., 2020). Tesco has an extensive customer-driven marketing strategy considering the fact that the company operates in the entire market, rather than specific customer segments. This is evidenced by the fact that Tesco has the highest market share in the retail industry – 27% (Blazquez, 2021). The market share has been maintained over time which indicates the ability of Tesco to deliver customer value satisfying the needs of different customer segments with quite diverse prioritises (Blazquez, 2021). The impressing market performance of the retailer supports the existence of a customer-focused marketing strategy delivering value to diverse groups of</w:t>
      </w:r>
      <w:r w:rsidR="00DC2DDD">
        <w:rPr>
          <w:rFonts w:ascii="Times New Roman" w:hAnsi="Times New Roman" w:cs="Times New Roman"/>
          <w:sz w:val="24"/>
          <w:szCs w:val="24"/>
        </w:rPr>
        <w:t xml:space="preserve"> </w:t>
      </w:r>
      <w:r>
        <w:rPr>
          <w:rFonts w:ascii="Times New Roman" w:hAnsi="Times New Roman" w:cs="Times New Roman"/>
          <w:sz w:val="24"/>
          <w:szCs w:val="24"/>
        </w:rPr>
        <w:t xml:space="preserve">customers. </w:t>
      </w:r>
    </w:p>
    <w:p w:rsidR="00860E4E" w:rsidRDefault="00DC2DDD"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construct of an integrated marketing programme is a key step in the value creation process (Kotler et al., 2020). This is achieved by delivering appropriate modifications in the elements of the marketing mix – product, price, place and promotion (Kotler et al., 2020). Effective marketing mix changes contribute to the better positioning of companies in the marketplace and maximisation of consumer value with positive impact on organisational performance, as well (Kotler and Armstrong, 2018). </w:t>
      </w:r>
      <w:r w:rsidR="008C70C1">
        <w:rPr>
          <w:rFonts w:ascii="Times New Roman" w:hAnsi="Times New Roman" w:cs="Times New Roman"/>
          <w:sz w:val="24"/>
          <w:szCs w:val="24"/>
        </w:rPr>
        <w:t xml:space="preserve">Products should offer value to customers in terms of quality, diversity and other tangible and intangible benefits. Tesco offers </w:t>
      </w:r>
      <w:r w:rsidR="00082501">
        <w:rPr>
          <w:rFonts w:ascii="Times New Roman" w:hAnsi="Times New Roman" w:cs="Times New Roman"/>
          <w:sz w:val="24"/>
          <w:szCs w:val="24"/>
        </w:rPr>
        <w:t>an extensive range of</w:t>
      </w:r>
      <w:r w:rsidR="008C70C1">
        <w:rPr>
          <w:rFonts w:ascii="Times New Roman" w:hAnsi="Times New Roman" w:cs="Times New Roman"/>
          <w:sz w:val="24"/>
          <w:szCs w:val="24"/>
        </w:rPr>
        <w:t xml:space="preserve"> </w:t>
      </w:r>
      <w:r w:rsidR="00082501">
        <w:rPr>
          <w:rFonts w:ascii="Times New Roman" w:hAnsi="Times New Roman" w:cs="Times New Roman"/>
          <w:sz w:val="24"/>
          <w:szCs w:val="24"/>
        </w:rPr>
        <w:t xml:space="preserve">high-quality </w:t>
      </w:r>
      <w:r w:rsidR="008C70C1">
        <w:rPr>
          <w:rFonts w:ascii="Times New Roman" w:hAnsi="Times New Roman" w:cs="Times New Roman"/>
          <w:sz w:val="24"/>
          <w:szCs w:val="24"/>
        </w:rPr>
        <w:t xml:space="preserve">products which essential for meeting the needs of different types of customers. Pricing is also seen as a way of creating value to consumers, as low prices lead to consumer surplus. Therefore, price reductions provide access to product at lower costs which is seen as a form of direct economic benefit by consumers (Kotler and Armstrong, 2018). Place refers to the distribution channels through which products and services are reached (Kotler and Armstrong, </w:t>
      </w:r>
      <w:r w:rsidR="008C70C1">
        <w:rPr>
          <w:rFonts w:ascii="Times New Roman" w:hAnsi="Times New Roman" w:cs="Times New Roman"/>
          <w:sz w:val="24"/>
          <w:szCs w:val="24"/>
        </w:rPr>
        <w:lastRenderedPageBreak/>
        <w:t xml:space="preserve">2018). Accessibility can be a key to generating value to customers. For instance, during the pandemic and imposed lockdowns, Tesco quickly re-structured its distribution channels by offering products via the Internet. Online sales channels are the area with the highest growth for the retailer </w:t>
      </w:r>
      <w:r w:rsidR="00082501">
        <w:rPr>
          <w:rFonts w:ascii="Times New Roman" w:hAnsi="Times New Roman" w:cs="Times New Roman"/>
          <w:sz w:val="24"/>
          <w:szCs w:val="24"/>
        </w:rPr>
        <w:t xml:space="preserve">(77% in annual growth up to a level of £6.3 billion) </w:t>
      </w:r>
      <w:r w:rsidR="008C70C1">
        <w:rPr>
          <w:rFonts w:ascii="Times New Roman" w:hAnsi="Times New Roman" w:cs="Times New Roman"/>
          <w:sz w:val="24"/>
          <w:szCs w:val="24"/>
        </w:rPr>
        <w:t>in the last year; thereby, indicating the consumer value from using e-commerce channels (</w:t>
      </w:r>
      <w:r w:rsidR="00082501">
        <w:rPr>
          <w:rFonts w:ascii="Times New Roman" w:hAnsi="Times New Roman" w:cs="Times New Roman"/>
          <w:sz w:val="24"/>
          <w:szCs w:val="24"/>
        </w:rPr>
        <w:t>Mari, 2021</w:t>
      </w:r>
      <w:r w:rsidR="008C70C1">
        <w:rPr>
          <w:rFonts w:ascii="Times New Roman" w:hAnsi="Times New Roman" w:cs="Times New Roman"/>
          <w:sz w:val="24"/>
          <w:szCs w:val="24"/>
        </w:rPr>
        <w:t xml:space="preserve">). Finally, the integrated marketing programme should take into consideration the role of promotion as an important marketing mix element. Promotion may be used as a tool for stimulating demand and rewarding customer loyalty (Kotler and Armstrong, 2018). Therefore, it is a way of developing higher loyalty and extending the popularity of the brand in the marketplace. </w:t>
      </w:r>
    </w:p>
    <w:p w:rsidR="009F4BAA" w:rsidRDefault="00082501"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stage of the model recognises the importance of </w:t>
      </w:r>
      <w:r w:rsidR="00365C4C">
        <w:rPr>
          <w:rFonts w:ascii="Times New Roman" w:hAnsi="Times New Roman" w:cs="Times New Roman"/>
          <w:sz w:val="24"/>
          <w:szCs w:val="24"/>
        </w:rPr>
        <w:t xml:space="preserve">developing profitable long-term relationships with customers as a basis for delivering higher value (Kotler et al., 2020). Productive relationships are essential for having loyal customers and strong brand value. In this relation, companies, including Tesco, have to keep customers satisfied and engaged – a topic discussed with more details in the next part of the essay. There are numerous ways through which solid customer relations may be developed. In general, it is important to keep customers satisfied and engaged with various initiatives (Kotler et al., 2020). Consistent performance and exceeding expectations are key characteristics for achieving high loyalty of customers. Tesco’s success in this key stage of customer value delivery model is seen by the fact that 85% of customers are considered as loyal ones with intentions to purchase repetitively in the future (Quinn, 2017). Moreover, Tesco has a significant brand value of </w:t>
      </w:r>
      <w:r w:rsidR="00365C4C" w:rsidRPr="00365C4C">
        <w:rPr>
          <w:rFonts w:ascii="Times New Roman" w:hAnsi="Times New Roman" w:cs="Times New Roman"/>
          <w:sz w:val="24"/>
          <w:szCs w:val="24"/>
        </w:rPr>
        <w:t>$9.2 billion</w:t>
      </w:r>
      <w:r w:rsidR="00365C4C">
        <w:rPr>
          <w:rFonts w:ascii="Times New Roman" w:hAnsi="Times New Roman" w:cs="Times New Roman"/>
          <w:sz w:val="24"/>
          <w:szCs w:val="24"/>
        </w:rPr>
        <w:t xml:space="preserve"> – the most valuable brand in the entire UK (O’Brien, 2019). This means that the retailer is able to generate significant intangible value in the marketplace. This also means that customers receive intangible benefits and value when purchasing from Tesco, such as reliability of products and services, status and other intangible features. </w:t>
      </w:r>
    </w:p>
    <w:p w:rsidR="00365C4C" w:rsidRPr="00365C4C" w:rsidRDefault="00365C4C"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Consistent efforts in the discussed four areas are required from Tesco in order to deliver high value to customers by employing marketing concepts. </w:t>
      </w:r>
    </w:p>
    <w:p w:rsidR="009F4BAA" w:rsidRDefault="009F4BAA" w:rsidP="009A5522">
      <w:pPr>
        <w:pStyle w:val="Heading1"/>
        <w:spacing w:before="0" w:line="360" w:lineRule="auto"/>
      </w:pPr>
      <w:bookmarkStart w:id="3" w:name="_Toc81499231"/>
      <w:r w:rsidRPr="009F4BAA">
        <w:lastRenderedPageBreak/>
        <w:t>Stakeholder engagement and their impact on the marketing activities of an organisation</w:t>
      </w:r>
      <w:bookmarkEnd w:id="3"/>
      <w:r w:rsidRPr="009F4BAA">
        <w:t xml:space="preserve"> </w:t>
      </w:r>
    </w:p>
    <w:p w:rsidR="00032D7C" w:rsidRDefault="00EB118B" w:rsidP="00B72112">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By definition, stakeholders may be different individual or groups. The common feature of all types of stakeholders refers to the fact that they are influenced or may influence the performance of an organisation (Johnson et al., 2017). Moreover, stakeholders may have a varying degree of interest in an organisation. Overall, stakeholders may be classified in two distinctive groups – internal and external (Johnson et al., 2017). The internal ones are directly related to the performance of an organisation, whereas the external ones are positioned outside of the formal boundaries of an organisation (Johnson et al., 2017). </w:t>
      </w:r>
    </w:p>
    <w:p w:rsidR="009F4BAA" w:rsidRDefault="00032D7C"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case of Tesco – the company under consideration in this essay – internal stakeholders include the members of the Board, shareholders, managers and employees. Respectively, being the largest UK retailer, Tesco also has numerous groups of external stakeholders, including suppliers, customers, community members, regulators, local and national authorities, creditors, media partners, etc. </w:t>
      </w:r>
    </w:p>
    <w:p w:rsidR="00782B77" w:rsidRPr="00782B77" w:rsidRDefault="00782B77" w:rsidP="00B72112">
      <w:pPr>
        <w:spacing w:after="240"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management of so many and diverse stakeholders is challenging due to the varying influence and interests of stakeholders; however, proper stakeholder management is an integral part of </w:t>
      </w:r>
      <w:r w:rsidRPr="00782B77">
        <w:rPr>
          <w:rFonts w:ascii="Times New Roman" w:hAnsi="Times New Roman" w:cs="Times New Roman"/>
          <w:color w:val="000000" w:themeColor="text1"/>
          <w:sz w:val="24"/>
          <w:szCs w:val="24"/>
        </w:rPr>
        <w:t xml:space="preserve">modern corporate governance (CG) process ensuring effective organisational functioning. </w:t>
      </w:r>
      <w:r w:rsidRPr="00782B77">
        <w:rPr>
          <w:rFonts w:cstheme="minorHAnsi"/>
          <w:color w:val="000000" w:themeColor="text1"/>
          <w:sz w:val="24"/>
          <w:szCs w:val="24"/>
        </w:rPr>
        <w:t xml:space="preserve">The function of corporate governance is to manage the people dynamics within organisations. It is important to include and satisfy the needs of all stakeholders, as explained by Ruangviset et al. (2014). The goal of such comprehensive activities is to strengthen the relationships between stakeholders, as well as ensure that the employees will be able to meet their targets within the departments through collaboration and trust (Ruangviset et al., 2014). Ruangviset et al. (2014) also define Corporate Social Responsibility (CSR) as the manner in which a company responds to the public’s expectations of it. Most often, the latter can take the form of environmental, ethical and legal demands; thereby, meeting the needs of various external stakeholders. CSR is hence effective in streamlining organisation’s work to deliver value without infringing on widely-accepted norms and regulations, thus retaining a favourable image with its own consumers (Ruangviset et al., 2014). </w:t>
      </w:r>
    </w:p>
    <w:p w:rsidR="00782B77" w:rsidRPr="00782B77" w:rsidRDefault="00FF6C24" w:rsidP="00B72112">
      <w:pPr>
        <w:spacing w:after="240" w:line="360" w:lineRule="auto"/>
        <w:jc w:val="both"/>
        <w:rPr>
          <w:rFonts w:cstheme="minorHAnsi"/>
          <w:color w:val="000000" w:themeColor="text1"/>
          <w:sz w:val="24"/>
          <w:szCs w:val="24"/>
        </w:rPr>
      </w:pPr>
      <w:r>
        <w:rPr>
          <w:rFonts w:cstheme="minorHAnsi"/>
          <w:color w:val="000000" w:themeColor="text1"/>
          <w:sz w:val="24"/>
          <w:szCs w:val="24"/>
        </w:rPr>
        <w:lastRenderedPageBreak/>
        <w:t>According to Carroll (2016</w:t>
      </w:r>
      <w:r w:rsidR="00782B77" w:rsidRPr="00782B77">
        <w:rPr>
          <w:rFonts w:cstheme="minorHAnsi"/>
          <w:color w:val="000000" w:themeColor="text1"/>
          <w:sz w:val="24"/>
          <w:szCs w:val="24"/>
        </w:rPr>
        <w:t>), CSR can be expressed within a pyramidal model as described below. The four main points in such an arrangement include the responsibilities tiered in a hierarchy from the fundamental to the ethical and philanthropic. The economic responsibilities serve as a foundation in this case since all the other levels are predicated on having the necessary funds to obey regulatio</w:t>
      </w:r>
      <w:r>
        <w:rPr>
          <w:rFonts w:cstheme="minorHAnsi"/>
          <w:color w:val="000000" w:themeColor="text1"/>
          <w:sz w:val="24"/>
          <w:szCs w:val="24"/>
        </w:rPr>
        <w:t>ns and principles (Carroll, 2016</w:t>
      </w:r>
      <w:r w:rsidR="00782B77" w:rsidRPr="00782B77">
        <w:rPr>
          <w:rFonts w:cstheme="minorHAnsi"/>
          <w:color w:val="000000" w:themeColor="text1"/>
          <w:sz w:val="24"/>
          <w:szCs w:val="24"/>
        </w:rPr>
        <w:t>). However, once a company is stable, it can marginally improve by climbing up the structure and evolving to serve the community as a whole rather than simply pursu</w:t>
      </w:r>
      <w:r>
        <w:rPr>
          <w:rFonts w:cstheme="minorHAnsi"/>
          <w:color w:val="000000" w:themeColor="text1"/>
          <w:sz w:val="24"/>
          <w:szCs w:val="24"/>
        </w:rPr>
        <w:t>ing its own needs (Carroll, 2016</w:t>
      </w:r>
      <w:r w:rsidR="00782B77" w:rsidRPr="00782B77">
        <w:rPr>
          <w:rFonts w:cstheme="minorHAnsi"/>
          <w:color w:val="000000" w:themeColor="text1"/>
          <w:sz w:val="24"/>
          <w:szCs w:val="24"/>
        </w:rPr>
        <w:t xml:space="preserve">). Solid management and proper CSR occur when the company was built early on to reflect all the main points, rather than focusing just on profit. </w:t>
      </w:r>
    </w:p>
    <w:p w:rsidR="00782B77" w:rsidRDefault="00365C4C" w:rsidP="00B72112">
      <w:pPr>
        <w:spacing w:after="240" w:line="360" w:lineRule="auto"/>
        <w:jc w:val="both"/>
        <w:rPr>
          <w:rFonts w:cstheme="minorHAnsi"/>
          <w:b/>
          <w:color w:val="000000" w:themeColor="text1"/>
          <w:sz w:val="24"/>
          <w:szCs w:val="24"/>
        </w:rPr>
      </w:pPr>
      <w:r>
        <w:rPr>
          <w:rFonts w:cstheme="minorHAnsi"/>
          <w:b/>
          <w:color w:val="000000" w:themeColor="text1"/>
          <w:sz w:val="24"/>
          <w:szCs w:val="24"/>
        </w:rPr>
        <w:t>Figure 2</w:t>
      </w:r>
      <w:r w:rsidR="00782B77" w:rsidRPr="000F3D59">
        <w:rPr>
          <w:rFonts w:cstheme="minorHAnsi"/>
          <w:b/>
          <w:color w:val="000000" w:themeColor="text1"/>
          <w:sz w:val="24"/>
          <w:szCs w:val="24"/>
        </w:rPr>
        <w:t xml:space="preserve"> – CSR pyramid </w:t>
      </w:r>
    </w:p>
    <w:p w:rsidR="00782B77" w:rsidRPr="00FF6C24" w:rsidRDefault="00FF6C24" w:rsidP="00B72112">
      <w:pPr>
        <w:spacing w:after="240" w:line="360" w:lineRule="auto"/>
        <w:jc w:val="both"/>
        <w:rPr>
          <w:rFonts w:cstheme="minorHAnsi"/>
          <w:b/>
          <w:color w:val="000000" w:themeColor="text1"/>
          <w:sz w:val="24"/>
          <w:szCs w:val="24"/>
        </w:rPr>
      </w:pPr>
      <w:r>
        <w:rPr>
          <w:rFonts w:cstheme="minorHAnsi"/>
          <w:b/>
          <w:noProof/>
          <w:color w:val="000000" w:themeColor="text1"/>
          <w:sz w:val="24"/>
          <w:szCs w:val="24"/>
          <w:lang w:eastAsia="en-GB"/>
        </w:rPr>
        <w:drawing>
          <wp:inline distT="0" distB="0" distL="0" distR="0">
            <wp:extent cx="5940316" cy="4669959"/>
            <wp:effectExtent l="19050" t="0" r="3284"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5943656" cy="4672585"/>
                    </a:xfrm>
                    <a:prstGeom prst="rect">
                      <a:avLst/>
                    </a:prstGeom>
                    <a:noFill/>
                    <a:ln w="9525">
                      <a:noFill/>
                      <a:miter lim="800000"/>
                      <a:headEnd/>
                      <a:tailEnd/>
                    </a:ln>
                  </pic:spPr>
                </pic:pic>
              </a:graphicData>
            </a:graphic>
          </wp:inline>
        </w:drawing>
      </w:r>
    </w:p>
    <w:p w:rsidR="00782B77" w:rsidRPr="00782B77" w:rsidRDefault="00FF6C24" w:rsidP="00B72112">
      <w:pPr>
        <w:spacing w:after="240" w:line="360" w:lineRule="auto"/>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Source: Carroll (2016</w:t>
      </w:r>
      <w:r w:rsidR="00782B77" w:rsidRPr="00782B77">
        <w:rPr>
          <w:rFonts w:ascii="Times New Roman" w:hAnsi="Times New Roman" w:cs="Times New Roman"/>
          <w:i/>
          <w:color w:val="000000" w:themeColor="text1"/>
          <w:sz w:val="24"/>
          <w:szCs w:val="24"/>
        </w:rPr>
        <w:t>)</w:t>
      </w:r>
    </w:p>
    <w:p w:rsidR="00782B77" w:rsidRPr="003652CD" w:rsidRDefault="00782B77" w:rsidP="00B72112">
      <w:pPr>
        <w:spacing w:after="240" w:line="360" w:lineRule="auto"/>
        <w:jc w:val="both"/>
        <w:rPr>
          <w:rFonts w:ascii="Times New Roman" w:hAnsi="Times New Roman" w:cs="Times New Roman"/>
          <w:color w:val="000000" w:themeColor="text1"/>
          <w:sz w:val="24"/>
          <w:szCs w:val="24"/>
          <w:lang w:val="en-US"/>
        </w:rPr>
      </w:pPr>
      <w:r w:rsidRPr="00782B77">
        <w:rPr>
          <w:rFonts w:ascii="Times New Roman" w:hAnsi="Times New Roman" w:cs="Times New Roman"/>
          <w:color w:val="000000" w:themeColor="text1"/>
          <w:sz w:val="24"/>
          <w:szCs w:val="24"/>
          <w:lang w:val="en-US"/>
        </w:rPr>
        <w:lastRenderedPageBreak/>
        <w:t xml:space="preserve">The analysis clearly shows the wide range of responsibilities for Tesco in addressing different types of needs at the various levels of the CSR pyramid model. These needs of stakeholders are often contrasting in their nature which requires findings the balance between the interests and power of stakeholders. There are numerous examples in this direction. </w:t>
      </w:r>
      <w:r>
        <w:rPr>
          <w:rFonts w:ascii="Times New Roman" w:hAnsi="Times New Roman" w:cs="Times New Roman"/>
          <w:color w:val="000000" w:themeColor="text1"/>
          <w:sz w:val="24"/>
          <w:szCs w:val="24"/>
          <w:lang w:val="en-US"/>
        </w:rPr>
        <w:t xml:space="preserve">For example, shareholders of Tesco, who are the owners of the company, are primary interested in achieving profit maximisation – the first level of the pyramid. Nevertheless, Tesco has legal obligations to provide safe working environment, </w:t>
      </w:r>
      <w:r w:rsidR="000C76B4">
        <w:rPr>
          <w:rFonts w:ascii="Times New Roman" w:hAnsi="Times New Roman" w:cs="Times New Roman"/>
          <w:color w:val="000000" w:themeColor="text1"/>
          <w:sz w:val="24"/>
          <w:szCs w:val="24"/>
          <w:lang w:val="en-US"/>
        </w:rPr>
        <w:t>deliver paid holiday several weeks per year</w:t>
      </w:r>
      <w:r>
        <w:rPr>
          <w:rFonts w:ascii="Times New Roman" w:hAnsi="Times New Roman" w:cs="Times New Roman"/>
          <w:color w:val="000000" w:themeColor="text1"/>
          <w:sz w:val="24"/>
          <w:szCs w:val="24"/>
          <w:lang w:val="en-US"/>
        </w:rPr>
        <w:t xml:space="preserve">, as well as comply with the national </w:t>
      </w:r>
      <w:r w:rsidRPr="00FF6C24">
        <w:rPr>
          <w:rFonts w:ascii="Times New Roman" w:hAnsi="Times New Roman" w:cs="Times New Roman"/>
          <w:color w:val="000000" w:themeColor="text1"/>
          <w:sz w:val="24"/>
          <w:szCs w:val="24"/>
          <w:lang w:val="en-US"/>
        </w:rPr>
        <w:t>minimum pay level</w:t>
      </w:r>
      <w:r w:rsidR="00FF6C24" w:rsidRPr="00FF6C24">
        <w:rPr>
          <w:rFonts w:ascii="Times New Roman" w:hAnsi="Times New Roman" w:cs="Times New Roman"/>
          <w:color w:val="000000" w:themeColor="text1"/>
          <w:sz w:val="24"/>
          <w:szCs w:val="24"/>
          <w:lang w:val="en-US"/>
        </w:rPr>
        <w:t xml:space="preserve"> (Martin and Broadbent, 2021</w:t>
      </w:r>
      <w:r w:rsidR="00EC4E81" w:rsidRPr="00FF6C24">
        <w:rPr>
          <w:rFonts w:ascii="Times New Roman" w:hAnsi="Times New Roman" w:cs="Times New Roman"/>
          <w:color w:val="000000" w:themeColor="text1"/>
          <w:sz w:val="24"/>
          <w:szCs w:val="24"/>
          <w:lang w:val="en-US"/>
        </w:rPr>
        <w:t>)</w:t>
      </w:r>
      <w:r w:rsidRPr="00FF6C24">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These obligations are to a great extent determined by the national regulations and </w:t>
      </w:r>
      <w:r w:rsidR="00EC4E81">
        <w:rPr>
          <w:rFonts w:ascii="Times New Roman" w:hAnsi="Times New Roman" w:cs="Times New Roman"/>
          <w:color w:val="000000" w:themeColor="text1"/>
          <w:sz w:val="24"/>
          <w:szCs w:val="24"/>
          <w:lang w:val="en-US"/>
        </w:rPr>
        <w:t>UK labour law propositions</w:t>
      </w:r>
      <w:r>
        <w:rPr>
          <w:rFonts w:ascii="Times New Roman" w:hAnsi="Times New Roman" w:cs="Times New Roman"/>
          <w:color w:val="000000" w:themeColor="text1"/>
          <w:sz w:val="24"/>
          <w:szCs w:val="24"/>
          <w:lang w:val="en-US"/>
        </w:rPr>
        <w:t xml:space="preserve">; thereby posing legal obligations for Tesco (second level of the pyramid). </w:t>
      </w:r>
      <w:r w:rsidR="000C76B4">
        <w:rPr>
          <w:rFonts w:ascii="Times New Roman" w:hAnsi="Times New Roman" w:cs="Times New Roman"/>
          <w:color w:val="000000" w:themeColor="text1"/>
          <w:sz w:val="24"/>
          <w:szCs w:val="24"/>
          <w:lang w:val="en-US"/>
        </w:rPr>
        <w:t xml:space="preserve">Addressing these obligations benefits employees, who are an important internal stakeholder group; however, the extra expenses reduce profitability; hence contrasting with the interests of shareholders. </w:t>
      </w:r>
      <w:r w:rsidR="00EC4E81">
        <w:rPr>
          <w:rFonts w:ascii="Times New Roman" w:hAnsi="Times New Roman" w:cs="Times New Roman"/>
          <w:color w:val="000000" w:themeColor="text1"/>
          <w:sz w:val="24"/>
          <w:szCs w:val="24"/>
          <w:lang w:val="en-US"/>
        </w:rPr>
        <w:t xml:space="preserve">In addition to all, Tesco may invest in sustainable policies, such as ethical product sourcing, new more sustainable energy sources, or alternatively donate funds for charitable activities. These examples show possible actions in relation to the </w:t>
      </w:r>
      <w:r w:rsidR="00EC4E81" w:rsidRPr="003652CD">
        <w:rPr>
          <w:rFonts w:ascii="Times New Roman" w:hAnsi="Times New Roman" w:cs="Times New Roman"/>
          <w:color w:val="000000" w:themeColor="text1"/>
          <w:sz w:val="24"/>
          <w:szCs w:val="24"/>
          <w:lang w:val="en-US"/>
        </w:rPr>
        <w:t xml:space="preserve">ethical and philanthropic levels of the pyramid. While being beneficial for customers and communities, these activities also reduce profitability of Tesco due to the extra costs which is in contrast to the interests of the shareholders and creditors. </w:t>
      </w:r>
    </w:p>
    <w:p w:rsidR="003652CD" w:rsidRDefault="003652CD" w:rsidP="00B72112">
      <w:pPr>
        <w:spacing w:line="360" w:lineRule="auto"/>
        <w:jc w:val="both"/>
        <w:rPr>
          <w:rFonts w:ascii="Times New Roman" w:hAnsi="Times New Roman" w:cs="Times New Roman"/>
          <w:sz w:val="24"/>
          <w:szCs w:val="24"/>
        </w:rPr>
      </w:pPr>
      <w:r w:rsidRPr="003652CD">
        <w:rPr>
          <w:rFonts w:ascii="Times New Roman" w:hAnsi="Times New Roman" w:cs="Times New Roman"/>
          <w:sz w:val="24"/>
          <w:szCs w:val="24"/>
        </w:rPr>
        <w:t xml:space="preserve">Considering the different interests and influence of stakeholders, as well as the limited organisational resources, it is very important to implement an effective communication strategy ensuring stakeholders’ engagement. Johnson et al. (2017) </w:t>
      </w:r>
      <w:r>
        <w:rPr>
          <w:rFonts w:ascii="Times New Roman" w:hAnsi="Times New Roman" w:cs="Times New Roman"/>
          <w:sz w:val="24"/>
          <w:szCs w:val="24"/>
        </w:rPr>
        <w:t xml:space="preserve">propose the use of stakeholder mapping – a tool for evaluation of stakeholders’ importance on the basis of the degree of interest and influence. Respectively, organisations, including Tesco, may achieve the maximum level of stakeholder engagement, if applying the communication strategy suitable for each stakeholder group (Johnson et al., 2017). The stakeholder mapping suggests that key stakeholders with maximum interest and influence should receive maximum attention and close management. And the vice versa – regular minimum contact is the strategy to stakeholder with low interest and influence (Johnson et al., 2017). There are also mixed strategies. Keep completely informed is a communication approach to stakeholders with high interest and minimum influence, whereas Tesco has to meet the needs of influential but disinterested stakeholders (Johnson et al., 2017). </w:t>
      </w:r>
    </w:p>
    <w:p w:rsidR="00B72112" w:rsidRPr="003652CD" w:rsidRDefault="003652CD" w:rsidP="00B7211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stakeholder mapping for Tesco is shown below where there</w:t>
      </w:r>
      <w:r w:rsidR="00D358AC">
        <w:rPr>
          <w:rFonts w:ascii="Times New Roman" w:hAnsi="Times New Roman" w:cs="Times New Roman"/>
          <w:sz w:val="24"/>
          <w:szCs w:val="24"/>
        </w:rPr>
        <w:t xml:space="preserve"> are</w:t>
      </w:r>
      <w:r>
        <w:rPr>
          <w:rFonts w:ascii="Times New Roman" w:hAnsi="Times New Roman" w:cs="Times New Roman"/>
          <w:sz w:val="24"/>
          <w:szCs w:val="24"/>
        </w:rPr>
        <w:t xml:space="preserve"> different groups of stakeholders are positioned based on the evaluation of their interest and influence. </w:t>
      </w:r>
    </w:p>
    <w:p w:rsidR="009F4BAA" w:rsidRDefault="009F4BAA" w:rsidP="00B72112">
      <w:pPr>
        <w:spacing w:after="240" w:line="360" w:lineRule="auto"/>
        <w:jc w:val="both"/>
        <w:rPr>
          <w:rFonts w:ascii="Times New Roman" w:hAnsi="Times New Roman" w:cs="Times New Roman"/>
          <w:b/>
          <w:sz w:val="24"/>
          <w:szCs w:val="24"/>
        </w:rPr>
      </w:pPr>
      <w:r w:rsidRPr="005A527D">
        <w:rPr>
          <w:rFonts w:ascii="Times New Roman" w:hAnsi="Times New Roman" w:cs="Times New Roman"/>
          <w:b/>
          <w:sz w:val="24"/>
          <w:szCs w:val="24"/>
        </w:rPr>
        <w:t xml:space="preserve">Figure </w:t>
      </w:r>
      <w:r w:rsidR="00365C4C">
        <w:rPr>
          <w:rFonts w:ascii="Times New Roman" w:hAnsi="Times New Roman" w:cs="Times New Roman"/>
          <w:b/>
          <w:sz w:val="24"/>
          <w:szCs w:val="24"/>
        </w:rPr>
        <w:t>3</w:t>
      </w:r>
      <w:r w:rsidR="003652CD">
        <w:rPr>
          <w:rFonts w:ascii="Times New Roman" w:hAnsi="Times New Roman" w:cs="Times New Roman"/>
          <w:b/>
          <w:sz w:val="24"/>
          <w:szCs w:val="24"/>
        </w:rPr>
        <w:t xml:space="preserve"> – Stakeholder mapping for Tesco</w:t>
      </w:r>
      <w:r w:rsidRPr="005A527D">
        <w:rPr>
          <w:rFonts w:ascii="Times New Roman" w:hAnsi="Times New Roman" w:cs="Times New Roman"/>
          <w:b/>
          <w:sz w:val="24"/>
          <w:szCs w:val="24"/>
        </w:rPr>
        <w:t xml:space="preserve"> </w:t>
      </w:r>
    </w:p>
    <w:p w:rsidR="009F4BAA" w:rsidRPr="00035E18" w:rsidRDefault="00035E18" w:rsidP="00B72112">
      <w:pPr>
        <w:spacing w:after="240"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6044960" cy="41148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6055190" cy="4121764"/>
                    </a:xfrm>
                    <a:prstGeom prst="rect">
                      <a:avLst/>
                    </a:prstGeom>
                    <a:noFill/>
                    <a:ln w="9525">
                      <a:noFill/>
                      <a:miter lim="800000"/>
                      <a:headEnd/>
                      <a:tailEnd/>
                    </a:ln>
                  </pic:spPr>
                </pic:pic>
              </a:graphicData>
            </a:graphic>
          </wp:inline>
        </w:drawing>
      </w:r>
    </w:p>
    <w:p w:rsidR="009F4BAA" w:rsidRPr="005A527D" w:rsidRDefault="009F4BAA" w:rsidP="00B72112">
      <w:pPr>
        <w:spacing w:after="240" w:line="360" w:lineRule="auto"/>
        <w:jc w:val="both"/>
        <w:rPr>
          <w:rFonts w:ascii="Times New Roman" w:hAnsi="Times New Roman" w:cs="Times New Roman"/>
          <w:i/>
          <w:sz w:val="24"/>
          <w:szCs w:val="24"/>
        </w:rPr>
      </w:pPr>
      <w:r w:rsidRPr="005A527D">
        <w:rPr>
          <w:rFonts w:ascii="Times New Roman" w:hAnsi="Times New Roman" w:cs="Times New Roman"/>
          <w:i/>
          <w:sz w:val="24"/>
          <w:szCs w:val="24"/>
        </w:rPr>
        <w:t>Source: Simon (2016)</w:t>
      </w:r>
    </w:p>
    <w:p w:rsidR="00035E18" w:rsidRDefault="00035E18"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clearly indicates the importance of customers, as they have a high level of interest and influence on Tesco. Although considered as an external stakeholder group, customers influence the marketing process of Tesco in several different ways; hence, the company has to keep them engagement through a strategy of thorough management. In order to support the statement with evidence, the importance of customer engagement is analysed through the prism of the marketing mix – an important concept in marketing which determines organisational positioning and competitiveness in the marketplace (Kotler and Armstrong, 2018). Thus, the effect of customers on </w:t>
      </w:r>
      <w:r w:rsidR="00C03F53">
        <w:rPr>
          <w:rFonts w:ascii="Times New Roman" w:hAnsi="Times New Roman" w:cs="Times New Roman"/>
          <w:sz w:val="24"/>
          <w:szCs w:val="24"/>
        </w:rPr>
        <w:t>some of the key marketing mix elements</w:t>
      </w:r>
      <w:r>
        <w:rPr>
          <w:rFonts w:ascii="Times New Roman" w:hAnsi="Times New Roman" w:cs="Times New Roman"/>
          <w:sz w:val="24"/>
          <w:szCs w:val="24"/>
        </w:rPr>
        <w:t xml:space="preserve"> is analysed accordingly. </w:t>
      </w:r>
    </w:p>
    <w:p w:rsidR="00035E18" w:rsidRDefault="00036E6A"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First of all, engaged customers are also more likely to share information with the company and deliver important feedback regarding product performance and possible fields of improvement. This is important for Tesco, as consumer information could be used as a basis of timely and in-depth information. This in turn may be used as a justification for product portfolio changes and improvements according to the contemporary consumer trends and demand changes. This in turn contributes to organisational flexibility and delivery of more high-in-demand products which maximise organisational performance. </w:t>
      </w:r>
    </w:p>
    <w:p w:rsidR="00036E6A" w:rsidRDefault="00036E6A"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Engaged customers are also found to be more dedicated and loyal to the company (Kotler and Armstrong, 2018). This has important implications on pricing and promotion. In relation to pricing, </w:t>
      </w:r>
      <w:r w:rsidR="00420435">
        <w:rPr>
          <w:rFonts w:ascii="Times New Roman" w:hAnsi="Times New Roman" w:cs="Times New Roman"/>
          <w:sz w:val="24"/>
          <w:szCs w:val="24"/>
        </w:rPr>
        <w:t>loyal customers are more likely to pay higher prices in order to get access to the products and services of their preferred provider (Kotler and Armstrong, 2018). Thus, Tesco should keep customers engaged in order to strengthen their satisfaction and loyalty – key features allowing for higher profit margins. The evidence shows that Tesco has management to maintain relatively high levels</w:t>
      </w:r>
      <w:r w:rsidR="00C14A1B">
        <w:rPr>
          <w:rFonts w:ascii="Times New Roman" w:hAnsi="Times New Roman" w:cs="Times New Roman"/>
          <w:sz w:val="24"/>
          <w:szCs w:val="24"/>
        </w:rPr>
        <w:t xml:space="preserve"> of satisfaction and loyalty. Satisfaction has improved over the last two years, whereas loyalty is seen by the fact that 85% of existing customers express their willingness to purchase again from the retailer (Quinn, 2017). </w:t>
      </w:r>
    </w:p>
    <w:p w:rsidR="00420435" w:rsidRDefault="00420435"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Loyalty is </w:t>
      </w:r>
      <w:r w:rsidR="00C14A1B">
        <w:rPr>
          <w:rFonts w:ascii="Times New Roman" w:hAnsi="Times New Roman" w:cs="Times New Roman"/>
          <w:sz w:val="24"/>
          <w:szCs w:val="24"/>
        </w:rPr>
        <w:t xml:space="preserve">also </w:t>
      </w:r>
      <w:r>
        <w:rPr>
          <w:rFonts w:ascii="Times New Roman" w:hAnsi="Times New Roman" w:cs="Times New Roman"/>
          <w:sz w:val="24"/>
          <w:szCs w:val="24"/>
        </w:rPr>
        <w:t xml:space="preserve">seen by the fact that Tesco has managed to sustain its market share in the last several years regardless of the aggressive competition of discount providers, such as Lidl and Aldi (Blazquez, 2021). The discounters have managed to gain higher market share; however, Tesco has been able to stay the leader in the retail industry with a market share of approximately 27%, as shown below (Blazquez, 2021). This clearly shows the importance of customer engagement and the corresponding loyalty in order to achieve marketing success. </w:t>
      </w:r>
    </w:p>
    <w:p w:rsidR="00B72112" w:rsidRDefault="00B72112" w:rsidP="00B72112">
      <w:pPr>
        <w:spacing w:after="240" w:line="360" w:lineRule="auto"/>
        <w:jc w:val="both"/>
        <w:rPr>
          <w:rFonts w:ascii="Times New Roman" w:hAnsi="Times New Roman" w:cs="Times New Roman"/>
          <w:sz w:val="24"/>
          <w:szCs w:val="24"/>
        </w:rPr>
      </w:pPr>
    </w:p>
    <w:p w:rsidR="00B72112" w:rsidRDefault="00B72112" w:rsidP="00B72112">
      <w:pPr>
        <w:spacing w:after="240" w:line="360" w:lineRule="auto"/>
        <w:jc w:val="both"/>
        <w:rPr>
          <w:rFonts w:ascii="Times New Roman" w:hAnsi="Times New Roman" w:cs="Times New Roman"/>
          <w:sz w:val="24"/>
          <w:szCs w:val="24"/>
        </w:rPr>
      </w:pPr>
    </w:p>
    <w:p w:rsidR="00B72112" w:rsidRDefault="00B72112" w:rsidP="00B72112">
      <w:pPr>
        <w:spacing w:after="240" w:line="360" w:lineRule="auto"/>
        <w:jc w:val="both"/>
        <w:rPr>
          <w:rFonts w:ascii="Times New Roman" w:hAnsi="Times New Roman" w:cs="Times New Roman"/>
          <w:sz w:val="24"/>
          <w:szCs w:val="24"/>
        </w:rPr>
      </w:pPr>
    </w:p>
    <w:p w:rsidR="00B72112" w:rsidRDefault="00B72112" w:rsidP="00B72112">
      <w:pPr>
        <w:spacing w:after="240" w:line="360" w:lineRule="auto"/>
        <w:jc w:val="both"/>
        <w:rPr>
          <w:rFonts w:ascii="Times New Roman" w:hAnsi="Times New Roman" w:cs="Times New Roman"/>
          <w:sz w:val="24"/>
          <w:szCs w:val="24"/>
        </w:rPr>
      </w:pPr>
    </w:p>
    <w:p w:rsidR="009A5522" w:rsidRDefault="009A5522" w:rsidP="00B72112">
      <w:pPr>
        <w:spacing w:after="240" w:line="360" w:lineRule="auto"/>
        <w:jc w:val="both"/>
        <w:rPr>
          <w:rFonts w:ascii="Times New Roman" w:hAnsi="Times New Roman" w:cs="Times New Roman"/>
          <w:sz w:val="24"/>
          <w:szCs w:val="24"/>
        </w:rPr>
      </w:pPr>
    </w:p>
    <w:p w:rsidR="00420435" w:rsidRPr="00420435" w:rsidRDefault="00365C4C" w:rsidP="00B72112">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Figure 4</w:t>
      </w:r>
      <w:r w:rsidR="00420435" w:rsidRPr="00420435">
        <w:rPr>
          <w:rFonts w:ascii="Times New Roman" w:hAnsi="Times New Roman" w:cs="Times New Roman"/>
          <w:b/>
          <w:sz w:val="24"/>
          <w:szCs w:val="24"/>
        </w:rPr>
        <w:t xml:space="preserve"> – Market share changes of major UK retailers</w:t>
      </w:r>
    </w:p>
    <w:p w:rsidR="00420435" w:rsidRDefault="00420435" w:rsidP="00B72112">
      <w:pPr>
        <w:spacing w:after="24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75350" cy="3232150"/>
            <wp:effectExtent l="19050" t="0" r="635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975350" cy="3232150"/>
                    </a:xfrm>
                    <a:prstGeom prst="rect">
                      <a:avLst/>
                    </a:prstGeom>
                    <a:noFill/>
                    <a:ln w="9525">
                      <a:noFill/>
                      <a:miter lim="800000"/>
                      <a:headEnd/>
                      <a:tailEnd/>
                    </a:ln>
                  </pic:spPr>
                </pic:pic>
              </a:graphicData>
            </a:graphic>
          </wp:inline>
        </w:drawing>
      </w:r>
    </w:p>
    <w:p w:rsidR="00420435" w:rsidRPr="00420435" w:rsidRDefault="00420435" w:rsidP="00B72112">
      <w:pPr>
        <w:spacing w:after="240" w:line="360" w:lineRule="auto"/>
        <w:jc w:val="both"/>
        <w:rPr>
          <w:rFonts w:ascii="Times New Roman" w:hAnsi="Times New Roman" w:cs="Times New Roman"/>
          <w:i/>
          <w:sz w:val="24"/>
          <w:szCs w:val="24"/>
        </w:rPr>
      </w:pPr>
      <w:r w:rsidRPr="00420435">
        <w:rPr>
          <w:rFonts w:ascii="Times New Roman" w:hAnsi="Times New Roman" w:cs="Times New Roman"/>
          <w:i/>
          <w:sz w:val="24"/>
          <w:szCs w:val="24"/>
        </w:rPr>
        <w:t>Source: Blazquez (2021)</w:t>
      </w:r>
    </w:p>
    <w:p w:rsidR="00035E18" w:rsidRDefault="00C03F53" w:rsidP="00B7211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third main area, where consumer engagement plays a key role, refers to promotion. In general, Tesco spends more than £81 million per year for advertising purposes (Statista, 2021). This is a considerable amount aiming at populirising the brand and attracting consumer demand. Engaged customers are more likely to conduct positive word-of-mouth – sharing positive feedback with friends, family members and colleagues about the company and its offers (Hayes, 2021). Worth-of-mouth is very important because 92% of consumers trust the opinions of their friends rather than the advertising messages of traditional media (Hayes, 2021). As a result, Tesco has to satisfy its customers and keep them engaged with the company in order to reduce advertising costs and achieve higher marketing effectiveness through positive word-of-mouth. This example clearly demonstrates the importance of stakeholder engagement in general, as positive worth-of-mouth may also contribute not only to having more customers, but also improve business relationships with key external stakeholders, such as partners, suppliers, creditors, etc.; thereby, delivering holistic positive effects on performance.</w:t>
      </w:r>
    </w:p>
    <w:p w:rsidR="009F4BAA" w:rsidRPr="000A4A40" w:rsidRDefault="000A4A40" w:rsidP="00B72112">
      <w:pPr>
        <w:pStyle w:val="Heading1"/>
        <w:spacing w:line="360" w:lineRule="auto"/>
      </w:pPr>
      <w:bookmarkStart w:id="4" w:name="_Toc81499232"/>
      <w:r w:rsidRPr="000A4A40">
        <w:lastRenderedPageBreak/>
        <w:t>Conclusion</w:t>
      </w:r>
      <w:bookmarkEnd w:id="4"/>
      <w:r w:rsidRPr="000A4A40">
        <w:t xml:space="preserve"> </w:t>
      </w:r>
    </w:p>
    <w:p w:rsidR="000A4A40" w:rsidRPr="00B72112" w:rsidRDefault="00365C4C" w:rsidP="00B72112">
      <w:pPr>
        <w:spacing w:line="360" w:lineRule="auto"/>
        <w:jc w:val="both"/>
        <w:rPr>
          <w:rFonts w:ascii="Times New Roman" w:hAnsi="Times New Roman" w:cs="Times New Roman"/>
          <w:sz w:val="24"/>
          <w:szCs w:val="24"/>
          <w:lang w:val="en-US"/>
        </w:rPr>
      </w:pPr>
      <w:r w:rsidRPr="00B72112">
        <w:rPr>
          <w:rFonts w:ascii="Times New Roman" w:hAnsi="Times New Roman" w:cs="Times New Roman"/>
          <w:sz w:val="24"/>
          <w:szCs w:val="24"/>
          <w:lang w:val="en-US"/>
        </w:rPr>
        <w:t xml:space="preserve">In the </w:t>
      </w:r>
      <w:r w:rsidR="00B72112" w:rsidRPr="00B72112">
        <w:rPr>
          <w:rFonts w:ascii="Times New Roman" w:hAnsi="Times New Roman" w:cs="Times New Roman"/>
          <w:sz w:val="24"/>
          <w:szCs w:val="24"/>
          <w:lang w:val="en-US"/>
        </w:rPr>
        <w:t xml:space="preserve">light of research findings, it is of increasing importance </w:t>
      </w:r>
      <w:r w:rsidR="00B72112">
        <w:rPr>
          <w:rFonts w:ascii="Times New Roman" w:hAnsi="Times New Roman" w:cs="Times New Roman"/>
          <w:sz w:val="24"/>
          <w:szCs w:val="24"/>
          <w:lang w:val="en-US"/>
        </w:rPr>
        <w:t xml:space="preserve">for business organisations to effectively meet different needs of customers and other stakeholders. Over time, market success requires flexibility and responsiveness to changing needs. A pro-active approach is expected from companies as a way of satisfying stakeholders’ requirements and achieving sustainable performance in a changing marketplace, as explained by the involved concepts and evidence from Tesco. </w:t>
      </w:r>
    </w:p>
    <w:p w:rsidR="000A4A40" w:rsidRPr="00B72112" w:rsidRDefault="000A4A40" w:rsidP="00B72112">
      <w:pPr>
        <w:spacing w:line="360" w:lineRule="auto"/>
        <w:jc w:val="both"/>
        <w:rPr>
          <w:rFonts w:ascii="Times New Roman" w:hAnsi="Times New Roman" w:cs="Times New Roman"/>
          <w:sz w:val="24"/>
          <w:szCs w:val="24"/>
          <w:lang w:val="en-US"/>
        </w:rPr>
      </w:pPr>
    </w:p>
    <w:p w:rsidR="000A4A40" w:rsidRPr="00B72112" w:rsidRDefault="000A4A40" w:rsidP="00B72112">
      <w:pPr>
        <w:spacing w:line="360" w:lineRule="auto"/>
        <w:jc w:val="both"/>
        <w:rPr>
          <w:rFonts w:ascii="Times New Roman" w:hAnsi="Times New Roman" w:cs="Times New Roman"/>
          <w:sz w:val="24"/>
          <w:szCs w:val="24"/>
          <w:lang w:val="en-US"/>
        </w:rPr>
      </w:pPr>
    </w:p>
    <w:p w:rsidR="000A4A40" w:rsidRPr="00B72112" w:rsidRDefault="000A4A40" w:rsidP="00B72112">
      <w:pPr>
        <w:spacing w:line="360" w:lineRule="auto"/>
        <w:jc w:val="both"/>
        <w:rPr>
          <w:rFonts w:ascii="Times New Roman" w:hAnsi="Times New Roman" w:cs="Times New Roman"/>
          <w:sz w:val="24"/>
          <w:szCs w:val="24"/>
          <w:lang w:val="en-US"/>
        </w:rPr>
      </w:pPr>
    </w:p>
    <w:p w:rsidR="000A4A40" w:rsidRDefault="000A4A40"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Default="00B72112" w:rsidP="00B72112">
      <w:pPr>
        <w:spacing w:line="360" w:lineRule="auto"/>
        <w:jc w:val="both"/>
        <w:rPr>
          <w:rFonts w:ascii="Times New Roman" w:hAnsi="Times New Roman" w:cs="Times New Roman"/>
          <w:sz w:val="24"/>
          <w:szCs w:val="24"/>
          <w:lang w:val="en-US"/>
        </w:rPr>
      </w:pPr>
    </w:p>
    <w:p w:rsidR="00B72112" w:rsidRPr="00B72112" w:rsidRDefault="00B72112" w:rsidP="00B72112">
      <w:pPr>
        <w:spacing w:line="360" w:lineRule="auto"/>
        <w:jc w:val="both"/>
        <w:rPr>
          <w:rFonts w:ascii="Times New Roman" w:hAnsi="Times New Roman" w:cs="Times New Roman"/>
          <w:sz w:val="24"/>
          <w:szCs w:val="24"/>
          <w:lang w:val="en-US"/>
        </w:rPr>
      </w:pPr>
    </w:p>
    <w:p w:rsidR="00B72112" w:rsidRPr="00B72112" w:rsidRDefault="000A4A40" w:rsidP="00B72112">
      <w:pPr>
        <w:pStyle w:val="Heading1"/>
        <w:spacing w:before="0" w:line="360" w:lineRule="auto"/>
        <w:rPr>
          <w:lang w:val="en-US"/>
        </w:rPr>
      </w:pPr>
      <w:bookmarkStart w:id="5" w:name="_Toc81499233"/>
      <w:r w:rsidRPr="000A4A40">
        <w:lastRenderedPageBreak/>
        <w:t>References</w:t>
      </w:r>
      <w:bookmarkEnd w:id="5"/>
    </w:p>
    <w:p w:rsidR="00B72112" w:rsidRPr="00C03F53" w:rsidRDefault="00B72112" w:rsidP="00B72112">
      <w:pPr>
        <w:spacing w:line="360" w:lineRule="auto"/>
        <w:rPr>
          <w:rFonts w:ascii="Times New Roman" w:hAnsi="Times New Roman" w:cs="Times New Roman"/>
          <w:bCs/>
          <w:sz w:val="24"/>
          <w:szCs w:val="24"/>
          <w:lang w:val="en-US"/>
        </w:rPr>
      </w:pPr>
      <w:r w:rsidRPr="00C03F53">
        <w:rPr>
          <w:rFonts w:ascii="Times New Roman" w:hAnsi="Times New Roman" w:cs="Times New Roman"/>
          <w:sz w:val="24"/>
          <w:szCs w:val="24"/>
          <w:lang w:val="en-US"/>
        </w:rPr>
        <w:t xml:space="preserve">Blazquez, A. (2021) </w:t>
      </w:r>
      <w:r w:rsidRPr="00C03F53">
        <w:rPr>
          <w:rFonts w:ascii="Times New Roman" w:hAnsi="Times New Roman" w:cs="Times New Roman"/>
          <w:bCs/>
          <w:i/>
          <w:sz w:val="24"/>
          <w:szCs w:val="24"/>
          <w:lang w:val="en-US"/>
        </w:rPr>
        <w:t>Grocery market share in Great Britain 2017-2021</w:t>
      </w:r>
      <w:r w:rsidRPr="00C03F53">
        <w:rPr>
          <w:rFonts w:ascii="Times New Roman" w:hAnsi="Times New Roman" w:cs="Times New Roman"/>
          <w:bCs/>
          <w:sz w:val="24"/>
          <w:szCs w:val="24"/>
          <w:lang w:val="en-US"/>
        </w:rPr>
        <w:t xml:space="preserve">, [online] Available: </w:t>
      </w:r>
      <w:hyperlink r:id="rId13" w:history="1">
        <w:r w:rsidRPr="00C03F53">
          <w:rPr>
            <w:rStyle w:val="Hyperlink"/>
            <w:rFonts w:ascii="Times New Roman" w:hAnsi="Times New Roman" w:cs="Times New Roman"/>
            <w:bCs/>
            <w:sz w:val="24"/>
            <w:szCs w:val="24"/>
            <w:lang w:val="en-US"/>
          </w:rPr>
          <w:t>https://www.statista.com/statistics/280208/grocery-market-share-in-the-united-kingdom-uk/</w:t>
        </w:r>
      </w:hyperlink>
      <w:r w:rsidRPr="00C03F53">
        <w:rPr>
          <w:rFonts w:ascii="Times New Roman" w:hAnsi="Times New Roman" w:cs="Times New Roman"/>
          <w:bCs/>
          <w:sz w:val="24"/>
          <w:szCs w:val="24"/>
          <w:lang w:val="en-US"/>
        </w:rPr>
        <w:t xml:space="preserve"> [Accessed: 30 August 2021]</w:t>
      </w:r>
    </w:p>
    <w:p w:rsidR="00B72112" w:rsidRPr="00C03F53" w:rsidRDefault="00B72112" w:rsidP="00B72112">
      <w:pPr>
        <w:spacing w:line="360" w:lineRule="auto"/>
        <w:rPr>
          <w:rFonts w:ascii="Times New Roman" w:hAnsi="Times New Roman" w:cs="Times New Roman"/>
          <w:bCs/>
          <w:sz w:val="24"/>
          <w:szCs w:val="24"/>
        </w:rPr>
      </w:pPr>
      <w:r w:rsidRPr="00C03F53">
        <w:rPr>
          <w:rFonts w:ascii="Times New Roman" w:hAnsi="Times New Roman" w:cs="Times New Roman"/>
          <w:bCs/>
          <w:sz w:val="24"/>
          <w:szCs w:val="24"/>
        </w:rPr>
        <w:t xml:space="preserve">Carroll, A. (2016) Carroll’s Pyramid of CSR: Taking another Look, </w:t>
      </w:r>
      <w:r w:rsidRPr="00C03F53">
        <w:rPr>
          <w:rFonts w:ascii="Times New Roman" w:hAnsi="Times New Roman" w:cs="Times New Roman"/>
          <w:bCs/>
          <w:i/>
          <w:iCs/>
          <w:sz w:val="24"/>
          <w:szCs w:val="24"/>
        </w:rPr>
        <w:t>International Journal of Corporate Social Responsibility</w:t>
      </w:r>
      <w:r w:rsidRPr="00C03F53">
        <w:rPr>
          <w:rFonts w:ascii="Times New Roman" w:hAnsi="Times New Roman" w:cs="Times New Roman"/>
          <w:bCs/>
          <w:sz w:val="24"/>
          <w:szCs w:val="24"/>
        </w:rPr>
        <w:t>, Vol. 1(1), pp. 1-8.</w:t>
      </w:r>
    </w:p>
    <w:p w:rsidR="00B72112" w:rsidRPr="00C03F53" w:rsidRDefault="00B72112" w:rsidP="00B72112">
      <w:pPr>
        <w:spacing w:line="360" w:lineRule="auto"/>
        <w:rPr>
          <w:rFonts w:cs="Times New Roman"/>
          <w:sz w:val="24"/>
          <w:szCs w:val="24"/>
          <w:lang w:val="en-US"/>
        </w:rPr>
      </w:pPr>
      <w:r w:rsidRPr="00C03F53">
        <w:rPr>
          <w:rFonts w:cs="Times New Roman"/>
          <w:sz w:val="24"/>
          <w:szCs w:val="24"/>
          <w:lang w:val="en-US"/>
        </w:rPr>
        <w:t xml:space="preserve">Hayes, A. (2021) </w:t>
      </w:r>
      <w:r w:rsidRPr="00C03F53">
        <w:rPr>
          <w:rFonts w:cs="Times New Roman"/>
          <w:i/>
          <w:sz w:val="24"/>
          <w:szCs w:val="24"/>
          <w:lang w:val="en-US"/>
        </w:rPr>
        <w:t>Word-of-Mouth Marketing (WOM Marketing),</w:t>
      </w:r>
      <w:r w:rsidRPr="00C03F53">
        <w:rPr>
          <w:rFonts w:cs="Times New Roman"/>
          <w:sz w:val="24"/>
          <w:szCs w:val="24"/>
          <w:lang w:val="en-US"/>
        </w:rPr>
        <w:t xml:space="preserve"> [online] Available: </w:t>
      </w:r>
      <w:hyperlink r:id="rId14" w:history="1">
        <w:r w:rsidRPr="00C03F53">
          <w:rPr>
            <w:rStyle w:val="Hyperlink"/>
            <w:rFonts w:cs="Times New Roman"/>
            <w:sz w:val="24"/>
            <w:szCs w:val="24"/>
            <w:lang w:val="en-US"/>
          </w:rPr>
          <w:t>https://www.investopedia.com/terms/w/word-of-mouth-marketing.asp</w:t>
        </w:r>
      </w:hyperlink>
      <w:r w:rsidRPr="00C03F53">
        <w:rPr>
          <w:rFonts w:cs="Times New Roman"/>
          <w:sz w:val="24"/>
          <w:szCs w:val="24"/>
          <w:lang w:val="en-US"/>
        </w:rPr>
        <w:t xml:space="preserve"> [Accessed: 31 August 2021]</w:t>
      </w:r>
    </w:p>
    <w:p w:rsidR="00B72112" w:rsidRPr="00C03F53" w:rsidRDefault="00B72112" w:rsidP="00B72112">
      <w:pPr>
        <w:spacing w:line="360" w:lineRule="auto"/>
        <w:rPr>
          <w:rFonts w:ascii="Times New Roman" w:hAnsi="Times New Roman" w:cs="Times New Roman"/>
          <w:bCs/>
          <w:sz w:val="24"/>
          <w:szCs w:val="24"/>
        </w:rPr>
      </w:pPr>
      <w:r w:rsidRPr="00C03F53">
        <w:rPr>
          <w:rFonts w:ascii="Times New Roman" w:hAnsi="Times New Roman" w:cs="Times New Roman"/>
          <w:bCs/>
          <w:sz w:val="24"/>
          <w:szCs w:val="24"/>
        </w:rPr>
        <w:t xml:space="preserve">Johnson, G., Whittington, R., Scholes, K., Angwin, D. and Regner, P. (2017) </w:t>
      </w:r>
      <w:r w:rsidRPr="00C03F53">
        <w:rPr>
          <w:rFonts w:ascii="Times New Roman" w:hAnsi="Times New Roman" w:cs="Times New Roman"/>
          <w:bCs/>
          <w:i/>
          <w:iCs/>
          <w:sz w:val="24"/>
          <w:szCs w:val="24"/>
        </w:rPr>
        <w:t>Exploring Strategy</w:t>
      </w:r>
      <w:r w:rsidRPr="00C03F53">
        <w:rPr>
          <w:rFonts w:ascii="Times New Roman" w:hAnsi="Times New Roman" w:cs="Times New Roman"/>
          <w:bCs/>
          <w:sz w:val="24"/>
          <w:szCs w:val="24"/>
        </w:rPr>
        <w:t>. 11</w:t>
      </w:r>
      <w:r w:rsidRPr="00C03F53">
        <w:rPr>
          <w:rFonts w:ascii="Times New Roman" w:hAnsi="Times New Roman" w:cs="Times New Roman"/>
          <w:bCs/>
          <w:sz w:val="24"/>
          <w:szCs w:val="24"/>
          <w:vertAlign w:val="superscript"/>
        </w:rPr>
        <w:t>th</w:t>
      </w:r>
      <w:r w:rsidRPr="00C03F53">
        <w:rPr>
          <w:rFonts w:ascii="Times New Roman" w:hAnsi="Times New Roman" w:cs="Times New Roman"/>
          <w:bCs/>
          <w:sz w:val="24"/>
          <w:szCs w:val="24"/>
        </w:rPr>
        <w:t xml:space="preserve"> edition, Pearson </w:t>
      </w:r>
    </w:p>
    <w:p w:rsidR="00B72112" w:rsidRPr="00C03F53" w:rsidRDefault="00B72112" w:rsidP="00B72112">
      <w:pPr>
        <w:spacing w:line="360" w:lineRule="auto"/>
        <w:rPr>
          <w:rFonts w:ascii="Times New Roman" w:hAnsi="Times New Roman" w:cs="Times New Roman"/>
          <w:bCs/>
          <w:sz w:val="24"/>
          <w:szCs w:val="24"/>
          <w:lang w:val="en-US"/>
        </w:rPr>
      </w:pPr>
      <w:r w:rsidRPr="00C03F53">
        <w:rPr>
          <w:rFonts w:ascii="Times New Roman" w:hAnsi="Times New Roman" w:cs="Times New Roman"/>
          <w:bCs/>
          <w:sz w:val="24"/>
          <w:szCs w:val="24"/>
          <w:lang w:val="en-US"/>
        </w:rPr>
        <w:t xml:space="preserve">Kotler, P. and Armstrong, G. (2018) </w:t>
      </w:r>
      <w:r w:rsidRPr="00C03F53">
        <w:rPr>
          <w:rFonts w:ascii="Times New Roman" w:hAnsi="Times New Roman" w:cs="Times New Roman"/>
          <w:bCs/>
          <w:i/>
          <w:sz w:val="24"/>
          <w:szCs w:val="24"/>
          <w:lang w:val="en-US"/>
        </w:rPr>
        <w:t>Principles of Marketing</w:t>
      </w:r>
      <w:r w:rsidRPr="00C03F53">
        <w:rPr>
          <w:rFonts w:ascii="Times New Roman" w:hAnsi="Times New Roman" w:cs="Times New Roman"/>
          <w:bCs/>
          <w:sz w:val="24"/>
          <w:szCs w:val="24"/>
          <w:lang w:val="en-US"/>
        </w:rPr>
        <w:t>. 17</w:t>
      </w:r>
      <w:r w:rsidRPr="00C03F53">
        <w:rPr>
          <w:rFonts w:ascii="Times New Roman" w:hAnsi="Times New Roman" w:cs="Times New Roman"/>
          <w:bCs/>
          <w:sz w:val="24"/>
          <w:szCs w:val="24"/>
          <w:vertAlign w:val="superscript"/>
          <w:lang w:val="en-US"/>
        </w:rPr>
        <w:t>th</w:t>
      </w:r>
      <w:r w:rsidRPr="00C03F53">
        <w:rPr>
          <w:rFonts w:ascii="Times New Roman" w:hAnsi="Times New Roman" w:cs="Times New Roman"/>
          <w:bCs/>
          <w:sz w:val="24"/>
          <w:szCs w:val="24"/>
          <w:lang w:val="en-US"/>
        </w:rPr>
        <w:t xml:space="preserve"> edition, Pearson </w:t>
      </w:r>
    </w:p>
    <w:p w:rsidR="00B72112" w:rsidRPr="00B72112" w:rsidRDefault="00B72112" w:rsidP="00B72112">
      <w:pPr>
        <w:spacing w:line="360" w:lineRule="auto"/>
        <w:rPr>
          <w:rFonts w:cs="Times New Roman"/>
          <w:bCs/>
          <w:sz w:val="24"/>
          <w:szCs w:val="24"/>
        </w:rPr>
      </w:pPr>
      <w:r w:rsidRPr="00B72112">
        <w:rPr>
          <w:rFonts w:cs="Times New Roman"/>
          <w:bCs/>
          <w:sz w:val="24"/>
          <w:szCs w:val="24"/>
        </w:rPr>
        <w:t xml:space="preserve">Kotler, P., Armstrong, G., Harris, L. and He, H. (2020) </w:t>
      </w:r>
      <w:r w:rsidRPr="00B72112">
        <w:rPr>
          <w:rFonts w:cs="Times New Roman"/>
          <w:bCs/>
          <w:i/>
          <w:iCs/>
          <w:sz w:val="24"/>
          <w:szCs w:val="24"/>
        </w:rPr>
        <w:t>Principles of Marketing</w:t>
      </w:r>
      <w:r w:rsidRPr="00B72112">
        <w:rPr>
          <w:rFonts w:cs="Times New Roman"/>
          <w:bCs/>
          <w:sz w:val="24"/>
          <w:szCs w:val="24"/>
        </w:rPr>
        <w:t>. 8</w:t>
      </w:r>
      <w:r w:rsidRPr="00B72112">
        <w:rPr>
          <w:rFonts w:cs="Times New Roman"/>
          <w:bCs/>
          <w:sz w:val="24"/>
          <w:szCs w:val="24"/>
          <w:vertAlign w:val="superscript"/>
        </w:rPr>
        <w:t>th</w:t>
      </w:r>
      <w:r w:rsidRPr="00B72112">
        <w:rPr>
          <w:rFonts w:cs="Times New Roman"/>
          <w:bCs/>
          <w:sz w:val="24"/>
          <w:szCs w:val="24"/>
        </w:rPr>
        <w:t xml:space="preserve"> edition, Pearson </w:t>
      </w:r>
    </w:p>
    <w:p w:rsidR="00B72112" w:rsidRPr="00082501" w:rsidRDefault="00B72112" w:rsidP="00B72112">
      <w:pPr>
        <w:spacing w:line="360" w:lineRule="auto"/>
        <w:rPr>
          <w:rFonts w:cs="Times New Roman"/>
          <w:bCs/>
          <w:sz w:val="24"/>
          <w:szCs w:val="24"/>
          <w:lang w:val="en-US"/>
        </w:rPr>
      </w:pPr>
      <w:r w:rsidRPr="00082501">
        <w:rPr>
          <w:rFonts w:cs="Times New Roman"/>
          <w:bCs/>
          <w:sz w:val="24"/>
          <w:szCs w:val="24"/>
          <w:lang w:val="en-US"/>
        </w:rPr>
        <w:t xml:space="preserve">Mari, A. (2021) </w:t>
      </w:r>
      <w:r w:rsidRPr="00082501">
        <w:rPr>
          <w:rFonts w:cs="Times New Roman"/>
          <w:bCs/>
          <w:i/>
          <w:sz w:val="24"/>
          <w:szCs w:val="24"/>
          <w:lang w:val="en-US"/>
        </w:rPr>
        <w:t>Tesco reports online sales surge, advances digital platform</w:t>
      </w:r>
      <w:r w:rsidRPr="00082501">
        <w:rPr>
          <w:rFonts w:cs="Times New Roman"/>
          <w:bCs/>
          <w:sz w:val="24"/>
          <w:szCs w:val="24"/>
          <w:lang w:val="en-US"/>
        </w:rPr>
        <w:t xml:space="preserve">, [online] Available: </w:t>
      </w:r>
      <w:hyperlink r:id="rId15" w:history="1">
        <w:r w:rsidRPr="00082501">
          <w:rPr>
            <w:rStyle w:val="Hyperlink"/>
            <w:rFonts w:cs="Times New Roman"/>
            <w:bCs/>
            <w:sz w:val="24"/>
            <w:szCs w:val="24"/>
            <w:lang w:val="en-US"/>
          </w:rPr>
          <w:t>https://www.computerweekly.com/news/252499325/Tesco-reports-online-sales-surge-advances-digital-platform</w:t>
        </w:r>
      </w:hyperlink>
      <w:r w:rsidRPr="00082501">
        <w:rPr>
          <w:rFonts w:cs="Times New Roman"/>
          <w:bCs/>
          <w:sz w:val="24"/>
          <w:szCs w:val="24"/>
          <w:lang w:val="en-US"/>
        </w:rPr>
        <w:t xml:space="preserve"> [Accessed: 31 August 2021]</w:t>
      </w:r>
    </w:p>
    <w:p w:rsidR="00B72112" w:rsidRPr="00C03F53" w:rsidRDefault="00B72112" w:rsidP="00B72112">
      <w:pPr>
        <w:spacing w:line="360" w:lineRule="auto"/>
        <w:rPr>
          <w:rFonts w:ascii="Times New Roman" w:hAnsi="Times New Roman" w:cs="Times New Roman"/>
          <w:bCs/>
          <w:sz w:val="24"/>
          <w:szCs w:val="24"/>
          <w:lang w:val="en-US"/>
        </w:rPr>
      </w:pPr>
      <w:r w:rsidRPr="00C03F53">
        <w:rPr>
          <w:rFonts w:ascii="Times New Roman" w:hAnsi="Times New Roman" w:cs="Times New Roman"/>
          <w:bCs/>
          <w:sz w:val="24"/>
          <w:szCs w:val="24"/>
          <w:lang w:val="en-US"/>
        </w:rPr>
        <w:t xml:space="preserve">Martin, S. and Broadbent, J. (2021) </w:t>
      </w:r>
      <w:r w:rsidRPr="00C03F53">
        <w:rPr>
          <w:rFonts w:ascii="Times New Roman" w:hAnsi="Times New Roman" w:cs="Times New Roman"/>
          <w:bCs/>
          <w:i/>
          <w:sz w:val="24"/>
          <w:szCs w:val="24"/>
          <w:lang w:val="en-US"/>
        </w:rPr>
        <w:t>UK: Employment &amp; Labour Laws and Regulations 2021</w:t>
      </w:r>
      <w:r w:rsidRPr="00C03F53">
        <w:rPr>
          <w:rFonts w:ascii="Times New Roman" w:hAnsi="Times New Roman" w:cs="Times New Roman"/>
          <w:bCs/>
          <w:sz w:val="24"/>
          <w:szCs w:val="24"/>
          <w:lang w:val="en-US"/>
        </w:rPr>
        <w:t xml:space="preserve">, [online] Available: </w:t>
      </w:r>
      <w:hyperlink r:id="rId16" w:history="1">
        <w:r w:rsidRPr="00C03F53">
          <w:rPr>
            <w:rStyle w:val="Hyperlink"/>
            <w:rFonts w:ascii="Times New Roman" w:hAnsi="Times New Roman" w:cs="Times New Roman"/>
            <w:bCs/>
            <w:sz w:val="24"/>
            <w:szCs w:val="24"/>
            <w:lang w:val="en-US"/>
          </w:rPr>
          <w:t>https://iclg.com/practice-areas/employment-and-labour-laws-and-regulations/united-kingdom</w:t>
        </w:r>
      </w:hyperlink>
      <w:r w:rsidRPr="00C03F53">
        <w:rPr>
          <w:rFonts w:ascii="Times New Roman" w:hAnsi="Times New Roman" w:cs="Times New Roman"/>
          <w:bCs/>
          <w:sz w:val="24"/>
          <w:szCs w:val="24"/>
          <w:lang w:val="en-US"/>
        </w:rPr>
        <w:t xml:space="preserve"> [Accessed: 30 August 2021]</w:t>
      </w:r>
    </w:p>
    <w:p w:rsidR="00B72112" w:rsidRPr="00365C4C" w:rsidRDefault="00B72112" w:rsidP="00B72112">
      <w:pPr>
        <w:spacing w:line="360" w:lineRule="auto"/>
        <w:rPr>
          <w:rFonts w:cs="Times New Roman"/>
          <w:bCs/>
          <w:sz w:val="24"/>
          <w:szCs w:val="24"/>
          <w:lang w:val="en-US"/>
        </w:rPr>
      </w:pPr>
      <w:r w:rsidRPr="00365C4C">
        <w:rPr>
          <w:rFonts w:cs="Times New Roman"/>
          <w:bCs/>
          <w:sz w:val="24"/>
          <w:szCs w:val="24"/>
          <w:lang w:val="en-US"/>
        </w:rPr>
        <w:t xml:space="preserve">O’Brien, S. (2019) </w:t>
      </w:r>
      <w:r w:rsidRPr="00365C4C">
        <w:rPr>
          <w:rFonts w:cs="Times New Roman"/>
          <w:bCs/>
          <w:i/>
          <w:sz w:val="24"/>
          <w:szCs w:val="24"/>
          <w:lang w:val="en-US"/>
        </w:rPr>
        <w:t>Tesco brand strong, but UK retailers behind global rivals</w:t>
      </w:r>
      <w:r w:rsidRPr="00365C4C">
        <w:rPr>
          <w:rFonts w:cs="Times New Roman"/>
          <w:bCs/>
          <w:sz w:val="24"/>
          <w:szCs w:val="24"/>
          <w:lang w:val="en-US"/>
        </w:rPr>
        <w:t xml:space="preserve">, [online] Available: </w:t>
      </w:r>
      <w:hyperlink r:id="rId17" w:history="1">
        <w:r w:rsidRPr="00365C4C">
          <w:rPr>
            <w:rStyle w:val="Hyperlink"/>
            <w:rFonts w:cs="Times New Roman"/>
            <w:bCs/>
            <w:sz w:val="24"/>
            <w:szCs w:val="24"/>
            <w:lang w:val="en-US"/>
          </w:rPr>
          <w:t>https://retaildesignforum.co.uk/tesco-brand-strong-but-uk-retailers-behind-global-rivals/</w:t>
        </w:r>
      </w:hyperlink>
      <w:r w:rsidRPr="00365C4C">
        <w:rPr>
          <w:rFonts w:cs="Times New Roman"/>
          <w:bCs/>
          <w:sz w:val="24"/>
          <w:szCs w:val="24"/>
          <w:lang w:val="en-US"/>
        </w:rPr>
        <w:t xml:space="preserve"> [Accessed: 1 September 2021]</w:t>
      </w:r>
    </w:p>
    <w:p w:rsidR="00B72112" w:rsidRPr="00C03F53" w:rsidRDefault="00B72112" w:rsidP="00B72112">
      <w:pPr>
        <w:spacing w:line="360" w:lineRule="auto"/>
        <w:rPr>
          <w:rFonts w:cs="Times New Roman"/>
          <w:sz w:val="24"/>
          <w:szCs w:val="24"/>
          <w:lang w:val="en-US"/>
        </w:rPr>
      </w:pPr>
      <w:r w:rsidRPr="00C03F53">
        <w:rPr>
          <w:rFonts w:ascii="Times New Roman" w:hAnsi="Times New Roman" w:cs="Times New Roman"/>
          <w:bCs/>
          <w:sz w:val="24"/>
          <w:szCs w:val="24"/>
          <w:lang w:val="en-US"/>
        </w:rPr>
        <w:t xml:space="preserve">Quinn, I. (2017) </w:t>
      </w:r>
      <w:r w:rsidRPr="00C03F53">
        <w:rPr>
          <w:rFonts w:cs="Times New Roman"/>
          <w:i/>
          <w:sz w:val="24"/>
          <w:szCs w:val="24"/>
          <w:lang w:val="en-US"/>
        </w:rPr>
        <w:t>Tesco customer satisfaction improves faster than rivals</w:t>
      </w:r>
      <w:r w:rsidRPr="00C03F53">
        <w:rPr>
          <w:rFonts w:cs="Times New Roman"/>
          <w:sz w:val="24"/>
          <w:szCs w:val="24"/>
          <w:lang w:val="en-US"/>
        </w:rPr>
        <w:t xml:space="preserve">, [online] Available: </w:t>
      </w:r>
      <w:hyperlink r:id="rId18" w:history="1">
        <w:r w:rsidRPr="00C03F53">
          <w:rPr>
            <w:rStyle w:val="Hyperlink"/>
            <w:rFonts w:cs="Times New Roman"/>
            <w:sz w:val="24"/>
            <w:szCs w:val="24"/>
            <w:lang w:val="en-US"/>
          </w:rPr>
          <w:t>https://www.thegrocer.co.uk/consumer-trends/tesco-customer-satisfaction-improves-faster-than-rivals/547406.article</w:t>
        </w:r>
      </w:hyperlink>
      <w:r w:rsidRPr="00C03F53">
        <w:rPr>
          <w:rFonts w:cs="Times New Roman"/>
          <w:sz w:val="24"/>
          <w:szCs w:val="24"/>
          <w:lang w:val="en-US"/>
        </w:rPr>
        <w:t xml:space="preserve"> [Accessed: 28 August 2021]</w:t>
      </w:r>
    </w:p>
    <w:p w:rsidR="00B72112" w:rsidRPr="00B72112" w:rsidRDefault="00B72112" w:rsidP="00B72112">
      <w:pPr>
        <w:spacing w:line="360" w:lineRule="auto"/>
        <w:rPr>
          <w:rFonts w:cs="Times New Roman"/>
          <w:bCs/>
          <w:sz w:val="24"/>
          <w:szCs w:val="24"/>
          <w:lang w:val="en-US"/>
        </w:rPr>
      </w:pPr>
      <w:r w:rsidRPr="00B72112">
        <w:rPr>
          <w:rFonts w:cs="Times New Roman"/>
          <w:bCs/>
          <w:sz w:val="24"/>
          <w:szCs w:val="24"/>
          <w:lang w:val="en-US"/>
        </w:rPr>
        <w:lastRenderedPageBreak/>
        <w:t xml:space="preserve">Rijmenam, M. (2014) </w:t>
      </w:r>
      <w:r w:rsidRPr="00B72112">
        <w:rPr>
          <w:rFonts w:cs="Times New Roman"/>
          <w:bCs/>
          <w:i/>
          <w:sz w:val="24"/>
          <w:szCs w:val="24"/>
          <w:lang w:val="en-US"/>
        </w:rPr>
        <w:t>Tesco and Big Data Analytics, a Recipe for Success?</w:t>
      </w:r>
      <w:r w:rsidRPr="00B72112">
        <w:rPr>
          <w:rFonts w:cs="Times New Roman"/>
          <w:bCs/>
          <w:sz w:val="24"/>
          <w:szCs w:val="24"/>
          <w:lang w:val="en-US"/>
        </w:rPr>
        <w:t xml:space="preserve"> [online] Available: </w:t>
      </w:r>
      <w:hyperlink r:id="rId19" w:history="1">
        <w:r w:rsidRPr="00B72112">
          <w:rPr>
            <w:rStyle w:val="Hyperlink"/>
            <w:rFonts w:cs="Times New Roman"/>
            <w:bCs/>
            <w:sz w:val="24"/>
            <w:szCs w:val="24"/>
            <w:lang w:val="en-US"/>
          </w:rPr>
          <w:t>https://datafloq.com/read/tesco-big-data-analytics-recipe-success/665</w:t>
        </w:r>
      </w:hyperlink>
      <w:r>
        <w:rPr>
          <w:rFonts w:cs="Times New Roman"/>
          <w:bCs/>
          <w:sz w:val="24"/>
          <w:szCs w:val="24"/>
          <w:lang w:val="en-US"/>
        </w:rPr>
        <w:t xml:space="preserve"> [Accessed: 28</w:t>
      </w:r>
      <w:r w:rsidRPr="00B72112">
        <w:rPr>
          <w:rFonts w:cs="Times New Roman"/>
          <w:bCs/>
          <w:sz w:val="24"/>
          <w:szCs w:val="24"/>
          <w:lang w:val="en-US"/>
        </w:rPr>
        <w:t xml:space="preserve"> August 2021]</w:t>
      </w:r>
    </w:p>
    <w:p w:rsidR="00B72112" w:rsidRPr="00C03F53" w:rsidRDefault="00B72112" w:rsidP="00B72112">
      <w:pPr>
        <w:spacing w:line="360" w:lineRule="auto"/>
        <w:rPr>
          <w:rFonts w:ascii="Times New Roman" w:hAnsi="Times New Roman" w:cs="Times New Roman"/>
          <w:bCs/>
          <w:sz w:val="24"/>
          <w:szCs w:val="24"/>
          <w:lang w:val="en-US"/>
        </w:rPr>
      </w:pPr>
      <w:r w:rsidRPr="00C03F53">
        <w:rPr>
          <w:rFonts w:ascii="Times New Roman" w:hAnsi="Times New Roman" w:cs="Times New Roman"/>
          <w:bCs/>
          <w:sz w:val="24"/>
          <w:szCs w:val="24"/>
          <w:lang w:val="en-US"/>
        </w:rPr>
        <w:t xml:space="preserve">Ruangviset, J., Pornsit, J. and Kim, J. (2014) How does Corporate Governance influence Corporate Social Responsibility? </w:t>
      </w:r>
      <w:r w:rsidRPr="00C03F53">
        <w:rPr>
          <w:rFonts w:ascii="Times New Roman" w:hAnsi="Times New Roman" w:cs="Times New Roman"/>
          <w:bCs/>
          <w:i/>
          <w:sz w:val="24"/>
          <w:szCs w:val="24"/>
          <w:lang w:val="en-US"/>
        </w:rPr>
        <w:t>Social and Behavioral Sciences</w:t>
      </w:r>
      <w:r w:rsidRPr="00C03F53">
        <w:rPr>
          <w:rFonts w:ascii="Times New Roman" w:hAnsi="Times New Roman" w:cs="Times New Roman"/>
          <w:bCs/>
          <w:sz w:val="24"/>
          <w:szCs w:val="24"/>
          <w:lang w:val="en-US"/>
        </w:rPr>
        <w:t xml:space="preserve">, Vol. 143, pp. 1055 – 1057. </w:t>
      </w:r>
    </w:p>
    <w:p w:rsidR="00B72112" w:rsidRPr="00C03F53" w:rsidRDefault="00B72112" w:rsidP="00B72112">
      <w:pPr>
        <w:spacing w:after="240" w:line="360" w:lineRule="auto"/>
        <w:jc w:val="both"/>
        <w:rPr>
          <w:rFonts w:ascii="Times New Roman" w:hAnsi="Times New Roman" w:cs="Times New Roman"/>
          <w:bCs/>
          <w:iCs/>
          <w:sz w:val="24"/>
          <w:szCs w:val="24"/>
          <w:lang w:val="en-US"/>
        </w:rPr>
      </w:pPr>
      <w:r w:rsidRPr="00C03F53">
        <w:rPr>
          <w:rFonts w:ascii="Times New Roman" w:hAnsi="Times New Roman" w:cs="Times New Roman"/>
          <w:bCs/>
          <w:iCs/>
          <w:sz w:val="24"/>
          <w:szCs w:val="24"/>
          <w:lang w:val="en-US"/>
        </w:rPr>
        <w:t xml:space="preserve">Simon, B. (2016) </w:t>
      </w:r>
      <w:r w:rsidRPr="00C03F53">
        <w:rPr>
          <w:rFonts w:ascii="Times New Roman" w:hAnsi="Times New Roman" w:cs="Times New Roman"/>
          <w:bCs/>
          <w:i/>
          <w:iCs/>
          <w:sz w:val="24"/>
          <w:szCs w:val="24"/>
          <w:lang w:val="en-US"/>
        </w:rPr>
        <w:t xml:space="preserve">What Is Stakeholder Analysis and Mapping and How Do You Do It Effectively? </w:t>
      </w:r>
      <w:r w:rsidRPr="00C03F53">
        <w:rPr>
          <w:rFonts w:ascii="Times New Roman" w:hAnsi="Times New Roman" w:cs="Times New Roman"/>
          <w:bCs/>
          <w:iCs/>
          <w:sz w:val="24"/>
          <w:szCs w:val="24"/>
          <w:lang w:val="en-US"/>
        </w:rPr>
        <w:t xml:space="preserve">[online] Available: </w:t>
      </w:r>
      <w:hyperlink r:id="rId20" w:history="1">
        <w:r w:rsidRPr="00C03F53">
          <w:rPr>
            <w:rStyle w:val="Hyperlink"/>
            <w:rFonts w:ascii="Times New Roman" w:hAnsi="Times New Roman" w:cs="Times New Roman"/>
            <w:bCs/>
            <w:iCs/>
            <w:sz w:val="24"/>
            <w:szCs w:val="24"/>
            <w:lang w:val="en-US"/>
          </w:rPr>
          <w:t>https://www.smartsheet.com/what-stakeholder-analysis-and-mapping-and-how-do-you-do-it-effectively</w:t>
        </w:r>
      </w:hyperlink>
      <w:r w:rsidRPr="00C03F53">
        <w:rPr>
          <w:rFonts w:ascii="Times New Roman" w:hAnsi="Times New Roman" w:cs="Times New Roman"/>
          <w:bCs/>
          <w:iCs/>
          <w:sz w:val="24"/>
          <w:szCs w:val="24"/>
          <w:lang w:val="en-US"/>
        </w:rPr>
        <w:t xml:space="preserve"> [Accessed: 31 August 2021]</w:t>
      </w:r>
    </w:p>
    <w:p w:rsidR="00B72112" w:rsidRDefault="00B72112" w:rsidP="00B72112">
      <w:pPr>
        <w:spacing w:line="360" w:lineRule="auto"/>
        <w:rPr>
          <w:rFonts w:cs="Times New Roman"/>
          <w:bCs/>
          <w:sz w:val="24"/>
          <w:szCs w:val="24"/>
          <w:lang w:val="en-US"/>
        </w:rPr>
      </w:pPr>
      <w:r w:rsidRPr="00C03F53">
        <w:rPr>
          <w:rFonts w:cs="Times New Roman"/>
          <w:sz w:val="24"/>
          <w:szCs w:val="24"/>
          <w:lang w:val="en-US"/>
        </w:rPr>
        <w:t xml:space="preserve">Statista (2021) </w:t>
      </w:r>
      <w:r w:rsidRPr="00C03F53">
        <w:rPr>
          <w:rFonts w:cs="Times New Roman"/>
          <w:bCs/>
          <w:i/>
          <w:sz w:val="24"/>
          <w:szCs w:val="24"/>
          <w:lang w:val="en-US"/>
        </w:rPr>
        <w:t>Tesco's ad spend in the UK 2018-2020</w:t>
      </w:r>
      <w:r w:rsidRPr="00C03F53">
        <w:rPr>
          <w:rFonts w:cs="Times New Roman"/>
          <w:bCs/>
          <w:sz w:val="24"/>
          <w:szCs w:val="24"/>
          <w:lang w:val="en-US"/>
        </w:rPr>
        <w:t xml:space="preserve">, [online] Available: </w:t>
      </w:r>
      <w:hyperlink r:id="rId21" w:history="1">
        <w:r w:rsidRPr="00C03F53">
          <w:rPr>
            <w:rStyle w:val="Hyperlink"/>
            <w:rFonts w:cs="Times New Roman"/>
            <w:bCs/>
            <w:sz w:val="24"/>
            <w:szCs w:val="24"/>
            <w:lang w:val="en-US"/>
          </w:rPr>
          <w:t>https://www.statista.com/statistics/549738/tesco-uk-ad-spending/</w:t>
        </w:r>
      </w:hyperlink>
      <w:r w:rsidRPr="00C03F53">
        <w:rPr>
          <w:rFonts w:cs="Times New Roman"/>
          <w:bCs/>
          <w:sz w:val="24"/>
          <w:szCs w:val="24"/>
          <w:lang w:val="en-US"/>
        </w:rPr>
        <w:t xml:space="preserve"> [Accessed: 31 August 2021]</w:t>
      </w:r>
    </w:p>
    <w:p w:rsidR="00C14A1B" w:rsidRPr="00C14A1B" w:rsidRDefault="00C14A1B" w:rsidP="00B72112">
      <w:pPr>
        <w:spacing w:line="360" w:lineRule="auto"/>
        <w:rPr>
          <w:rFonts w:cs="Times New Roman"/>
          <w:sz w:val="24"/>
          <w:szCs w:val="24"/>
          <w:lang w:val="en-US"/>
        </w:rPr>
      </w:pPr>
    </w:p>
    <w:p w:rsidR="00FF6C24" w:rsidRPr="00420435" w:rsidRDefault="00FF6C24" w:rsidP="00B72112">
      <w:pPr>
        <w:spacing w:line="360" w:lineRule="auto"/>
        <w:rPr>
          <w:rFonts w:ascii="Times New Roman" w:hAnsi="Times New Roman" w:cs="Times New Roman"/>
          <w:bCs/>
          <w:sz w:val="24"/>
          <w:szCs w:val="24"/>
          <w:lang w:val="en-US"/>
        </w:rPr>
      </w:pPr>
    </w:p>
    <w:p w:rsidR="000A4A40" w:rsidRPr="00420435" w:rsidRDefault="000A4A40" w:rsidP="00B72112">
      <w:pPr>
        <w:spacing w:line="360" w:lineRule="auto"/>
        <w:jc w:val="both"/>
        <w:rPr>
          <w:rFonts w:ascii="Times New Roman" w:hAnsi="Times New Roman" w:cs="Times New Roman"/>
          <w:sz w:val="24"/>
          <w:szCs w:val="24"/>
          <w:lang w:val="en-US"/>
        </w:rPr>
      </w:pPr>
    </w:p>
    <w:sectPr w:rsidR="000A4A40" w:rsidRPr="00420435" w:rsidSect="001472F4">
      <w:footerReference w:type="default" r:id="rId22"/>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25B3" w:rsidRDefault="00F925B3" w:rsidP="000A4A40">
      <w:pPr>
        <w:spacing w:after="0" w:line="240" w:lineRule="auto"/>
      </w:pPr>
      <w:r>
        <w:separator/>
      </w:r>
    </w:p>
  </w:endnote>
  <w:endnote w:type="continuationSeparator" w:id="0">
    <w:p w:rsidR="00F925B3" w:rsidRDefault="00F925B3" w:rsidP="000A4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794547"/>
      <w:docPartObj>
        <w:docPartGallery w:val="Page Numbers (Bottom of Page)"/>
        <w:docPartUnique/>
      </w:docPartObj>
    </w:sdtPr>
    <w:sdtEndPr/>
    <w:sdtContent>
      <w:p w:rsidR="00365C4C" w:rsidRDefault="00036500">
        <w:pPr>
          <w:pStyle w:val="Footer"/>
          <w:jc w:val="right"/>
        </w:pPr>
        <w:r>
          <w:fldChar w:fldCharType="begin"/>
        </w:r>
        <w:r>
          <w:instrText xml:space="preserve"> PAGE   \* MERGEFORMAT </w:instrText>
        </w:r>
        <w:r>
          <w:fldChar w:fldCharType="separate"/>
        </w:r>
        <w:r w:rsidR="00E143E4">
          <w:rPr>
            <w:noProof/>
          </w:rPr>
          <w:t>1</w:t>
        </w:r>
        <w:r>
          <w:rPr>
            <w:noProof/>
          </w:rPr>
          <w:fldChar w:fldCharType="end"/>
        </w:r>
      </w:p>
    </w:sdtContent>
  </w:sdt>
  <w:p w:rsidR="00365C4C" w:rsidRDefault="00365C4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25B3" w:rsidRDefault="00F925B3" w:rsidP="000A4A40">
      <w:pPr>
        <w:spacing w:after="0" w:line="240" w:lineRule="auto"/>
      </w:pPr>
      <w:r>
        <w:separator/>
      </w:r>
    </w:p>
  </w:footnote>
  <w:footnote w:type="continuationSeparator" w:id="0">
    <w:p w:rsidR="00F925B3" w:rsidRDefault="00F925B3" w:rsidP="000A4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E5247A"/>
    <w:multiLevelType w:val="multilevel"/>
    <w:tmpl w:val="2062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5F7CD0"/>
    <w:rsid w:val="00032D7C"/>
    <w:rsid w:val="00035E18"/>
    <w:rsid w:val="00036500"/>
    <w:rsid w:val="00036E6A"/>
    <w:rsid w:val="00082501"/>
    <w:rsid w:val="000A4A40"/>
    <w:rsid w:val="000B320B"/>
    <w:rsid w:val="000C76B4"/>
    <w:rsid w:val="000D606A"/>
    <w:rsid w:val="001472F4"/>
    <w:rsid w:val="0015043E"/>
    <w:rsid w:val="001633D2"/>
    <w:rsid w:val="001B2F1E"/>
    <w:rsid w:val="001C1099"/>
    <w:rsid w:val="002031EE"/>
    <w:rsid w:val="002421B7"/>
    <w:rsid w:val="0025630F"/>
    <w:rsid w:val="002845A5"/>
    <w:rsid w:val="002C4F74"/>
    <w:rsid w:val="003652CD"/>
    <w:rsid w:val="00365C4C"/>
    <w:rsid w:val="00374307"/>
    <w:rsid w:val="0037790D"/>
    <w:rsid w:val="003C4FB2"/>
    <w:rsid w:val="0041172D"/>
    <w:rsid w:val="00420435"/>
    <w:rsid w:val="0044002F"/>
    <w:rsid w:val="00454AFC"/>
    <w:rsid w:val="004A5687"/>
    <w:rsid w:val="004B4A62"/>
    <w:rsid w:val="005247B1"/>
    <w:rsid w:val="0056498D"/>
    <w:rsid w:val="005F7CD0"/>
    <w:rsid w:val="00622EB1"/>
    <w:rsid w:val="006A62D5"/>
    <w:rsid w:val="006E1B1D"/>
    <w:rsid w:val="00732187"/>
    <w:rsid w:val="0074008A"/>
    <w:rsid w:val="00776253"/>
    <w:rsid w:val="00782B77"/>
    <w:rsid w:val="007A5EDE"/>
    <w:rsid w:val="008476CF"/>
    <w:rsid w:val="00860E4E"/>
    <w:rsid w:val="00862D2E"/>
    <w:rsid w:val="00863874"/>
    <w:rsid w:val="008A5120"/>
    <w:rsid w:val="008C3EE1"/>
    <w:rsid w:val="008C70C1"/>
    <w:rsid w:val="008D0260"/>
    <w:rsid w:val="00971439"/>
    <w:rsid w:val="009A5522"/>
    <w:rsid w:val="009C0014"/>
    <w:rsid w:val="009D70F8"/>
    <w:rsid w:val="009F4BAA"/>
    <w:rsid w:val="00A41717"/>
    <w:rsid w:val="00AD0198"/>
    <w:rsid w:val="00AE3690"/>
    <w:rsid w:val="00B72112"/>
    <w:rsid w:val="00B72D10"/>
    <w:rsid w:val="00C03F53"/>
    <w:rsid w:val="00C14A1B"/>
    <w:rsid w:val="00C70EAB"/>
    <w:rsid w:val="00CB32BF"/>
    <w:rsid w:val="00D04B70"/>
    <w:rsid w:val="00D358AC"/>
    <w:rsid w:val="00D62EB9"/>
    <w:rsid w:val="00DC20DD"/>
    <w:rsid w:val="00DC2DDD"/>
    <w:rsid w:val="00DD465F"/>
    <w:rsid w:val="00E143E4"/>
    <w:rsid w:val="00E447C4"/>
    <w:rsid w:val="00E54A17"/>
    <w:rsid w:val="00E70897"/>
    <w:rsid w:val="00E802B9"/>
    <w:rsid w:val="00EA260A"/>
    <w:rsid w:val="00EB118B"/>
    <w:rsid w:val="00EC4E81"/>
    <w:rsid w:val="00F925B3"/>
    <w:rsid w:val="00FE4406"/>
    <w:rsid w:val="00FE6309"/>
    <w:rsid w:val="00FF6C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77E13"/>
  <w15:docId w15:val="{F1495F6D-27F4-4502-B4F6-742463F72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4BAA"/>
    <w:pPr>
      <w:suppressAutoHyphens w:val="0"/>
      <w:spacing w:after="160" w:line="259"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uiPriority w:val="35"/>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ind w:left="720"/>
      <w:contextualSpacing/>
    </w:pPr>
  </w:style>
  <w:style w:type="paragraph" w:styleId="TOCHeading">
    <w:name w:val="TOC Heading"/>
    <w:basedOn w:val="Heading1"/>
    <w:next w:val="Normal"/>
    <w:uiPriority w:val="39"/>
    <w:semiHidden/>
    <w:unhideWhenUsed/>
    <w:qFormat/>
    <w:rsid w:val="008C3EE1"/>
    <w:pPr>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0A4A40"/>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0A4A40"/>
    <w:rPr>
      <w:lang w:val="en-GB"/>
    </w:rPr>
  </w:style>
  <w:style w:type="paragraph" w:styleId="Footer">
    <w:name w:val="footer"/>
    <w:basedOn w:val="Normal"/>
    <w:link w:val="FooterChar"/>
    <w:uiPriority w:val="99"/>
    <w:unhideWhenUsed/>
    <w:rsid w:val="000A4A40"/>
    <w:pPr>
      <w:tabs>
        <w:tab w:val="center" w:pos="4703"/>
        <w:tab w:val="right" w:pos="9406"/>
      </w:tabs>
      <w:spacing w:after="0" w:line="240" w:lineRule="auto"/>
    </w:pPr>
  </w:style>
  <w:style w:type="character" w:customStyle="1" w:styleId="FooterChar">
    <w:name w:val="Footer Char"/>
    <w:basedOn w:val="DefaultParagraphFont"/>
    <w:link w:val="Footer"/>
    <w:uiPriority w:val="99"/>
    <w:rsid w:val="000A4A40"/>
    <w:rPr>
      <w:lang w:val="en-GB"/>
    </w:rPr>
  </w:style>
  <w:style w:type="character" w:styleId="Hyperlink">
    <w:name w:val="Hyperlink"/>
    <w:basedOn w:val="DefaultParagraphFont"/>
    <w:uiPriority w:val="99"/>
    <w:unhideWhenUsed/>
    <w:rsid w:val="00420435"/>
    <w:rPr>
      <w:color w:val="0000FF" w:themeColor="hyperlink"/>
      <w:u w:val="single"/>
    </w:rPr>
  </w:style>
  <w:style w:type="paragraph" w:styleId="TOC1">
    <w:name w:val="toc 1"/>
    <w:basedOn w:val="Normal"/>
    <w:next w:val="Normal"/>
    <w:autoRedefine/>
    <w:uiPriority w:val="39"/>
    <w:unhideWhenUsed/>
    <w:rsid w:val="00B72112"/>
    <w:pPr>
      <w:spacing w:after="100"/>
    </w:pPr>
  </w:style>
  <w:style w:type="paragraph" w:styleId="TOC2">
    <w:name w:val="toc 2"/>
    <w:basedOn w:val="Normal"/>
    <w:next w:val="Normal"/>
    <w:autoRedefine/>
    <w:uiPriority w:val="39"/>
    <w:unhideWhenUsed/>
    <w:rsid w:val="00B7211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59890">
      <w:bodyDiv w:val="1"/>
      <w:marLeft w:val="0"/>
      <w:marRight w:val="0"/>
      <w:marTop w:val="0"/>
      <w:marBottom w:val="0"/>
      <w:divBdr>
        <w:top w:val="none" w:sz="0" w:space="0" w:color="auto"/>
        <w:left w:val="none" w:sz="0" w:space="0" w:color="auto"/>
        <w:bottom w:val="none" w:sz="0" w:space="0" w:color="auto"/>
        <w:right w:val="none" w:sz="0" w:space="0" w:color="auto"/>
      </w:divBdr>
    </w:div>
    <w:div w:id="228618891">
      <w:bodyDiv w:val="1"/>
      <w:marLeft w:val="0"/>
      <w:marRight w:val="0"/>
      <w:marTop w:val="0"/>
      <w:marBottom w:val="0"/>
      <w:divBdr>
        <w:top w:val="none" w:sz="0" w:space="0" w:color="auto"/>
        <w:left w:val="none" w:sz="0" w:space="0" w:color="auto"/>
        <w:bottom w:val="none" w:sz="0" w:space="0" w:color="auto"/>
        <w:right w:val="none" w:sz="0" w:space="0" w:color="auto"/>
      </w:divBdr>
    </w:div>
    <w:div w:id="432938800">
      <w:bodyDiv w:val="1"/>
      <w:marLeft w:val="0"/>
      <w:marRight w:val="0"/>
      <w:marTop w:val="0"/>
      <w:marBottom w:val="0"/>
      <w:divBdr>
        <w:top w:val="none" w:sz="0" w:space="0" w:color="auto"/>
        <w:left w:val="none" w:sz="0" w:space="0" w:color="auto"/>
        <w:bottom w:val="none" w:sz="0" w:space="0" w:color="auto"/>
        <w:right w:val="none" w:sz="0" w:space="0" w:color="auto"/>
      </w:divBdr>
    </w:div>
    <w:div w:id="557593724">
      <w:bodyDiv w:val="1"/>
      <w:marLeft w:val="0"/>
      <w:marRight w:val="0"/>
      <w:marTop w:val="0"/>
      <w:marBottom w:val="0"/>
      <w:divBdr>
        <w:top w:val="none" w:sz="0" w:space="0" w:color="auto"/>
        <w:left w:val="none" w:sz="0" w:space="0" w:color="auto"/>
        <w:bottom w:val="none" w:sz="0" w:space="0" w:color="auto"/>
        <w:right w:val="none" w:sz="0" w:space="0" w:color="auto"/>
      </w:divBdr>
    </w:div>
    <w:div w:id="639577676">
      <w:bodyDiv w:val="1"/>
      <w:marLeft w:val="0"/>
      <w:marRight w:val="0"/>
      <w:marTop w:val="0"/>
      <w:marBottom w:val="0"/>
      <w:divBdr>
        <w:top w:val="none" w:sz="0" w:space="0" w:color="auto"/>
        <w:left w:val="none" w:sz="0" w:space="0" w:color="auto"/>
        <w:bottom w:val="none" w:sz="0" w:space="0" w:color="auto"/>
        <w:right w:val="none" w:sz="0" w:space="0" w:color="auto"/>
      </w:divBdr>
    </w:div>
    <w:div w:id="718171011">
      <w:bodyDiv w:val="1"/>
      <w:marLeft w:val="0"/>
      <w:marRight w:val="0"/>
      <w:marTop w:val="0"/>
      <w:marBottom w:val="0"/>
      <w:divBdr>
        <w:top w:val="none" w:sz="0" w:space="0" w:color="auto"/>
        <w:left w:val="none" w:sz="0" w:space="0" w:color="auto"/>
        <w:bottom w:val="none" w:sz="0" w:space="0" w:color="auto"/>
        <w:right w:val="none" w:sz="0" w:space="0" w:color="auto"/>
      </w:divBdr>
    </w:div>
    <w:div w:id="769350312">
      <w:bodyDiv w:val="1"/>
      <w:marLeft w:val="0"/>
      <w:marRight w:val="0"/>
      <w:marTop w:val="0"/>
      <w:marBottom w:val="0"/>
      <w:divBdr>
        <w:top w:val="none" w:sz="0" w:space="0" w:color="auto"/>
        <w:left w:val="none" w:sz="0" w:space="0" w:color="auto"/>
        <w:bottom w:val="none" w:sz="0" w:space="0" w:color="auto"/>
        <w:right w:val="none" w:sz="0" w:space="0" w:color="auto"/>
      </w:divBdr>
    </w:div>
    <w:div w:id="828057333">
      <w:bodyDiv w:val="1"/>
      <w:marLeft w:val="0"/>
      <w:marRight w:val="0"/>
      <w:marTop w:val="0"/>
      <w:marBottom w:val="0"/>
      <w:divBdr>
        <w:top w:val="none" w:sz="0" w:space="0" w:color="auto"/>
        <w:left w:val="none" w:sz="0" w:space="0" w:color="auto"/>
        <w:bottom w:val="none" w:sz="0" w:space="0" w:color="auto"/>
        <w:right w:val="none" w:sz="0" w:space="0" w:color="auto"/>
      </w:divBdr>
    </w:div>
    <w:div w:id="1142189471">
      <w:bodyDiv w:val="1"/>
      <w:marLeft w:val="0"/>
      <w:marRight w:val="0"/>
      <w:marTop w:val="0"/>
      <w:marBottom w:val="0"/>
      <w:divBdr>
        <w:top w:val="none" w:sz="0" w:space="0" w:color="auto"/>
        <w:left w:val="none" w:sz="0" w:space="0" w:color="auto"/>
        <w:bottom w:val="none" w:sz="0" w:space="0" w:color="auto"/>
        <w:right w:val="none" w:sz="0" w:space="0" w:color="auto"/>
      </w:divBdr>
    </w:div>
    <w:div w:id="1377580831">
      <w:bodyDiv w:val="1"/>
      <w:marLeft w:val="0"/>
      <w:marRight w:val="0"/>
      <w:marTop w:val="0"/>
      <w:marBottom w:val="0"/>
      <w:divBdr>
        <w:top w:val="none" w:sz="0" w:space="0" w:color="auto"/>
        <w:left w:val="none" w:sz="0" w:space="0" w:color="auto"/>
        <w:bottom w:val="none" w:sz="0" w:space="0" w:color="auto"/>
        <w:right w:val="none" w:sz="0" w:space="0" w:color="auto"/>
      </w:divBdr>
    </w:div>
    <w:div w:id="1419252752">
      <w:bodyDiv w:val="1"/>
      <w:marLeft w:val="0"/>
      <w:marRight w:val="0"/>
      <w:marTop w:val="0"/>
      <w:marBottom w:val="0"/>
      <w:divBdr>
        <w:top w:val="none" w:sz="0" w:space="0" w:color="auto"/>
        <w:left w:val="none" w:sz="0" w:space="0" w:color="auto"/>
        <w:bottom w:val="none" w:sz="0" w:space="0" w:color="auto"/>
        <w:right w:val="none" w:sz="0" w:space="0" w:color="auto"/>
      </w:divBdr>
    </w:div>
    <w:div w:id="204467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80208/grocery-market-share-in-the-united-kingdom-uk/" TargetMode="External"/><Relationship Id="rId18" Type="http://schemas.openxmlformats.org/officeDocument/2006/relationships/hyperlink" Target="https://www.thegrocer.co.uk/consumer-trends/tesco-customer-satisfaction-improves-faster-than-rivals/547406.article" TargetMode="External"/><Relationship Id="rId3" Type="http://schemas.openxmlformats.org/officeDocument/2006/relationships/styles" Target="styles.xml"/><Relationship Id="rId21" Type="http://schemas.openxmlformats.org/officeDocument/2006/relationships/hyperlink" Target="https://www.statista.com/statistics/549738/tesco-uk-ad-spend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taildesignforum.co.uk/tesco-brand-strong-but-uk-retailers-behind-global-rivals/" TargetMode="External"/><Relationship Id="rId2" Type="http://schemas.openxmlformats.org/officeDocument/2006/relationships/numbering" Target="numbering.xml"/><Relationship Id="rId16" Type="http://schemas.openxmlformats.org/officeDocument/2006/relationships/hyperlink" Target="https://iclg.com/practice-areas/employment-and-labour-laws-and-regulations/united-kingdom" TargetMode="External"/><Relationship Id="rId20" Type="http://schemas.openxmlformats.org/officeDocument/2006/relationships/hyperlink" Target="https://www.smartsheet.com/what-stakeholder-analysis-and-mapping-and-how-do-you-do-it-effective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uterweekly.com/news/252499325/Tesco-reports-online-sales-surge-advances-digital-platfor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atafloq.com/read/tesco-big-data-analytics-recipe-success/6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w/word-of-mouth-marketing.as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74EB2A7-23E6-4B00-9C29-5B454E3E9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15</Pages>
  <Words>3672</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32</cp:revision>
  <dcterms:created xsi:type="dcterms:W3CDTF">2021-09-02T09:53:00Z</dcterms:created>
  <dcterms:modified xsi:type="dcterms:W3CDTF">2021-09-09T15:10:00Z</dcterms:modified>
</cp:coreProperties>
</file>