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3626"/>
        <w:gridCol w:w="5702"/>
        <w:gridCol w:w="3116"/>
      </w:tblGrid>
      <w:tr>
        <w:trPr>
          <w:trHeight w:val="495" w:hRule="auto"/>
          <w:jc w:val="center"/>
        </w:trPr>
        <w:tc>
          <w:tcPr>
            <w:tcW w:w="3626"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3" w:after="0" w:line="360"/>
              <w:ind w:right="0" w:left="11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Student name:</w:t>
            </w:r>
          </w:p>
        </w:tc>
        <w:tc>
          <w:tcPr>
            <w:tcW w:w="57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36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  Abul Khair Amin</w:t>
            </w:r>
          </w:p>
        </w:tc>
      </w:tr>
      <w:tr>
        <w:trPr>
          <w:trHeight w:val="490" w:hRule="auto"/>
          <w:jc w:val="center"/>
        </w:trPr>
        <w:tc>
          <w:tcPr>
            <w:tcW w:w="3626"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4" w:after="0" w:line="360"/>
              <w:ind w:right="0" w:left="11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Programme:</w:t>
            </w:r>
          </w:p>
        </w:tc>
        <w:tc>
          <w:tcPr>
            <w:tcW w:w="8818" w:type="dxa"/>
            <w:gridSpan w:val="2"/>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4" w:after="0" w:line="360"/>
              <w:ind w:right="0" w:left="11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Law and Legal Practice</w:t>
            </w:r>
          </w:p>
        </w:tc>
      </w:tr>
      <w:tr>
        <w:trPr>
          <w:trHeight w:val="495" w:hRule="auto"/>
          <w:jc w:val="center"/>
        </w:trPr>
        <w:tc>
          <w:tcPr>
            <w:tcW w:w="3626"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3" w:after="0" w:line="360"/>
              <w:ind w:right="0" w:left="11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Module:</w:t>
            </w:r>
          </w:p>
        </w:tc>
        <w:tc>
          <w:tcPr>
            <w:tcW w:w="8818" w:type="dxa"/>
            <w:gridSpan w:val="2"/>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3" w:after="0" w:line="360"/>
              <w:ind w:right="0" w:left="11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Principles of Professional Legal Practice</w:t>
            </w:r>
          </w:p>
        </w:tc>
      </w:tr>
      <w:tr>
        <w:trPr>
          <w:trHeight w:val="760" w:hRule="auto"/>
          <w:jc w:val="center"/>
        </w:trPr>
        <w:tc>
          <w:tcPr>
            <w:tcW w:w="3626"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3" w:after="0" w:line="360"/>
              <w:ind w:right="0" w:left="11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Module code:</w:t>
            </w:r>
          </w:p>
        </w:tc>
        <w:tc>
          <w:tcPr>
            <w:tcW w:w="570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3" w:after="0" w:line="360"/>
              <w:ind w:right="0" w:left="11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BMLW4001</w:t>
            </w:r>
          </w:p>
        </w:tc>
      </w:tr>
    </w:tbl>
    <w:p>
      <w:pPr>
        <w:spacing w:before="0" w:after="0" w:line="360"/>
        <w:ind w:right="0" w:left="0" w:firstLine="0"/>
        <w:jc w:val="both"/>
        <w:rPr>
          <w:rFonts w:ascii="Arial" w:hAnsi="Arial" w:cs="Arial" w:eastAsia="Arial"/>
          <w:color w:val="auto"/>
          <w:spacing w:val="0"/>
          <w:position w:val="0"/>
          <w:sz w:val="24"/>
          <w:shd w:fill="auto" w:val="clear"/>
        </w:rPr>
      </w:pPr>
    </w:p>
    <w:p>
      <w:pPr>
        <w:widowControl w:val="false"/>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widowControl w:val="false"/>
        <w:spacing w:before="0" w:after="160" w:line="360"/>
        <w:ind w:right="0" w:left="0" w:firstLine="0"/>
        <w:jc w:val="left"/>
        <w:rPr>
          <w:rFonts w:ascii="Arial" w:hAnsi="Arial" w:cs="Arial" w:eastAsia="Arial"/>
          <w:color w:val="auto"/>
          <w:spacing w:val="0"/>
          <w:position w:val="0"/>
          <w:sz w:val="24"/>
          <w:shd w:fill="auto" w:val="clear"/>
        </w:rPr>
      </w:pPr>
    </w:p>
    <w:p>
      <w:pPr>
        <w:widowControl w:val="false"/>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widowControl w:val="false"/>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Element 1: Email to Client Regarding Investment Advice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Subject: Important Legal Considerations Regarding Investment in Startup Company</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Dear Mr. Moneymaker,</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Hello, and I hope you are doing well. I appreciate you coming into our office today to seek legal advice prior to making any choices on a financial investment in a startup company. I guarantee to always operate in your best interests and in compliance with the most rigorous moral and professional standards as your lawyer. I would like to answer to your question and draw attention to a few crucial points, particularly with respect to the Financial Services and Markets Act of 2000 (FSMA), the Solicitors Regulation Authority's Code of Conduct, and the Money Laundering Regulations (Johnson and Peterson, 2014).</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Investment-related aspects of the financial industry are governed by the Financial Services and Markets Act of 2000 (FSMA), a key piece of legislation. The Act creates normative laws that aim to protect investors from improper advice and promote prudent portfolio management (Gov.UK, 2000). Despite my desire to assist, I am unable to provide you individualized investment advice since doing so would constitute participating in a regulated financial activity.</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 know directly how vital it is to behave ethically and legally as a local businessman with a law degree. According to the Financial Services Modernization Act, anybody who provides financial advice must get a license from the Financial Conduct Authority (FCA). Without this approval, making personalized investment suggestions may be unethical and unethical from a professional sense (Gov.UK, 2000). Anyone offering investment advice must have the necessary qualifications and be knowledgeable about the subtleties of the market.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Lawyers must also uphold the highest standards of professionalism in line with the SRA Code of Conduct. Rule 3.01 highlights our dedication to upholding the law and administering justice fairly (Casetext, 2020). This entails acting legally and within the parameters of our knowledge and expertise. The provision of investment advice without the necessary qualifications might potentially violate these moral obligations.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order to stop money laundering and other financial crimes, stringent due diligence is also needed under the Money Laundering Regulations. Our first objective is to provide top-notch legal counsel, but it's crucial to remember that money laundering laws could also apply to investments in addition to other financial transactions (Compliance Training Products, 2021). As a consequence, we must keep an eye out for any unusual behavior and conduct all of our financial dealings in an entirely transparent and honest manner.</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suggest that we work together to make sure that your financial assets are secure in light of these moral and ethical concerns (Solicitors Regulation Authority, 2019). I cannot provide direct financial advice due to the aforementioned regulatory restrictions. I would gladly help you locate financial advisers who have been approved by the FCA, however. By following this course of action, you may get precise and trusted advice while navigating the investment environment in a compliant way.</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I'll do all in my ability to support you in making moral decisions that adhere to the law and moral principles. If you need assistance locating certified financial planners who can satisfy your specific needs, don't hesitate to get in touch with me.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Thank you for your understanding, and I look forward to assisting you in this matter.</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Best regards,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Name]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Title]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Contact Information]</w:t>
      </w:r>
    </w:p>
    <w:p>
      <w:pPr>
        <w:widowControl w:val="false"/>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widowControl w:val="false"/>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Element 02: Letter writing</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Name]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Title]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Firm's Name]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[Date]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Subject: Understanding the Pillars of the SRA Code of Conduct: A Guide for You</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Dear Newly Qualified Solicitors,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offer my sincere congratulations on achieving this critical milestone in your legal career by being qualified as lawyers. It is crucial that you thoroughly comprehend the guiding principles provided in the Solicitors Regulation Authority (SRA) Code of Conduct as you start this new phase (Solicitors Regulation Authority, 2019).</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 Rule 1: Upholding Integrity</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Integrity is a core value in our field of business. We must follow Rule 1 and conduct ourselves in a way that preserves the public's faith in the legal system. Being honest, fair, and transparent in all business dealings is essential to maintaining integrity. By conducting yourself honestly, you safeguard both the company's and your own reputations.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 Rule 2: Ensuring Confidentiality</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Confidentiality is the cornerstone of relationships between attorneys and their clients. Rule 2 requires that we maintain the confidentiality of client information unless we are required by law to disclose it (Legalservicesboard.org.uk, 2020). Even after the client relationship has ended, client confidentiality must be maintained. Confidentiality fosters open communication and builds trust.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 Rule 3: Avoiding Conflicts of Interest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Rule 3 emphasizes the need of effectively recognizing and managing conflicts of interest. These may occur if the interests of our clients and ours diverge. The principle of unwavering loyalty to our consumers would be violated if we were unable to provide objective advice due to conflicts (Slocum et al., 2009). By effectively resolving conflicts, we always put the needs of our consumers first.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 Rule 4: Acting in the Best Interests of Clients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foundation of our professional obligation is acting in the customers' best interests. Rule 4 instructs us to give clients' needs first priority while making choices that are in line with their wellbeing (Hilborne, 2019). It demands us to provide customers clear guidance and specialized solutions while abiding by the law and ethical principles.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 Rules 6.1 to 6.5: Managing Risk and Trust Accounts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Rule 6.1: Acting in the Client's Best Interests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main responsibility is to represent your customers' interests. This entails giving knowledgeable and thorough advise while keeping the requirements and preferences of your customers at the center of your activities.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Rule 6.2: Conflicts of Interest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your professional responsibilities compete with your own personal goals or those of another customer, you may be facing a conflict of interest (Soin and Collier, 2013). Potential conflicts must be quickly identified, evaluated, and handled by you.</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Rule 6.3: Confidentiality and Disclosure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rule's primary focus is on protecting the privacy of clients while also requiring necessary information to be shared (Hilborne, 2019). Consider the client's right to privacy with your responsibility to maintain the law and safeguard the public interest when making decisions about whether or not to disclose information.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Rule 6.4: Conflict of Interest - Own Interests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purpose of this guideline is to remind you that you should never put your own needs ahead of those of your employer.</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Rule 6.5: Trust Money</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Client money are entrusted to you when you manage trust accounts. Separate accounts must be set up for these monies and detailed records must be kept.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Practical Illustration: Conflict of Interest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Imagine you're a real estate lawyer working with two clients who are competing to purchase the same piece of property (Soin and Collier, 2013). A conflict of interest arises when your customers' interests are at odds with your own. If you have a conflict of interest and want to continue representing one of the parties involved, you should tell them about it and gain their consent first.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Last but not least, you should utilize the SRA Code of Conduct as a moral compass to guide you through the complex world of legal practice. Following these rules will help promote our company and the legal profession in the best possible light.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Please don't hesitate to get in touch with me if you have any concerns or want assistance navigating a moral dilemma. If you follow these guidelines, you'll be able to defend yourself in court without compromising your morals.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Best regards,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Name]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Title]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Contact Information]</w:t>
      </w: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 </w:t>
      </w:r>
    </w:p>
    <w:p>
      <w:pPr>
        <w:keepNext w:val="true"/>
        <w:keepLines w:val="true"/>
        <w:spacing w:before="240" w:after="0" w:line="360"/>
        <w:ind w:right="0" w:left="0" w:firstLine="0"/>
        <w:jc w:val="left"/>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Element 3: Funding Options for Different Areas of Law (Poster)</w:t>
      </w:r>
    </w:p>
    <w:p>
      <w:pPr>
        <w:widowControl w:val="false"/>
        <w:spacing w:before="0" w:after="160" w:line="360"/>
        <w:ind w:right="0" w:left="0" w:firstLine="0"/>
        <w:jc w:val="center"/>
        <w:rPr>
          <w:rFonts w:ascii="Arial" w:hAnsi="Arial" w:cs="Arial" w:eastAsia="Arial"/>
          <w:color w:val="auto"/>
          <w:spacing w:val="0"/>
          <w:position w:val="0"/>
          <w:sz w:val="24"/>
          <w:shd w:fill="auto" w:val="clear"/>
        </w:rPr>
      </w:pPr>
      <w:r>
        <w:object w:dxaOrig="8045" w:dyaOrig="11620">
          <v:rect xmlns:o="urn:schemas-microsoft-com:office:office" xmlns:v="urn:schemas-microsoft-com:vml" id="rectole0000000000" style="width:402.250000pt;height:581.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keepLines w:val="true"/>
        <w:spacing w:before="240" w:after="0" w:line="360"/>
        <w:ind w:right="0" w:left="0" w:firstLine="0"/>
        <w:jc w:val="left"/>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References: </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Casetext (2020). </w:t>
      </w:r>
      <w:r>
        <w:rPr>
          <w:rFonts w:ascii="Arial" w:hAnsi="Arial" w:cs="Arial" w:eastAsia="Arial"/>
          <w:i/>
          <w:color w:val="auto"/>
          <w:spacing w:val="0"/>
          <w:position w:val="0"/>
          <w:sz w:val="24"/>
          <w:shd w:fill="auto" w:val="clear"/>
        </w:rPr>
        <w:t xml:space="preserve">Rule 3.01 - Meritorious Claims and Contentions, Tex. R. Disc. Prof’l. Cond. 3.01 | Casetext Search + Citator</w:t>
      </w:r>
      <w:r>
        <w:rPr>
          <w:rFonts w:ascii="Arial" w:hAnsi="Arial" w:cs="Arial" w:eastAsia="Arial"/>
          <w:color w:val="auto"/>
          <w:spacing w:val="0"/>
          <w:position w:val="0"/>
          <w:sz w:val="24"/>
          <w:shd w:fill="auto" w:val="clear"/>
        </w:rPr>
        <w:t xml:space="preserve">. [online] casetext.com. Available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https://casetext.com/rule/texas-court-rules/texas-disciplinary-rules-of-professional-conduct/advocate/rule-301-meritorious-claims-and-contentions</w:t>
        </w:r>
      </w:hyperlink>
      <w:r>
        <w:rPr>
          <w:rFonts w:ascii="Arial" w:hAnsi="Arial" w:cs="Arial" w:eastAsia="Arial"/>
          <w:color w:val="auto"/>
          <w:spacing w:val="0"/>
          <w:position w:val="0"/>
          <w:sz w:val="24"/>
          <w:shd w:fill="auto" w:val="clear"/>
        </w:rPr>
        <w:t xml:space="preserve"> [Accessed 10 Aug. 2023].</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Child law advice (2022). </w:t>
      </w:r>
      <w:r>
        <w:rPr>
          <w:rFonts w:ascii="Arial" w:hAnsi="Arial" w:cs="Arial" w:eastAsia="Arial"/>
          <w:i/>
          <w:color w:val="auto"/>
          <w:spacing w:val="0"/>
          <w:position w:val="0"/>
          <w:sz w:val="24"/>
          <w:shd w:fill="auto" w:val="clear"/>
        </w:rPr>
        <w:t xml:space="preserve">Public Law Care Proceedings</w:t>
      </w:r>
      <w:r>
        <w:rPr>
          <w:rFonts w:ascii="Arial" w:hAnsi="Arial" w:cs="Arial" w:eastAsia="Arial"/>
          <w:color w:val="auto"/>
          <w:spacing w:val="0"/>
          <w:position w:val="0"/>
          <w:sz w:val="24"/>
          <w:shd w:fill="auto" w:val="clear"/>
        </w:rPr>
        <w:t xml:space="preserve">. [online] childlawadvice.org.uk. Available at: </w:t>
      </w:r>
      <w:hyperlink xmlns:r="http://schemas.openxmlformats.org/officeDocument/2006/relationships" r:id="docRId3">
        <w:r>
          <w:rPr>
            <w:rFonts w:ascii="Arial" w:hAnsi="Arial" w:cs="Arial" w:eastAsia="Arial"/>
            <w:color w:val="0000FF"/>
            <w:spacing w:val="0"/>
            <w:position w:val="0"/>
            <w:sz w:val="24"/>
            <w:u w:val="single"/>
            <w:shd w:fill="auto" w:val="clear"/>
          </w:rPr>
          <w:t xml:space="preserve">https://childlawadvice.org.uk/information-pages/care-proceedings/</w:t>
        </w:r>
      </w:hyperlink>
      <w:r>
        <w:rPr>
          <w:rFonts w:ascii="Arial" w:hAnsi="Arial" w:cs="Arial" w:eastAsia="Arial"/>
          <w:color w:val="auto"/>
          <w:spacing w:val="0"/>
          <w:position w:val="0"/>
          <w:sz w:val="24"/>
          <w:shd w:fill="auto" w:val="clear"/>
        </w:rPr>
        <w:t xml:space="preserve"> [Accessed 10 Aug. 2023].</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Compliance Training Products. (2021). </w:t>
      </w:r>
      <w:r>
        <w:rPr>
          <w:rFonts w:ascii="Arial" w:hAnsi="Arial" w:cs="Arial" w:eastAsia="Arial"/>
          <w:i/>
          <w:color w:val="auto"/>
          <w:spacing w:val="0"/>
          <w:position w:val="0"/>
          <w:sz w:val="24"/>
          <w:shd w:fill="auto" w:val="clear"/>
        </w:rPr>
        <w:t xml:space="preserve">MLRO Handbook | Updated for the 5th Money Laundering Directive.</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4">
        <w:r>
          <w:rPr>
            <w:rFonts w:ascii="Arial" w:hAnsi="Arial" w:cs="Arial" w:eastAsia="Arial"/>
            <w:color w:val="0000FF"/>
            <w:spacing w:val="0"/>
            <w:position w:val="0"/>
            <w:sz w:val="24"/>
            <w:u w:val="single"/>
            <w:shd w:fill="auto" w:val="clear"/>
          </w:rPr>
          <w:t xml:space="preserve">https://www.ctp.co.uk/product/mlro-handbook/?gclid=CjwKCAjw8symBhAqEiwAaTA__HATvrCZ3vKOFZ4xZ7n0zvsdMYGtfDHSUYWwYxdKMUw7fbNhdiM7kxoC2nEQAvD_BwE</w:t>
        </w:r>
      </w:hyperlink>
      <w:r>
        <w:rPr>
          <w:rFonts w:ascii="Arial" w:hAnsi="Arial" w:cs="Arial" w:eastAsia="Arial"/>
          <w:color w:val="auto"/>
          <w:spacing w:val="0"/>
          <w:position w:val="0"/>
          <w:sz w:val="24"/>
          <w:shd w:fill="auto" w:val="clear"/>
        </w:rPr>
        <w:t xml:space="preserve"> [Accessed 10 Aug. 2023].</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Gov.UK (2000). </w:t>
      </w:r>
      <w:r>
        <w:rPr>
          <w:rFonts w:ascii="Arial" w:hAnsi="Arial" w:cs="Arial" w:eastAsia="Arial"/>
          <w:i/>
          <w:color w:val="auto"/>
          <w:spacing w:val="0"/>
          <w:position w:val="0"/>
          <w:sz w:val="24"/>
          <w:shd w:fill="auto" w:val="clear"/>
        </w:rPr>
        <w:t xml:space="preserve">Financial Services and Markets Act 2000</w:t>
      </w:r>
      <w:r>
        <w:rPr>
          <w:rFonts w:ascii="Arial" w:hAnsi="Arial" w:cs="Arial" w:eastAsia="Arial"/>
          <w:color w:val="auto"/>
          <w:spacing w:val="0"/>
          <w:position w:val="0"/>
          <w:sz w:val="24"/>
          <w:shd w:fill="auto" w:val="clear"/>
        </w:rPr>
        <w:t xml:space="preserve">. [online] Legislation.gov.uk. Available at: </w:t>
      </w:r>
      <w:hyperlink xmlns:r="http://schemas.openxmlformats.org/officeDocument/2006/relationships" r:id="docRId5">
        <w:r>
          <w:rPr>
            <w:rFonts w:ascii="Arial" w:hAnsi="Arial" w:cs="Arial" w:eastAsia="Arial"/>
            <w:color w:val="0000FF"/>
            <w:spacing w:val="0"/>
            <w:position w:val="0"/>
            <w:sz w:val="24"/>
            <w:u w:val="single"/>
            <w:shd w:fill="auto" w:val="clear"/>
          </w:rPr>
          <w:t xml:space="preserve">https://www.legislation.gov.uk/ukpga/2000/8/contents</w:t>
        </w:r>
      </w:hyperlink>
      <w:r>
        <w:rPr>
          <w:rFonts w:ascii="Arial" w:hAnsi="Arial" w:cs="Arial" w:eastAsia="Arial"/>
          <w:color w:val="auto"/>
          <w:spacing w:val="0"/>
          <w:position w:val="0"/>
          <w:sz w:val="24"/>
          <w:shd w:fill="auto" w:val="clear"/>
        </w:rPr>
        <w:t xml:space="preserve"> [Accessed 10 Aug. 2023].</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Hilborne, N. (2019). </w:t>
      </w:r>
      <w:r>
        <w:rPr>
          <w:rFonts w:ascii="Arial" w:hAnsi="Arial" w:cs="Arial" w:eastAsia="Arial"/>
          <w:i/>
          <w:color w:val="auto"/>
          <w:spacing w:val="0"/>
          <w:position w:val="0"/>
          <w:sz w:val="24"/>
          <w:shd w:fill="auto" w:val="clear"/>
        </w:rPr>
        <w:t xml:space="preserve">SRA spells out how to lack integrity without being dishonest</w:t>
      </w:r>
      <w:r>
        <w:rPr>
          <w:rFonts w:ascii="Arial" w:hAnsi="Arial" w:cs="Arial" w:eastAsia="Arial"/>
          <w:color w:val="auto"/>
          <w:spacing w:val="0"/>
          <w:position w:val="0"/>
          <w:sz w:val="24"/>
          <w:shd w:fill="auto" w:val="clear"/>
        </w:rPr>
        <w:t xml:space="preserve">. [online] Legal Futures. Available at: </w:t>
      </w:r>
      <w:hyperlink xmlns:r="http://schemas.openxmlformats.org/officeDocument/2006/relationships" r:id="docRId6">
        <w:r>
          <w:rPr>
            <w:rFonts w:ascii="Arial" w:hAnsi="Arial" w:cs="Arial" w:eastAsia="Arial"/>
            <w:color w:val="0000FF"/>
            <w:spacing w:val="0"/>
            <w:position w:val="0"/>
            <w:sz w:val="24"/>
            <w:u w:val="single"/>
            <w:shd w:fill="auto" w:val="clear"/>
          </w:rPr>
          <w:t xml:space="preserve">https://www.legalfutures.co.uk/latest-news/sra-spells-out-how-to-lack-integrity-without-being-dishonest</w:t>
        </w:r>
      </w:hyperlink>
      <w:r>
        <w:rPr>
          <w:rFonts w:ascii="Arial" w:hAnsi="Arial" w:cs="Arial" w:eastAsia="Arial"/>
          <w:color w:val="auto"/>
          <w:spacing w:val="0"/>
          <w:position w:val="0"/>
          <w:sz w:val="24"/>
          <w:shd w:fill="auto" w:val="clear"/>
        </w:rPr>
        <w:t xml:space="preserve"> [Accessed 10 Aug. 2023].</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JENTZ, G.A. (1964). BUSINESS LAW IN THE MASTER’S PROGRAM IN BUSINESS. </w:t>
      </w:r>
      <w:r>
        <w:rPr>
          <w:rFonts w:ascii="Arial" w:hAnsi="Arial" w:cs="Arial" w:eastAsia="Arial"/>
          <w:i/>
          <w:color w:val="auto"/>
          <w:spacing w:val="0"/>
          <w:position w:val="0"/>
          <w:sz w:val="24"/>
          <w:shd w:fill="auto" w:val="clear"/>
        </w:rPr>
        <w:t xml:space="preserve">American Business Law Journal</w:t>
      </w:r>
      <w:r>
        <w:rPr>
          <w:rFonts w:ascii="Arial" w:hAnsi="Arial" w:cs="Arial" w:eastAsia="Arial"/>
          <w:color w:val="auto"/>
          <w:spacing w:val="0"/>
          <w:position w:val="0"/>
          <w:sz w:val="24"/>
          <w:shd w:fill="auto" w:val="clear"/>
        </w:rPr>
        <w:t xml:space="preserve">, 2(2), pp.197</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 doi:https://doi.org/10.1111/j.1744-1714.1964.tb01266.x.</w:t>
      </w:r>
    </w:p>
    <w:p>
      <w:pPr>
        <w:widowControl w:val="false"/>
        <w:spacing w:before="10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JOHNSON, D.,S. and PETERSON, M. (2014). Consumer financial anxiety: US regional financial service firms' trust building response to the financial crisis. The International Journal of Bank Marketing, 32(6), pp. 515-533. </w:t>
      </w:r>
      <w:hyperlink xmlns:r="http://schemas.openxmlformats.org/officeDocument/2006/relationships" r:id="docRId7">
        <w:r>
          <w:rPr>
            <w:rFonts w:ascii="Arial" w:hAnsi="Arial" w:cs="Arial" w:eastAsia="Arial"/>
            <w:color w:val="0000FF"/>
            <w:spacing w:val="0"/>
            <w:position w:val="0"/>
            <w:sz w:val="24"/>
            <w:u w:val="single"/>
            <w:shd w:fill="auto" w:val="clear"/>
          </w:rPr>
          <w:t xml:space="preserve">https://www.proquest.com/scholarly-journals/consumer-financial-anxiety/docview/1633956587/se-2?accountid=30552</w:t>
        </w:r>
      </w:hyperlink>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Legalservicesboard.org.uk (2020). </w:t>
      </w:r>
      <w:r>
        <w:rPr>
          <w:rFonts w:ascii="Arial" w:hAnsi="Arial" w:cs="Arial" w:eastAsia="Arial"/>
          <w:i/>
          <w:color w:val="auto"/>
          <w:spacing w:val="0"/>
          <w:position w:val="0"/>
          <w:sz w:val="24"/>
          <w:shd w:fill="auto" w:val="clear"/>
        </w:rPr>
        <w:t xml:space="preserve">SRA Principles</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8">
        <w:r>
          <w:rPr>
            <w:rFonts w:ascii="Arial" w:hAnsi="Arial" w:cs="Arial" w:eastAsia="Arial"/>
            <w:color w:val="0000FF"/>
            <w:spacing w:val="0"/>
            <w:position w:val="0"/>
            <w:sz w:val="24"/>
            <w:u w:val="single"/>
            <w:shd w:fill="auto" w:val="clear"/>
          </w:rPr>
          <w:t xml:space="preserve">https://www.legalservicesboard.org.uk/Projects/statutory_decision_making/pdf/2018/Annex_A_the_new_rules.pdf</w:t>
        </w:r>
      </w:hyperlink>
      <w:r>
        <w:rPr>
          <w:rFonts w:ascii="Arial" w:hAnsi="Arial" w:cs="Arial" w:eastAsia="Arial"/>
          <w:color w:val="auto"/>
          <w:spacing w:val="0"/>
          <w:position w:val="0"/>
          <w:sz w:val="24"/>
          <w:shd w:fill="auto" w:val="clear"/>
        </w:rPr>
        <w:t xml:space="preserve"> [Accessed 10 Aug. 2023].</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Migrator (2012). </w:t>
      </w:r>
      <w:r>
        <w:rPr>
          <w:rFonts w:ascii="Arial" w:hAnsi="Arial" w:cs="Arial" w:eastAsia="Arial"/>
          <w:i/>
          <w:color w:val="auto"/>
          <w:spacing w:val="0"/>
          <w:position w:val="0"/>
          <w:sz w:val="24"/>
          <w:shd w:fill="auto" w:val="clear"/>
        </w:rPr>
        <w:t xml:space="preserve">Advantages and disadvantages of raising finance through private placements</w:t>
      </w:r>
      <w:r>
        <w:rPr>
          <w:rFonts w:ascii="Arial" w:hAnsi="Arial" w:cs="Arial" w:eastAsia="Arial"/>
          <w:color w:val="auto"/>
          <w:spacing w:val="0"/>
          <w:position w:val="0"/>
          <w:sz w:val="24"/>
          <w:shd w:fill="auto" w:val="clear"/>
        </w:rPr>
        <w:t xml:space="preserve">. [online] nibusinessinfo.co.uk. Available at: </w:t>
      </w:r>
      <w:hyperlink xmlns:r="http://schemas.openxmlformats.org/officeDocument/2006/relationships" r:id="docRId9">
        <w:r>
          <w:rPr>
            <w:rFonts w:ascii="Arial" w:hAnsi="Arial" w:cs="Arial" w:eastAsia="Arial"/>
            <w:color w:val="0000FF"/>
            <w:spacing w:val="0"/>
            <w:position w:val="0"/>
            <w:sz w:val="24"/>
            <w:u w:val="single"/>
            <w:shd w:fill="auto" w:val="clear"/>
          </w:rPr>
          <w:t xml:space="preserve">https://www.nibusinessinfo.co.uk/content/advantages-and-disadvantages-raising-finance-through-private-placements</w:t>
        </w:r>
      </w:hyperlink>
      <w:r>
        <w:rPr>
          <w:rFonts w:ascii="Arial" w:hAnsi="Arial" w:cs="Arial" w:eastAsia="Arial"/>
          <w:color w:val="auto"/>
          <w:spacing w:val="0"/>
          <w:position w:val="0"/>
          <w:sz w:val="24"/>
          <w:shd w:fill="auto" w:val="clear"/>
        </w:rPr>
        <w:t xml:space="preserve"> [Accessed 10 Aug. 2023].</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Moorhead, R., Sherr, A. and Paterson, A. (2003). Contesting Professionalism: Legal Aid and Nonlawyers in England and Wales. </w:t>
      </w:r>
      <w:r>
        <w:rPr>
          <w:rFonts w:ascii="Arial" w:hAnsi="Arial" w:cs="Arial" w:eastAsia="Arial"/>
          <w:i/>
          <w:color w:val="auto"/>
          <w:spacing w:val="0"/>
          <w:position w:val="0"/>
          <w:sz w:val="24"/>
          <w:shd w:fill="auto" w:val="clear"/>
        </w:rPr>
        <w:t xml:space="preserve">Law Society Review</w:t>
      </w:r>
      <w:r>
        <w:rPr>
          <w:rFonts w:ascii="Arial" w:hAnsi="Arial" w:cs="Arial" w:eastAsia="Arial"/>
          <w:color w:val="auto"/>
          <w:spacing w:val="0"/>
          <w:position w:val="0"/>
          <w:sz w:val="24"/>
          <w:shd w:fill="auto" w:val="clear"/>
        </w:rPr>
        <w:t xml:space="preserve">, 37(4), pp.765</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808. doi:https://doi.org/10.1046/j.0023-9216.2003.03704003.x.</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Oviatt, B.M. and McDougall, P.P. (1994). Toward a Theory of International New ventures. </w:t>
      </w:r>
      <w:r>
        <w:rPr>
          <w:rFonts w:ascii="Arial" w:hAnsi="Arial" w:cs="Arial" w:eastAsia="Arial"/>
          <w:i/>
          <w:color w:val="auto"/>
          <w:spacing w:val="0"/>
          <w:position w:val="0"/>
          <w:sz w:val="24"/>
          <w:shd w:fill="auto" w:val="clear"/>
        </w:rPr>
        <w:t xml:space="preserve">Journal of International Business Studies</w:t>
      </w:r>
      <w:r>
        <w:rPr>
          <w:rFonts w:ascii="Arial" w:hAnsi="Arial" w:cs="Arial" w:eastAsia="Arial"/>
          <w:color w:val="auto"/>
          <w:spacing w:val="0"/>
          <w:position w:val="0"/>
          <w:sz w:val="24"/>
          <w:shd w:fill="auto" w:val="clear"/>
        </w:rPr>
        <w:t xml:space="preserve">, 25(1), pp.45</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64. doi:https://doi.org/10.1057/palgrave.jibs.8490193.</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SLOCUM, J.M., CHRONISTER, L., M.P.A., KULAKOWSKI, E.C., PHD., MOLFESE, V., PHD., STUDMAN, C., PHD. and WAUGAMAN, P., M.P.A., (2009). Research Law and Regulatory Affairs Update: Codes of Business Ethics, Codes of Conduct and Conflict of Interest. Journal of Research Administration, 40(1), pp. 145-146,5-7. </w:t>
      </w:r>
      <w:hyperlink xmlns:r="http://schemas.openxmlformats.org/officeDocument/2006/relationships" r:id="docRId10">
        <w:r>
          <w:rPr>
            <w:rFonts w:ascii="Arial" w:hAnsi="Arial" w:cs="Arial" w:eastAsia="Arial"/>
            <w:color w:val="0000FF"/>
            <w:spacing w:val="0"/>
            <w:position w:val="0"/>
            <w:sz w:val="24"/>
            <w:u w:val="single"/>
            <w:shd w:fill="auto" w:val="clear"/>
          </w:rPr>
          <w:t xml:space="preserve">https://www.proquest.com/scholarly-journals/research-law-regulatory-affairs-update-codes/docview/216588243/se-2?accountid=30552</w:t>
        </w:r>
      </w:hyperlink>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Soin, K. and Collier, P. (2013). Risk and risk management in management accounting and control. </w:t>
      </w:r>
      <w:r>
        <w:rPr>
          <w:rFonts w:ascii="Arial" w:hAnsi="Arial" w:cs="Arial" w:eastAsia="Arial"/>
          <w:i/>
          <w:color w:val="auto"/>
          <w:spacing w:val="0"/>
          <w:position w:val="0"/>
          <w:sz w:val="24"/>
          <w:shd w:fill="auto" w:val="clear"/>
        </w:rPr>
        <w:t xml:space="preserve">Management Accounting Research</w:t>
      </w:r>
      <w:r>
        <w:rPr>
          <w:rFonts w:ascii="Arial" w:hAnsi="Arial" w:cs="Arial" w:eastAsia="Arial"/>
          <w:color w:val="auto"/>
          <w:spacing w:val="0"/>
          <w:position w:val="0"/>
          <w:sz w:val="24"/>
          <w:shd w:fill="auto" w:val="clear"/>
        </w:rPr>
        <w:t xml:space="preserve">, 24(2), pp.82</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87. doi:https://doi.org/10.1016/j.mar.2013.04.003.</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Solicitors Regulation Authority (2019). </w:t>
      </w:r>
      <w:r>
        <w:rPr>
          <w:rFonts w:ascii="Arial" w:hAnsi="Arial" w:cs="Arial" w:eastAsia="Arial"/>
          <w:i/>
          <w:color w:val="auto"/>
          <w:spacing w:val="0"/>
          <w:position w:val="0"/>
          <w:sz w:val="24"/>
          <w:shd w:fill="auto" w:val="clear"/>
        </w:rPr>
        <w:t xml:space="preserve">SRA Code of Conduct for Solicitors, RELs and RFLs</w:t>
      </w:r>
      <w:r>
        <w:rPr>
          <w:rFonts w:ascii="Arial" w:hAnsi="Arial" w:cs="Arial" w:eastAsia="Arial"/>
          <w:color w:val="auto"/>
          <w:spacing w:val="0"/>
          <w:position w:val="0"/>
          <w:sz w:val="24"/>
          <w:shd w:fill="auto" w:val="clear"/>
        </w:rPr>
        <w:t xml:space="preserve">. [online] Sra.org.uk. Available at: </w:t>
      </w:r>
      <w:hyperlink xmlns:r="http://schemas.openxmlformats.org/officeDocument/2006/relationships" r:id="docRId11">
        <w:r>
          <w:rPr>
            <w:rFonts w:ascii="Arial" w:hAnsi="Arial" w:cs="Arial" w:eastAsia="Arial"/>
            <w:color w:val="0000FF"/>
            <w:spacing w:val="0"/>
            <w:position w:val="0"/>
            <w:sz w:val="24"/>
            <w:u w:val="single"/>
            <w:shd w:fill="auto" w:val="clear"/>
          </w:rPr>
          <w:t xml:space="preserve">https://www.sra.org.uk/solicitors/standards-regulations/code-conduct-solicitors/</w:t>
        </w:r>
      </w:hyperlink>
      <w:r>
        <w:rPr>
          <w:rFonts w:ascii="Arial" w:hAnsi="Arial" w:cs="Arial" w:eastAsia="Arial"/>
          <w:color w:val="auto"/>
          <w:spacing w:val="0"/>
          <w:position w:val="0"/>
          <w:sz w:val="24"/>
          <w:shd w:fill="auto" w:val="clear"/>
        </w:rPr>
        <w:t xml:space="preserve"> [Accessed 10 Aug. 2023].</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Summitlawllp (2022). </w:t>
      </w:r>
      <w:r>
        <w:rPr>
          <w:rFonts w:ascii="Arial" w:hAnsi="Arial" w:cs="Arial" w:eastAsia="Arial"/>
          <w:i/>
          <w:color w:val="auto"/>
          <w:spacing w:val="0"/>
          <w:position w:val="0"/>
          <w:sz w:val="24"/>
          <w:shd w:fill="auto" w:val="clear"/>
        </w:rPr>
        <w:t xml:space="preserve">Conditional Fee Agreenment (CFA) - Private &amp; Commercial Litigation Solicitors | Insolvency Legal Advice |</w:t>
      </w:r>
      <w:r>
        <w:rPr>
          <w:rFonts w:ascii="Arial" w:hAnsi="Arial" w:cs="Arial" w:eastAsia="Arial"/>
          <w:color w:val="auto"/>
          <w:spacing w:val="0"/>
          <w:position w:val="0"/>
          <w:sz w:val="24"/>
          <w:shd w:fill="auto" w:val="clear"/>
        </w:rPr>
        <w:t xml:space="preserve">. [online] summitlawllp.co.uk. Available at: </w:t>
      </w:r>
      <w:hyperlink xmlns:r="http://schemas.openxmlformats.org/officeDocument/2006/relationships" r:id="docRId12">
        <w:r>
          <w:rPr>
            <w:rFonts w:ascii="Arial" w:hAnsi="Arial" w:cs="Arial" w:eastAsia="Arial"/>
            <w:color w:val="0000FF"/>
            <w:spacing w:val="0"/>
            <w:position w:val="0"/>
            <w:sz w:val="24"/>
            <w:u w:val="single"/>
            <w:shd w:fill="auto" w:val="clear"/>
          </w:rPr>
          <w:t xml:space="preserve">https://www.summitlawllp.co.uk/conditional-fee-agreenment-cfa/</w:t>
        </w:r>
      </w:hyperlink>
      <w:r>
        <w:rPr>
          <w:rFonts w:ascii="Arial" w:hAnsi="Arial" w:cs="Arial" w:eastAsia="Arial"/>
          <w:color w:val="auto"/>
          <w:spacing w:val="0"/>
          <w:position w:val="0"/>
          <w:sz w:val="24"/>
          <w:shd w:fill="auto" w:val="clear"/>
        </w:rPr>
        <w:t xml:space="preserve"> [Accessed 10 Aug. 2023].</w:t>
      </w:r>
    </w:p>
    <w:p>
      <w:pPr>
        <w:widowControl w:val="false"/>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Tabone, M. (2010). </w:t>
      </w:r>
      <w:r>
        <w:rPr>
          <w:rFonts w:ascii="Arial" w:hAnsi="Arial" w:cs="Arial" w:eastAsia="Arial"/>
          <w:i/>
          <w:color w:val="auto"/>
          <w:spacing w:val="0"/>
          <w:position w:val="0"/>
          <w:sz w:val="24"/>
          <w:shd w:fill="auto" w:val="clear"/>
        </w:rPr>
        <w:t xml:space="preserve">The pros and cons of legal aid</w:t>
      </w:r>
      <w:r>
        <w:rPr>
          <w:rFonts w:ascii="Arial" w:hAnsi="Arial" w:cs="Arial" w:eastAsia="Arial"/>
          <w:color w:val="auto"/>
          <w:spacing w:val="0"/>
          <w:position w:val="0"/>
          <w:sz w:val="24"/>
          <w:shd w:fill="auto" w:val="clear"/>
        </w:rPr>
        <w:t xml:space="preserve">. [online] Times of Malta. Available at: </w:t>
      </w:r>
      <w:hyperlink xmlns:r="http://schemas.openxmlformats.org/officeDocument/2006/relationships" r:id="docRId13">
        <w:r>
          <w:rPr>
            <w:rFonts w:ascii="Arial" w:hAnsi="Arial" w:cs="Arial" w:eastAsia="Arial"/>
            <w:color w:val="0000FF"/>
            <w:spacing w:val="0"/>
            <w:position w:val="0"/>
            <w:sz w:val="24"/>
            <w:u w:val="single"/>
            <w:shd w:fill="auto" w:val="clear"/>
          </w:rPr>
          <w:t xml:space="preserve">https://timesofmalta.com/articles/view/the-pros-and-cons-of-legal-aid.292279</w:t>
        </w:r>
      </w:hyperlink>
      <w:r>
        <w:rPr>
          <w:rFonts w:ascii="Arial" w:hAnsi="Arial" w:cs="Arial" w:eastAsia="Arial"/>
          <w:color w:val="auto"/>
          <w:spacing w:val="0"/>
          <w:position w:val="0"/>
          <w:sz w:val="24"/>
          <w:shd w:fill="auto" w:val="clear"/>
        </w:rPr>
        <w:t xml:space="preserve"> [Accessed 10 Aug. 2023].</w:t>
      </w:r>
    </w:p>
    <w:p>
      <w:pPr>
        <w:widowControl w:val="false"/>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widowControl w:val="false"/>
        <w:spacing w:before="0" w:after="160" w:line="360"/>
        <w:ind w:right="0" w:left="0" w:firstLine="0"/>
        <w:jc w:val="both"/>
        <w:rPr>
          <w:rFonts w:ascii="Arial" w:hAnsi="Arial" w:cs="Arial" w:eastAsia="Arial"/>
          <w:color w:val="auto"/>
          <w:spacing w:val="0"/>
          <w:position w:val="0"/>
          <w:sz w:val="24"/>
          <w:shd w:fill="auto" w:val="clear"/>
        </w:rPr>
      </w:pPr>
    </w:p>
    <w:p>
      <w:pPr>
        <w:widowControl w:val="false"/>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timesofmalta.com/articles/view/the-pros-and-cons-of-legal-aid.292279" Id="docRId13" Type="http://schemas.openxmlformats.org/officeDocument/2006/relationships/hyperlink" /><Relationship TargetMode="External" Target="https://childlawadvice.org.uk/information-pages/care-proceedings/" Id="docRId3" Type="http://schemas.openxmlformats.org/officeDocument/2006/relationships/hyperlink" /><Relationship TargetMode="External" Target="https://www.proquest.com/scholarly-journals/consumer-financial-anxiety/docview/1633956587/se-2?accountid=30552" Id="docRId7" Type="http://schemas.openxmlformats.org/officeDocument/2006/relationships/hyperlink" /><Relationship TargetMode="External" Target="https://www.proquest.com/scholarly-journals/research-law-regulatory-affairs-update-codes/docview/216588243/se-2?accountid=30552" Id="docRId10" Type="http://schemas.openxmlformats.org/officeDocument/2006/relationships/hyperlink" /><Relationship Target="numbering.xml" Id="docRId14" Type="http://schemas.openxmlformats.org/officeDocument/2006/relationships/numbering" /><Relationship TargetMode="External" Target="https://casetext.com/rule/texas-court-rules/texas-disciplinary-rules-of-professional-conduct/advocate/rule-301-meritorious-claims-and-contentions" Id="docRId2" Type="http://schemas.openxmlformats.org/officeDocument/2006/relationships/hyperlink" /><Relationship TargetMode="External" Target="https://www.legalfutures.co.uk/latest-news/sra-spells-out-how-to-lack-integrity-without-being-dishonest" Id="docRId6" Type="http://schemas.openxmlformats.org/officeDocument/2006/relationships/hyperlink" /><Relationship Target="media/image0.wmf" Id="docRId1" Type="http://schemas.openxmlformats.org/officeDocument/2006/relationships/image" /><Relationship TargetMode="External" Target="https://www.sra.org.uk/solicitors/standards-regulations/code-conduct-solicitors/" Id="docRId11" Type="http://schemas.openxmlformats.org/officeDocument/2006/relationships/hyperlink" /><Relationship Target="styles.xml" Id="docRId15" Type="http://schemas.openxmlformats.org/officeDocument/2006/relationships/styles" /><Relationship TargetMode="External" Target="https://www.legislation.gov.uk/ukpga/2000/8/contents" Id="docRId5" Type="http://schemas.openxmlformats.org/officeDocument/2006/relationships/hyperlink" /><Relationship TargetMode="External" Target="https://www.nibusinessinfo.co.uk/content/advantages-and-disadvantages-raising-finance-through-private-placements" Id="docRId9" Type="http://schemas.openxmlformats.org/officeDocument/2006/relationships/hyperlink" /><Relationship Target="embeddings/oleObject0.bin" Id="docRId0" Type="http://schemas.openxmlformats.org/officeDocument/2006/relationships/oleObject" /><Relationship TargetMode="External" Target="https://www.summitlawllp.co.uk/conditional-fee-agreenment-cfa/" Id="docRId12" Type="http://schemas.openxmlformats.org/officeDocument/2006/relationships/hyperlink" /><Relationship TargetMode="External" Target="https://www.ctp.co.uk/product/mlro-handbook/?gclid=CjwKCAjw8symBhAqEiwAaTA__HATvrCZ3vKOFZ4xZ7n0zvsdMYGtfDHSUYWwYxdKMUw7fbNhdiM7kxoC2nEQAvD_BwE" Id="docRId4" Type="http://schemas.openxmlformats.org/officeDocument/2006/relationships/hyperlink" /><Relationship TargetMode="External" Target="https://www.legalservicesboard.org.uk/Projects/statutory_decision_making/pdf/2018/Annex_A_the_new_rules.pdf" Id="docRId8" Type="http://schemas.openxmlformats.org/officeDocument/2006/relationships/hyperlink" /></Relationships>
</file>