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2319BAB1" w:rsidR="00833470" w:rsidRPr="00074402" w:rsidRDefault="00833470" w:rsidP="00D901E4">
      <w:pPr>
        <w:pStyle w:val="Heading1"/>
      </w:pPr>
      <w:r w:rsidRPr="00074402">
        <w:rPr>
          <w:noProof/>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60859B9" w:rsidR="00833470" w:rsidRPr="00F37E4F"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37E4F" w:rsidRPr="00F37E4F">
        <w:rPr>
          <w:rFonts w:ascii="Arial" w:hAnsi="Arial" w:cs="Arial"/>
          <w:sz w:val="28"/>
          <w:szCs w:val="28"/>
        </w:rPr>
        <w:t>Kateryna Churaieva</w:t>
      </w:r>
    </w:p>
    <w:p w14:paraId="476C763A" w14:textId="4E26965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F37E4F">
        <w:rPr>
          <w:rFonts w:ascii="Arial" w:hAnsi="Arial" w:cs="Arial"/>
          <w:sz w:val="28"/>
          <w:szCs w:val="28"/>
          <w:lang w:val="nl-NL"/>
        </w:rPr>
        <w:t xml:space="preserve"> 2532697</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C5260F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F37E4F" w:rsidRPr="00F37E4F">
        <w:rPr>
          <w:rFonts w:ascii="Arial" w:hAnsi="Arial" w:cs="Arial"/>
          <w:sz w:val="28"/>
          <w:szCs w:val="28"/>
          <w:lang w:val="nl-NL"/>
        </w:rPr>
        <w:t>Introduction to Health and Social Care</w:t>
      </w:r>
    </w:p>
    <w:p w14:paraId="0009AFB0" w14:textId="11F7C6C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F37E4F">
        <w:rPr>
          <w:rFonts w:ascii="Arial" w:hAnsi="Arial" w:cs="Arial"/>
          <w:sz w:val="28"/>
          <w:szCs w:val="28"/>
        </w:rPr>
        <w:t xml:space="preserve"> </w:t>
      </w:r>
      <w:r w:rsidR="00F37E4F" w:rsidRPr="00F37E4F">
        <w:rPr>
          <w:rFonts w:ascii="Arial" w:hAnsi="Arial" w:cs="Arial"/>
          <w:sz w:val="28"/>
          <w:szCs w:val="28"/>
        </w:rPr>
        <w:t>LCHS4003</w:t>
      </w:r>
    </w:p>
    <w:p w14:paraId="410C101D" w14:textId="58D176AE"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rsidR="00A80A5F" w:rsidRPr="00921C73">
        <w:rPr>
          <w:rFonts w:ascii="Arial" w:hAnsi="Arial" w:cs="Arial"/>
          <w:sz w:val="28"/>
          <w:szCs w:val="28"/>
        </w:rPr>
        <w:t>Christiana Melam</w:t>
      </w:r>
    </w:p>
    <w:p w14:paraId="3BF185BD" w14:textId="329E1901" w:rsidR="00833470" w:rsidRPr="00D94950" w:rsidRDefault="00833470" w:rsidP="00D94950">
      <w:pPr>
        <w:spacing w:line="360" w:lineRule="auto"/>
        <w:rPr>
          <w:rFonts w:ascii="Arial" w:hAnsi="Arial" w:cs="Arial"/>
          <w:b/>
          <w:bCs/>
          <w:sz w:val="28"/>
          <w:szCs w:val="28"/>
        </w:rPr>
      </w:pPr>
      <w:r w:rsidRPr="00D94950">
        <w:rPr>
          <w:rFonts w:ascii="Arial" w:hAnsi="Arial" w:cs="Arial"/>
          <w:b/>
          <w:bCs/>
          <w:sz w:val="28"/>
          <w:szCs w:val="28"/>
        </w:rPr>
        <w:lastRenderedPageBreak/>
        <w:t xml:space="preserve">Content page </w:t>
      </w:r>
    </w:p>
    <w:p w14:paraId="3BA4751C" w14:textId="77777777" w:rsidR="00833470" w:rsidRPr="00D94950" w:rsidRDefault="00833470" w:rsidP="00D94950">
      <w:pPr>
        <w:spacing w:line="360" w:lineRule="auto"/>
        <w:rPr>
          <w:rFonts w:ascii="Arial" w:hAnsi="Arial" w:cs="Arial"/>
          <w:b/>
          <w:bCs/>
          <w:sz w:val="28"/>
          <w:szCs w:val="28"/>
        </w:rPr>
      </w:pPr>
    </w:p>
    <w:p w14:paraId="39E4A2CF" w14:textId="4EA9E9AB" w:rsidR="00E12134" w:rsidRPr="00D94950" w:rsidRDefault="00833470" w:rsidP="00670465">
      <w:pPr>
        <w:pStyle w:val="Heading2"/>
        <w:spacing w:before="0" w:line="240" w:lineRule="auto"/>
        <w:rPr>
          <w:rFonts w:ascii="Arial" w:hAnsi="Arial" w:cs="Arial"/>
          <w:b/>
          <w:bCs/>
          <w:sz w:val="28"/>
          <w:szCs w:val="28"/>
        </w:rPr>
      </w:pPr>
      <w:r w:rsidRPr="00D94950">
        <w:rPr>
          <w:rStyle w:val="Heading1Char"/>
          <w:rFonts w:ascii="Arial" w:hAnsi="Arial" w:cs="Arial"/>
          <w:b/>
          <w:bCs/>
          <w:sz w:val="28"/>
          <w:szCs w:val="28"/>
        </w:rPr>
        <w:t>Element 1</w:t>
      </w:r>
      <w:r w:rsidRPr="00D94950">
        <w:rPr>
          <w:rFonts w:ascii="Arial" w:hAnsi="Arial" w:cs="Arial"/>
          <w:b/>
          <w:bCs/>
          <w:sz w:val="28"/>
          <w:szCs w:val="28"/>
        </w:rPr>
        <w:t xml:space="preserve"> …………………………………………………………</w:t>
      </w:r>
      <w:r w:rsidR="00670465" w:rsidRPr="00670465">
        <w:t xml:space="preserve"> </w:t>
      </w:r>
      <w:r w:rsidR="00670465" w:rsidRPr="00670465">
        <w:rPr>
          <w:rFonts w:ascii="Arial" w:hAnsi="Arial" w:cs="Arial"/>
          <w:b/>
          <w:bCs/>
          <w:sz w:val="28"/>
          <w:szCs w:val="28"/>
        </w:rPr>
        <w:t>page</w:t>
      </w:r>
      <w:r w:rsidRPr="00D94950">
        <w:rPr>
          <w:rFonts w:ascii="Arial" w:hAnsi="Arial" w:cs="Arial"/>
          <w:b/>
          <w:bCs/>
          <w:sz w:val="28"/>
          <w:szCs w:val="28"/>
        </w:rPr>
        <w:t xml:space="preserve"> </w:t>
      </w:r>
      <w:r w:rsidR="00835F5B">
        <w:rPr>
          <w:rFonts w:ascii="Arial" w:hAnsi="Arial" w:cs="Arial"/>
          <w:b/>
          <w:bCs/>
          <w:sz w:val="28"/>
          <w:szCs w:val="28"/>
        </w:rPr>
        <w:t>3</w:t>
      </w:r>
    </w:p>
    <w:p w14:paraId="782450B9" w14:textId="52FFAF8C" w:rsidR="00670465" w:rsidRDefault="00E12134" w:rsidP="00670465">
      <w:pPr>
        <w:spacing w:line="240" w:lineRule="auto"/>
        <w:rPr>
          <w:rFonts w:ascii="Arial" w:hAnsi="Arial" w:cs="Arial"/>
          <w:b/>
          <w:bCs/>
          <w:sz w:val="28"/>
          <w:szCs w:val="28"/>
        </w:rPr>
      </w:pPr>
      <w:r w:rsidRPr="00D94950">
        <w:rPr>
          <w:rFonts w:ascii="Arial" w:hAnsi="Arial" w:cs="Arial"/>
          <w:b/>
          <w:bCs/>
          <w:sz w:val="28"/>
          <w:szCs w:val="28"/>
        </w:rPr>
        <w:t>Element 2</w:t>
      </w:r>
      <w:r w:rsidR="000E5548" w:rsidRPr="00D94950">
        <w:rPr>
          <w:rFonts w:ascii="Arial" w:hAnsi="Arial" w:cs="Arial"/>
          <w:b/>
          <w:bCs/>
          <w:sz w:val="28"/>
          <w:szCs w:val="28"/>
        </w:rPr>
        <w:t xml:space="preserve"> </w:t>
      </w:r>
      <w:r w:rsidR="00404B89">
        <w:rPr>
          <w:rFonts w:ascii="Arial" w:hAnsi="Arial" w:cs="Arial"/>
          <w:b/>
          <w:bCs/>
          <w:sz w:val="28"/>
          <w:szCs w:val="28"/>
        </w:rPr>
        <w:t>…………………………………………………………</w:t>
      </w:r>
      <w:r w:rsidR="00670465">
        <w:rPr>
          <w:rFonts w:ascii="Arial" w:hAnsi="Arial" w:cs="Arial"/>
          <w:b/>
          <w:bCs/>
          <w:sz w:val="28"/>
          <w:szCs w:val="28"/>
        </w:rPr>
        <w:t>.</w:t>
      </w:r>
      <w:r w:rsidR="00670465" w:rsidRPr="00670465">
        <w:rPr>
          <w:rFonts w:ascii="Arial" w:hAnsi="Arial" w:cs="Arial"/>
          <w:b/>
          <w:bCs/>
          <w:sz w:val="28"/>
          <w:szCs w:val="28"/>
        </w:rPr>
        <w:t xml:space="preserve">page </w:t>
      </w:r>
      <w:r w:rsidR="00404B89">
        <w:rPr>
          <w:rFonts w:ascii="Arial" w:hAnsi="Arial" w:cs="Arial"/>
          <w:b/>
          <w:bCs/>
          <w:sz w:val="28"/>
          <w:szCs w:val="28"/>
        </w:rPr>
        <w:t>5</w:t>
      </w:r>
    </w:p>
    <w:p w14:paraId="2F2D77A8" w14:textId="1B5A2AD4" w:rsidR="00EB58FD" w:rsidRPr="00D94950" w:rsidRDefault="00EB58FD" w:rsidP="00670465">
      <w:pPr>
        <w:spacing w:line="240" w:lineRule="auto"/>
        <w:rPr>
          <w:rFonts w:ascii="Arial" w:hAnsi="Arial" w:cs="Arial"/>
          <w:b/>
          <w:bCs/>
          <w:sz w:val="28"/>
          <w:szCs w:val="28"/>
        </w:rPr>
        <w:sectPr w:rsidR="00EB58FD" w:rsidRPr="00D94950" w:rsidSect="00925D5E">
          <w:pgSz w:w="11906" w:h="16838"/>
          <w:pgMar w:top="1440" w:right="1440" w:bottom="1440" w:left="1440" w:header="708" w:footer="708" w:gutter="0"/>
          <w:cols w:space="708"/>
          <w:docGrid w:linePitch="360"/>
        </w:sectPr>
      </w:pPr>
      <w:r w:rsidRPr="00D94950">
        <w:rPr>
          <w:rFonts w:ascii="Arial" w:hAnsi="Arial" w:cs="Arial"/>
          <w:b/>
          <w:bCs/>
          <w:sz w:val="28"/>
          <w:szCs w:val="28"/>
        </w:rPr>
        <w:t>References</w:t>
      </w:r>
      <w:r w:rsidR="00404B89">
        <w:rPr>
          <w:rFonts w:ascii="Arial" w:hAnsi="Arial" w:cs="Arial"/>
          <w:b/>
          <w:bCs/>
          <w:sz w:val="28"/>
          <w:szCs w:val="28"/>
        </w:rPr>
        <w:t>……………………………</w:t>
      </w:r>
      <w:r w:rsidR="00670465">
        <w:rPr>
          <w:rFonts w:ascii="Arial" w:hAnsi="Arial" w:cs="Arial"/>
          <w:b/>
          <w:bCs/>
          <w:sz w:val="28"/>
          <w:szCs w:val="28"/>
        </w:rPr>
        <w:t>……………………………</w:t>
      </w:r>
      <w:r w:rsidR="00670465" w:rsidRPr="00670465">
        <w:t xml:space="preserve"> </w:t>
      </w:r>
      <w:r w:rsidR="00670465" w:rsidRPr="00670465">
        <w:rPr>
          <w:rFonts w:ascii="Arial" w:hAnsi="Arial" w:cs="Arial"/>
          <w:b/>
          <w:bCs/>
          <w:sz w:val="28"/>
          <w:szCs w:val="28"/>
        </w:rPr>
        <w:t>page</w:t>
      </w:r>
      <w:r w:rsidR="00D878B7">
        <w:rPr>
          <w:rFonts w:ascii="Arial" w:hAnsi="Arial" w:cs="Arial"/>
          <w:b/>
          <w:bCs/>
          <w:sz w:val="28"/>
          <w:szCs w:val="28"/>
        </w:rPr>
        <w:t xml:space="preserve"> 7</w:t>
      </w:r>
    </w:p>
    <w:p w14:paraId="5AFFC33B" w14:textId="36D70BAB" w:rsidR="003A000F" w:rsidRDefault="00240CDA">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5408" behindDoc="0" locked="0" layoutInCell="1" allowOverlap="1" wp14:anchorId="21A64788" wp14:editId="65465B3A">
                <wp:simplePos x="0" y="0"/>
                <wp:positionH relativeFrom="margin">
                  <wp:posOffset>2518410</wp:posOffset>
                </wp:positionH>
                <wp:positionV relativeFrom="paragraph">
                  <wp:posOffset>1213485</wp:posOffset>
                </wp:positionV>
                <wp:extent cx="3036570" cy="4491990"/>
                <wp:effectExtent l="19050" t="19050" r="11430" b="2286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6570" cy="4491990"/>
                        </a:xfrm>
                        <a:prstGeom prst="rect">
                          <a:avLst/>
                        </a:prstGeom>
                        <a:solidFill>
                          <a:schemeClr val="accent2">
                            <a:lumMod val="20000"/>
                            <a:lumOff val="80000"/>
                          </a:schemeClr>
                        </a:solidFill>
                        <a:ln w="44450">
                          <a:solidFill>
                            <a:schemeClr val="accent2"/>
                          </a:solidFill>
                          <a:miter lim="800000"/>
                          <a:headEnd/>
                          <a:tailEnd/>
                        </a:ln>
                        <a:effectLst>
                          <a:softEdge rad="25400"/>
                        </a:effectLst>
                      </wps:spPr>
                      <wps:txbx>
                        <w:txbxContent>
                          <w:p w14:paraId="16EA0274" w14:textId="5DF5AF24" w:rsidR="00BE6BE0" w:rsidRPr="00196023" w:rsidRDefault="008E21E2" w:rsidP="00196023">
                            <w:pPr>
                              <w:rPr>
                                <w:b/>
                                <w:bCs/>
                                <w:color w:val="385623" w:themeColor="accent6" w:themeShade="80"/>
                                <w:lang w:val="ru-UA"/>
                              </w:rPr>
                            </w:pPr>
                            <w:r w:rsidRPr="008E21E2">
                              <w:rPr>
                                <w:b/>
                                <w:bCs/>
                                <w:color w:val="385623" w:themeColor="accent6" w:themeShade="80"/>
                              </w:rPr>
                              <w:t xml:space="preserve">2. </w:t>
                            </w:r>
                            <w:r w:rsidR="00B404BF">
                              <w:rPr>
                                <w:b/>
                                <w:bCs/>
                                <w:color w:val="385623" w:themeColor="accent6" w:themeShade="80"/>
                              </w:rPr>
                              <w:t>Brief his</w:t>
                            </w:r>
                            <w:r w:rsidR="003405EA">
                              <w:rPr>
                                <w:b/>
                                <w:bCs/>
                                <w:color w:val="385623" w:themeColor="accent6" w:themeShade="80"/>
                              </w:rPr>
                              <w:t>tory of</w:t>
                            </w:r>
                            <w:r w:rsidR="00B33C52">
                              <w:rPr>
                                <w:b/>
                                <w:bCs/>
                                <w:color w:val="385623" w:themeColor="accent6" w:themeShade="80"/>
                              </w:rPr>
                              <w:t xml:space="preserve"> NHS</w:t>
                            </w:r>
                            <w:r w:rsidR="003405EA">
                              <w:rPr>
                                <w:b/>
                                <w:bCs/>
                                <w:color w:val="385623" w:themeColor="accent6" w:themeShade="80"/>
                              </w:rPr>
                              <w:t xml:space="preserve"> den</w:t>
                            </w:r>
                            <w:r w:rsidR="00007F0A">
                              <w:rPr>
                                <w:b/>
                                <w:bCs/>
                                <w:color w:val="385623" w:themeColor="accent6" w:themeShade="80"/>
                              </w:rPr>
                              <w:t xml:space="preserve">tistry </w:t>
                            </w:r>
                            <w:r w:rsidR="00135FD3" w:rsidRPr="00135FD3">
                              <w:rPr>
                                <w:b/>
                                <w:bCs/>
                                <w:color w:val="385623" w:themeColor="accent6" w:themeShade="80"/>
                              </w:rPr>
                              <w:t xml:space="preserve"> </w:t>
                            </w:r>
                          </w:p>
                          <w:p w14:paraId="07A6B84C" w14:textId="77777777" w:rsidR="006C4B54" w:rsidRDefault="00555587" w:rsidP="00846566">
                            <w:pPr>
                              <w:spacing w:line="276" w:lineRule="auto"/>
                              <w:rPr>
                                <w:rFonts w:ascii="Arial" w:hAnsi="Arial" w:cs="Arial"/>
                              </w:rPr>
                            </w:pPr>
                            <w:r w:rsidRPr="00555587">
                              <w:rPr>
                                <w:rFonts w:ascii="Arial" w:hAnsi="Arial" w:cs="Arial"/>
                              </w:rPr>
                              <w:t>The historical development of NHS dental services shows ongoing tension between public demand, funding systems, and clinical goals.</w:t>
                            </w:r>
                          </w:p>
                          <w:p w14:paraId="2B24BFFA" w14:textId="1C4B1664" w:rsidR="00555587" w:rsidRDefault="00555587" w:rsidP="00846566">
                            <w:pPr>
                              <w:spacing w:line="276" w:lineRule="auto"/>
                              <w:rPr>
                                <w:rFonts w:ascii="Arial" w:hAnsi="Arial" w:cs="Arial"/>
                              </w:rPr>
                            </w:pPr>
                            <w:r w:rsidRPr="00555587">
                              <w:rPr>
                                <w:rFonts w:ascii="Arial" w:hAnsi="Arial" w:cs="Arial"/>
                              </w:rPr>
                              <w:t>In 1948, the service launched as free and universal, and more than 6.8 million treatments were delivered in the first nine months, quickly exceeding the national budget.</w:t>
                            </w:r>
                          </w:p>
                          <w:p w14:paraId="115291D3" w14:textId="77777777" w:rsidR="006C4B54" w:rsidRDefault="00555587" w:rsidP="00846566">
                            <w:pPr>
                              <w:spacing w:line="276" w:lineRule="auto"/>
                              <w:rPr>
                                <w:rFonts w:ascii="Arial" w:hAnsi="Arial" w:cs="Arial"/>
                              </w:rPr>
                            </w:pPr>
                            <w:r w:rsidRPr="00555587">
                              <w:rPr>
                                <w:rFonts w:ascii="Arial" w:hAnsi="Arial" w:cs="Arial"/>
                              </w:rPr>
                              <w:t>In 1951–1952, the government introduced patient charges to control rising costs, shifting the system from fully free care to a subsidised co</w:t>
                            </w:r>
                            <w:r w:rsidRPr="00555587">
                              <w:rPr>
                                <w:rFonts w:ascii="Cambria Math" w:hAnsi="Cambria Math" w:cs="Cambria Math"/>
                              </w:rPr>
                              <w:t>‑</w:t>
                            </w:r>
                            <w:r w:rsidRPr="00555587">
                              <w:rPr>
                                <w:rFonts w:ascii="Arial" w:hAnsi="Arial" w:cs="Arial"/>
                              </w:rPr>
                              <w:t>payment model (King’s Fund, 2023).</w:t>
                            </w:r>
                          </w:p>
                          <w:p w14:paraId="2A6CE679" w14:textId="01CF85F4" w:rsidR="00BE6BE0" w:rsidRPr="0022331B" w:rsidRDefault="00555587" w:rsidP="00846566">
                            <w:pPr>
                              <w:spacing w:line="276" w:lineRule="auto"/>
                              <w:rPr>
                                <w:rFonts w:ascii="Arial" w:hAnsi="Arial" w:cs="Arial"/>
                              </w:rPr>
                            </w:pPr>
                            <w:r w:rsidRPr="00555587">
                              <w:rPr>
                                <w:rFonts w:ascii="Arial" w:hAnsi="Arial" w:cs="Arial"/>
                              </w:rPr>
                              <w:t>In 2006, the General Dental Services contract introduced Units of Dental Activity (UDAs), separating payment from the time required for complex treatments and creating administrative difficulties that persist today (Milsom et al., 2008).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198.3pt;margin-top:95.55pt;width:239.1pt;height:353.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" fillcolor="#fbe4d5 [661]" strokecolor="#ed7d31 [3205]" strokeweight="3.5pt">
                <v:textbox>
                  <w:txbxContent>
                    <w:p w14:paraId="16EA0274" w14:textId="5DF5AF24" w:rsidR="00BE6BE0" w:rsidRPr="00196023" w:rsidRDefault="008E21E2" w:rsidP="00196023">
                      <w:pPr>
                        <w:rPr>
                          <w:b/>
                          <w:bCs/>
                          <w:color w:val="385623" w:themeColor="accent6" w:themeShade="80"/>
                          <w:lang w:val="ru-UA"/>
                        </w:rPr>
                      </w:pPr>
                      <w:r w:rsidRPr="008E21E2">
                        <w:rPr>
                          <w:b/>
                          <w:bCs/>
                          <w:color w:val="385623" w:themeColor="accent6" w:themeShade="80"/>
                        </w:rPr>
                        <w:t xml:space="preserve">2. </w:t>
                      </w:r>
                      <w:r w:rsidR="00B404BF">
                        <w:rPr>
                          <w:b/>
                          <w:bCs/>
                          <w:color w:val="385623" w:themeColor="accent6" w:themeShade="80"/>
                        </w:rPr>
                        <w:t>Brief his</w:t>
                      </w:r>
                      <w:r w:rsidR="003405EA">
                        <w:rPr>
                          <w:b/>
                          <w:bCs/>
                          <w:color w:val="385623" w:themeColor="accent6" w:themeShade="80"/>
                        </w:rPr>
                        <w:t>tory of</w:t>
                      </w:r>
                      <w:r w:rsidR="00B33C52">
                        <w:rPr>
                          <w:b/>
                          <w:bCs/>
                          <w:color w:val="385623" w:themeColor="accent6" w:themeShade="80"/>
                        </w:rPr>
                        <w:t xml:space="preserve"> NHS</w:t>
                      </w:r>
                      <w:r w:rsidR="003405EA">
                        <w:rPr>
                          <w:b/>
                          <w:bCs/>
                          <w:color w:val="385623" w:themeColor="accent6" w:themeShade="80"/>
                        </w:rPr>
                        <w:t xml:space="preserve"> den</w:t>
                      </w:r>
                      <w:r w:rsidR="00007F0A">
                        <w:rPr>
                          <w:b/>
                          <w:bCs/>
                          <w:color w:val="385623" w:themeColor="accent6" w:themeShade="80"/>
                        </w:rPr>
                        <w:t xml:space="preserve">tistry </w:t>
                      </w:r>
                      <w:r w:rsidR="00135FD3" w:rsidRPr="00135FD3">
                        <w:rPr>
                          <w:b/>
                          <w:bCs/>
                          <w:color w:val="385623" w:themeColor="accent6" w:themeShade="80"/>
                        </w:rPr>
                        <w:t xml:space="preserve"> </w:t>
                      </w:r>
                    </w:p>
                    <w:p w14:paraId="07A6B84C" w14:textId="77777777" w:rsidR="006C4B54" w:rsidRDefault="00555587" w:rsidP="00846566">
                      <w:pPr>
                        <w:spacing w:line="276" w:lineRule="auto"/>
                        <w:rPr>
                          <w:rFonts w:ascii="Arial" w:hAnsi="Arial" w:cs="Arial"/>
                        </w:rPr>
                      </w:pPr>
                      <w:r w:rsidRPr="00555587">
                        <w:rPr>
                          <w:rFonts w:ascii="Arial" w:hAnsi="Arial" w:cs="Arial"/>
                        </w:rPr>
                        <w:t>The historical development of NHS dental services shows ongoing tension between public demand, funding systems, and clinical goals.</w:t>
                      </w:r>
                    </w:p>
                    <w:p w14:paraId="2B24BFFA" w14:textId="1C4B1664" w:rsidR="00555587" w:rsidRDefault="00555587" w:rsidP="00846566">
                      <w:pPr>
                        <w:spacing w:line="276" w:lineRule="auto"/>
                        <w:rPr>
                          <w:rFonts w:ascii="Arial" w:hAnsi="Arial" w:cs="Arial"/>
                        </w:rPr>
                      </w:pPr>
                      <w:r w:rsidRPr="00555587">
                        <w:rPr>
                          <w:rFonts w:ascii="Arial" w:hAnsi="Arial" w:cs="Arial"/>
                        </w:rPr>
                        <w:t>In 1948, the service launched as free and universal, and more than 6.8 million treatments were delivered in the first nine months, quickly exceeding the national budget.</w:t>
                      </w:r>
                    </w:p>
                    <w:p w14:paraId="115291D3" w14:textId="77777777" w:rsidR="006C4B54" w:rsidRDefault="00555587" w:rsidP="00846566">
                      <w:pPr>
                        <w:spacing w:line="276" w:lineRule="auto"/>
                        <w:rPr>
                          <w:rFonts w:ascii="Arial" w:hAnsi="Arial" w:cs="Arial"/>
                        </w:rPr>
                      </w:pPr>
                      <w:r w:rsidRPr="00555587">
                        <w:rPr>
                          <w:rFonts w:ascii="Arial" w:hAnsi="Arial" w:cs="Arial"/>
                        </w:rPr>
                        <w:t>In 1951–1952, the government introduced patient charges to control rising costs, shifting the system from fully free care to a subsidised co</w:t>
                      </w:r>
                      <w:r w:rsidRPr="00555587">
                        <w:rPr>
                          <w:rFonts w:ascii="Cambria Math" w:hAnsi="Cambria Math" w:cs="Cambria Math"/>
                        </w:rPr>
                        <w:t>‑</w:t>
                      </w:r>
                      <w:r w:rsidRPr="00555587">
                        <w:rPr>
                          <w:rFonts w:ascii="Arial" w:hAnsi="Arial" w:cs="Arial"/>
                        </w:rPr>
                        <w:t>payment model (King’s Fund, 2023).</w:t>
                      </w:r>
                    </w:p>
                    <w:p w14:paraId="2A6CE679" w14:textId="01CF85F4" w:rsidR="00BE6BE0" w:rsidRPr="0022331B" w:rsidRDefault="00555587" w:rsidP="00846566">
                      <w:pPr>
                        <w:spacing w:line="276" w:lineRule="auto"/>
                        <w:rPr>
                          <w:rFonts w:ascii="Arial" w:hAnsi="Arial" w:cs="Arial"/>
                        </w:rPr>
                      </w:pPr>
                      <w:r w:rsidRPr="00555587">
                        <w:rPr>
                          <w:rFonts w:ascii="Arial" w:hAnsi="Arial" w:cs="Arial"/>
                        </w:rPr>
                        <w:t>In 2006, the General Dental Services contract introduced Units of Dental Activity (UDAs), separating payment from the time required for complex treatments and creating administrative difficulties that persist today (Milsom et al., 2008).</w:t>
                      </w:r>
                    </w:p>
                  </w:txbxContent>
                </v:textbox>
                <w10:wrap type="square" anchorx="margin"/>
              </v:shape>
            </w:pict>
          </mc:Fallback>
        </mc:AlternateContent>
      </w:r>
      <w:r w:rsidR="007C00E6">
        <w:rPr>
          <w:noProof/>
        </w:rPr>
        <mc:AlternateContent>
          <mc:Choice Requires="wps">
            <w:drawing>
              <wp:anchor distT="45720" distB="45720" distL="114300" distR="114300" simplePos="0" relativeHeight="251663360" behindDoc="0" locked="0" layoutInCell="1" allowOverlap="1" wp14:anchorId="04CAE92E" wp14:editId="7C50CC4A">
                <wp:simplePos x="0" y="0"/>
                <wp:positionH relativeFrom="margin">
                  <wp:posOffset>49530</wp:posOffset>
                </wp:positionH>
                <wp:positionV relativeFrom="paragraph">
                  <wp:posOffset>1213485</wp:posOffset>
                </wp:positionV>
                <wp:extent cx="2152650" cy="4476750"/>
                <wp:effectExtent l="19050" t="19050" r="3810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4476750"/>
                        </a:xfrm>
                        <a:prstGeom prst="rect">
                          <a:avLst/>
                        </a:prstGeom>
                        <a:solidFill>
                          <a:schemeClr val="accent2">
                            <a:lumMod val="20000"/>
                            <a:lumOff val="80000"/>
                          </a:schemeClr>
                        </a:solidFill>
                        <a:ln w="47625">
                          <a:solidFill>
                            <a:schemeClr val="accent2"/>
                          </a:solidFill>
                          <a:miter lim="800000"/>
                          <a:headEnd/>
                          <a:tailEnd/>
                        </a:ln>
                        <a:effectLst>
                          <a:softEdge rad="25400"/>
                        </a:effectLst>
                      </wps:spPr>
                      <wps:txbx>
                        <w:txbxContent>
                          <w:p w14:paraId="35096631" w14:textId="4F5BC4E8" w:rsidR="00BE6BE0" w:rsidRPr="0044020D" w:rsidRDefault="008E21E2" w:rsidP="00BE6BE0">
                            <w:pPr>
                              <w:rPr>
                                <w:b/>
                                <w:bCs/>
                                <w:color w:val="385623" w:themeColor="accent6" w:themeShade="80"/>
                              </w:rPr>
                            </w:pPr>
                            <w:r w:rsidRPr="008E21E2">
                              <w:rPr>
                                <w:b/>
                                <w:bCs/>
                                <w:color w:val="385623" w:themeColor="accent6" w:themeShade="80"/>
                              </w:rPr>
                              <w:t xml:space="preserve">1. </w:t>
                            </w:r>
                            <w:r w:rsidR="005F3949">
                              <w:rPr>
                                <w:b/>
                                <w:bCs/>
                                <w:color w:val="385623" w:themeColor="accent6" w:themeShade="80"/>
                              </w:rPr>
                              <w:t>Explanation</w:t>
                            </w:r>
                            <w:r w:rsidR="00DF78DF">
                              <w:rPr>
                                <w:b/>
                                <w:bCs/>
                                <w:color w:val="385623" w:themeColor="accent6" w:themeShade="80"/>
                              </w:rPr>
                              <w:t xml:space="preserve"> </w:t>
                            </w:r>
                          </w:p>
                          <w:p w14:paraId="5B8F696C" w14:textId="6F776E5D" w:rsidR="004B4A56" w:rsidRPr="003B2442" w:rsidRDefault="00386E82" w:rsidP="00014131">
                            <w:pPr>
                              <w:spacing w:line="276" w:lineRule="auto"/>
                              <w:rPr>
                                <w:rFonts w:ascii="Arial" w:hAnsi="Arial" w:cs="Arial"/>
                              </w:rPr>
                            </w:pPr>
                            <w:r>
                              <w:rPr>
                                <w:rFonts w:ascii="Arial" w:hAnsi="Arial" w:cs="Arial"/>
                              </w:rPr>
                              <w:t xml:space="preserve"> </w:t>
                            </w:r>
                            <w:r w:rsidR="00C153FC" w:rsidRPr="00C153FC">
                              <w:rPr>
                                <w:rFonts w:ascii="Arial" w:hAnsi="Arial" w:cs="Arial"/>
                              </w:rPr>
                              <w:t>The National Health Service (NHS) dentistry system is a key part of primary healthcare in the United Kingdom. It aims to support good oral health, prevent dental diseases, and provide essential treatment. With a central ethical focus on reducing health inequalities, the service works to ensure that high</w:t>
                            </w:r>
                            <w:r w:rsidR="00C153FC" w:rsidRPr="00C153FC">
                              <w:rPr>
                                <w:rFonts w:ascii="Cambria Math" w:hAnsi="Cambria Math" w:cs="Cambria Math"/>
                              </w:rPr>
                              <w:t>‑</w:t>
                            </w:r>
                            <w:r w:rsidR="00C153FC" w:rsidRPr="00C153FC">
                              <w:rPr>
                                <w:rFonts w:ascii="Arial" w:hAnsi="Arial" w:cs="Arial"/>
                              </w:rPr>
                              <w:t>quality and accessible dental care remains affordable for the public. According to the House of Commons Library (2024), millions of dental treatment courses are delivered in England each year, demonstrating the system’s large operational scale despite ongoing structural challenges.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3.9pt;margin-top:95.55pt;width:169.5pt;height:35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" fillcolor="#fbe4d5 [661]" strokecolor="#ed7d31 [3205]" strokeweight="3.75pt">
                <v:textbox>
                  <w:txbxContent>
                    <w:p w14:paraId="35096631" w14:textId="4F5BC4E8" w:rsidR="00BE6BE0" w:rsidRPr="0044020D" w:rsidRDefault="008E21E2" w:rsidP="00BE6BE0">
                      <w:pPr>
                        <w:rPr>
                          <w:b/>
                          <w:bCs/>
                          <w:color w:val="385623" w:themeColor="accent6" w:themeShade="80"/>
                        </w:rPr>
                      </w:pPr>
                      <w:r w:rsidRPr="008E21E2">
                        <w:rPr>
                          <w:b/>
                          <w:bCs/>
                          <w:color w:val="385623" w:themeColor="accent6" w:themeShade="80"/>
                        </w:rPr>
                        <w:t xml:space="preserve">1. </w:t>
                      </w:r>
                      <w:r w:rsidR="005F3949">
                        <w:rPr>
                          <w:b/>
                          <w:bCs/>
                          <w:color w:val="385623" w:themeColor="accent6" w:themeShade="80"/>
                        </w:rPr>
                        <w:t>Explanation</w:t>
                      </w:r>
                      <w:r w:rsidR="00DF78DF">
                        <w:rPr>
                          <w:b/>
                          <w:bCs/>
                          <w:color w:val="385623" w:themeColor="accent6" w:themeShade="80"/>
                        </w:rPr>
                        <w:t xml:space="preserve"> </w:t>
                      </w:r>
                    </w:p>
                    <w:p w14:paraId="5B8F696C" w14:textId="6F776E5D" w:rsidR="004B4A56" w:rsidRPr="003B2442" w:rsidRDefault="00386E82" w:rsidP="00014131">
                      <w:pPr>
                        <w:spacing w:line="276" w:lineRule="auto"/>
                        <w:rPr>
                          <w:rFonts w:ascii="Arial" w:hAnsi="Arial" w:cs="Arial"/>
                        </w:rPr>
                      </w:pPr>
                      <w:r>
                        <w:rPr>
                          <w:rFonts w:ascii="Arial" w:hAnsi="Arial" w:cs="Arial"/>
                        </w:rPr>
                        <w:t xml:space="preserve"> </w:t>
                      </w:r>
                      <w:r w:rsidR="00C153FC" w:rsidRPr="00C153FC">
                        <w:rPr>
                          <w:rFonts w:ascii="Arial" w:hAnsi="Arial" w:cs="Arial"/>
                        </w:rPr>
                        <w:t>The National Health Service (NHS) dentistry system is a key part of primary healthcare in the United Kingdom. It aims to support good oral health, prevent dental diseases, and provide essential treatment. With a central ethical focus on reducing health inequalities, the service works to ensure that high</w:t>
                      </w:r>
                      <w:r w:rsidR="00C153FC" w:rsidRPr="00C153FC">
                        <w:rPr>
                          <w:rFonts w:ascii="Cambria Math" w:hAnsi="Cambria Math" w:cs="Cambria Math"/>
                        </w:rPr>
                        <w:t>‑</w:t>
                      </w:r>
                      <w:r w:rsidR="00C153FC" w:rsidRPr="00C153FC">
                        <w:rPr>
                          <w:rFonts w:ascii="Arial" w:hAnsi="Arial" w:cs="Arial"/>
                        </w:rPr>
                        <w:t>quality and accessible dental care remains affordable for the public. According to the House of Commons Library (2024), millions of dental treatment courses are delivered in England each year, demonstrating the system’s large operational scale despite ongoing structural challenges.</w:t>
                      </w:r>
                    </w:p>
                  </w:txbxContent>
                </v:textbox>
                <w10:wrap type="square" anchorx="margin"/>
              </v:shape>
            </w:pict>
          </mc:Fallback>
        </mc:AlternateContent>
      </w:r>
      <w:r w:rsidR="007C00E6">
        <w:rPr>
          <w:noProof/>
        </w:rPr>
        <mc:AlternateContent>
          <mc:Choice Requires="wps">
            <w:drawing>
              <wp:anchor distT="45720" distB="45720" distL="114300" distR="114300" simplePos="0" relativeHeight="251669504" behindDoc="0" locked="0" layoutInCell="1" allowOverlap="1" wp14:anchorId="298766ED" wp14:editId="42D247AB">
                <wp:simplePos x="0" y="0"/>
                <wp:positionH relativeFrom="margin">
                  <wp:posOffset>5916930</wp:posOffset>
                </wp:positionH>
                <wp:positionV relativeFrom="paragraph">
                  <wp:posOffset>1232535</wp:posOffset>
                </wp:positionV>
                <wp:extent cx="2647950" cy="4480560"/>
                <wp:effectExtent l="19050" t="19050" r="19050"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4480560"/>
                        </a:xfrm>
                        <a:prstGeom prst="rect">
                          <a:avLst/>
                        </a:prstGeom>
                        <a:solidFill>
                          <a:schemeClr val="accent2">
                            <a:lumMod val="20000"/>
                            <a:lumOff val="80000"/>
                          </a:schemeClr>
                        </a:solidFill>
                        <a:ln w="44450">
                          <a:solidFill>
                            <a:schemeClr val="accent2"/>
                          </a:solidFill>
                          <a:miter lim="800000"/>
                          <a:headEnd/>
                          <a:tailEnd/>
                        </a:ln>
                        <a:effectLst>
                          <a:softEdge rad="25400"/>
                        </a:effectLst>
                      </wps:spPr>
                      <wps:txbx>
                        <w:txbxContent>
                          <w:p w14:paraId="019AEABF" w14:textId="2C41E205" w:rsidR="00BE6BE0" w:rsidRPr="00FD32B5" w:rsidRDefault="008105AC" w:rsidP="00BE6BE0">
                            <w:pPr>
                              <w:rPr>
                                <w:b/>
                                <w:bCs/>
                                <w:color w:val="385623" w:themeColor="accent6" w:themeShade="80"/>
                              </w:rPr>
                            </w:pPr>
                            <w:r w:rsidRPr="008105AC">
                              <w:rPr>
                                <w:b/>
                                <w:bCs/>
                                <w:color w:val="385623" w:themeColor="accent6" w:themeShade="80"/>
                              </w:rPr>
                              <w:t xml:space="preserve">3. </w:t>
                            </w:r>
                            <w:r w:rsidR="00BF4D52" w:rsidRPr="00BF4D52">
                              <w:rPr>
                                <w:b/>
                                <w:bCs/>
                                <w:color w:val="385623" w:themeColor="accent6" w:themeShade="80"/>
                              </w:rPr>
                              <w:t>Current functioning</w:t>
                            </w:r>
                            <w:r w:rsidR="00560621">
                              <w:rPr>
                                <w:b/>
                                <w:bCs/>
                                <w:color w:val="385623" w:themeColor="accent6" w:themeShade="80"/>
                              </w:rPr>
                              <w:t>:</w:t>
                            </w:r>
                            <w:r w:rsidR="00F27554">
                              <w:rPr>
                                <w:b/>
                                <w:bCs/>
                                <w:color w:val="385623" w:themeColor="accent6" w:themeShade="80"/>
                              </w:rPr>
                              <w:t xml:space="preserve"> </w:t>
                            </w:r>
                            <w:r w:rsidR="00F27554" w:rsidRPr="00F27554">
                              <w:rPr>
                                <w:b/>
                                <w:bCs/>
                                <w:color w:val="385623" w:themeColor="accent6" w:themeShade="80"/>
                              </w:rPr>
                              <w:t>the three-tier delivery model</w:t>
                            </w:r>
                          </w:p>
                          <w:p w14:paraId="77007D18" w14:textId="1F74C2D9" w:rsidR="004A0432" w:rsidRPr="00676EEB" w:rsidRDefault="00676EEB">
                            <w:pPr>
                              <w:rPr>
                                <w:rFonts w:ascii="Arial" w:hAnsi="Arial" w:cs="Arial"/>
                              </w:rPr>
                            </w:pPr>
                            <w:r w:rsidRPr="00676EEB">
                              <w:rPr>
                                <w:rFonts w:ascii="Arial" w:hAnsi="Arial" w:cs="Arial"/>
                              </w:rPr>
                              <w:t>Today, NHS dental services operate through three clearly defined tiers based on clinical complexity and patient needs. According to NHS England (2023), this structure ensures that individuals receive care appropriate to their condition. Primary Dental Care provides routine check</w:t>
                            </w:r>
                            <w:r w:rsidRPr="00676EEB">
                              <w:rPr>
                                <w:rFonts w:ascii="Cambria Math" w:hAnsi="Cambria Math" w:cs="Cambria Math"/>
                              </w:rPr>
                              <w:t>‑</w:t>
                            </w:r>
                            <w:r w:rsidRPr="00676EEB">
                              <w:rPr>
                                <w:rFonts w:ascii="Arial" w:hAnsi="Arial" w:cs="Arial"/>
                              </w:rPr>
                              <w:t>ups, prevention, fillings, extractions, and minor restorative work through general dental practices under GDS contracts. Community Dental Services (CDS) offer specialised care for children, people with disabilities, complex medical needs, or homelessness. Secondary and Tertiary Care deliver hospital</w:t>
                            </w:r>
                            <w:r w:rsidRPr="00676EEB">
                              <w:rPr>
                                <w:rFonts w:ascii="Cambria Math" w:hAnsi="Cambria Math" w:cs="Cambria Math"/>
                              </w:rPr>
                              <w:t>‑</w:t>
                            </w:r>
                            <w:r w:rsidRPr="00676EEB">
                              <w:rPr>
                                <w:rFonts w:ascii="Arial" w:hAnsi="Arial" w:cs="Arial"/>
                              </w:rPr>
                              <w:t>based treatment for complex and high</w:t>
                            </w:r>
                            <w:r w:rsidRPr="00676EEB">
                              <w:rPr>
                                <w:rFonts w:ascii="Cambria Math" w:hAnsi="Cambria Math" w:cs="Cambria Math"/>
                              </w:rPr>
                              <w:t>‑</w:t>
                            </w:r>
                            <w:r w:rsidRPr="00676EEB">
                              <w:rPr>
                                <w:rFonts w:ascii="Arial" w:hAnsi="Arial" w:cs="Arial"/>
                              </w:rPr>
                              <w:t>risk cases, including oral and maxillofacial surgery and advanced orthodontics, accessed only through formal referral.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65.9pt;margin-top:97.05pt;width:208.5pt;height:352.8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" fillcolor="#fbe4d5 [661]" strokecolor="#ed7d31 [3205]" strokeweight="3.5pt">
                <v:textbox>
                  <w:txbxContent>
                    <w:p w14:paraId="019AEABF" w14:textId="2C41E205" w:rsidR="00BE6BE0" w:rsidRPr="00FD32B5" w:rsidRDefault="008105AC" w:rsidP="00BE6BE0">
                      <w:pPr>
                        <w:rPr>
                          <w:b/>
                          <w:bCs/>
                          <w:color w:val="385623" w:themeColor="accent6" w:themeShade="80"/>
                        </w:rPr>
                      </w:pPr>
                      <w:r w:rsidRPr="008105AC">
                        <w:rPr>
                          <w:b/>
                          <w:bCs/>
                          <w:color w:val="385623" w:themeColor="accent6" w:themeShade="80"/>
                        </w:rPr>
                        <w:t xml:space="preserve">3. </w:t>
                      </w:r>
                      <w:r w:rsidR="00BF4D52" w:rsidRPr="00BF4D52">
                        <w:rPr>
                          <w:b/>
                          <w:bCs/>
                          <w:color w:val="385623" w:themeColor="accent6" w:themeShade="80"/>
                        </w:rPr>
                        <w:t>Current functioning</w:t>
                      </w:r>
                      <w:r w:rsidR="00560621">
                        <w:rPr>
                          <w:b/>
                          <w:bCs/>
                          <w:color w:val="385623" w:themeColor="accent6" w:themeShade="80"/>
                        </w:rPr>
                        <w:t>:</w:t>
                      </w:r>
                      <w:r w:rsidR="00F27554">
                        <w:rPr>
                          <w:b/>
                          <w:bCs/>
                          <w:color w:val="385623" w:themeColor="accent6" w:themeShade="80"/>
                        </w:rPr>
                        <w:t xml:space="preserve"> </w:t>
                      </w:r>
                      <w:r w:rsidR="00F27554" w:rsidRPr="00F27554">
                        <w:rPr>
                          <w:b/>
                          <w:bCs/>
                          <w:color w:val="385623" w:themeColor="accent6" w:themeShade="80"/>
                        </w:rPr>
                        <w:t>the three-tier delivery model</w:t>
                      </w:r>
                    </w:p>
                    <w:p w14:paraId="77007D18" w14:textId="1F74C2D9" w:rsidR="004A0432" w:rsidRPr="00676EEB" w:rsidRDefault="00676EEB">
                      <w:pPr>
                        <w:rPr>
                          <w:rFonts w:ascii="Arial" w:hAnsi="Arial" w:cs="Arial"/>
                        </w:rPr>
                      </w:pPr>
                      <w:r w:rsidRPr="00676EEB">
                        <w:rPr>
                          <w:rFonts w:ascii="Arial" w:hAnsi="Arial" w:cs="Arial"/>
                        </w:rPr>
                        <w:t>Today, NHS dental services operate through three clearly defined tiers based on clinical complexity and patient needs. According to NHS England (2023), this structure ensures that individuals receive care appropriate to their condition. Primary Dental Care provides routine check</w:t>
                      </w:r>
                      <w:r w:rsidRPr="00676EEB">
                        <w:rPr>
                          <w:rFonts w:ascii="Cambria Math" w:hAnsi="Cambria Math" w:cs="Cambria Math"/>
                        </w:rPr>
                        <w:t>‑</w:t>
                      </w:r>
                      <w:r w:rsidRPr="00676EEB">
                        <w:rPr>
                          <w:rFonts w:ascii="Arial" w:hAnsi="Arial" w:cs="Arial"/>
                        </w:rPr>
                        <w:t>ups, prevention, fillings, extractions, and minor restorative work through general dental practices under GDS contracts. Community Dental Services (CDS) offer specialised care for children, people with disabilities, complex medical needs, or homelessness. Secondary and Tertiary Care deliver hospital</w:t>
                      </w:r>
                      <w:r w:rsidRPr="00676EEB">
                        <w:rPr>
                          <w:rFonts w:ascii="Cambria Math" w:hAnsi="Cambria Math" w:cs="Cambria Math"/>
                        </w:rPr>
                        <w:t>‑</w:t>
                      </w:r>
                      <w:r w:rsidRPr="00676EEB">
                        <w:rPr>
                          <w:rFonts w:ascii="Arial" w:hAnsi="Arial" w:cs="Arial"/>
                        </w:rPr>
                        <w:t>based treatment for complex and high</w:t>
                      </w:r>
                      <w:r w:rsidRPr="00676EEB">
                        <w:rPr>
                          <w:rFonts w:ascii="Cambria Math" w:hAnsi="Cambria Math" w:cs="Cambria Math"/>
                        </w:rPr>
                        <w:t>‑</w:t>
                      </w:r>
                      <w:r w:rsidRPr="00676EEB">
                        <w:rPr>
                          <w:rFonts w:ascii="Arial" w:hAnsi="Arial" w:cs="Arial"/>
                        </w:rPr>
                        <w:t>risk cases, including oral and maxillofacial surgery and advanced orthodontics, accessed only through formal referral.</w:t>
                      </w:r>
                    </w:p>
                  </w:txbxContent>
                </v:textbox>
                <w10:wrap type="square" anchorx="margin"/>
              </v:shape>
            </w:pict>
          </mc:Fallback>
        </mc:AlternateContent>
      </w:r>
      <w:r w:rsidR="00AF1B07">
        <w:rPr>
          <w:noProof/>
        </w:rPr>
        <mc:AlternateContent>
          <mc:Choice Requires="wps">
            <w:drawing>
              <wp:anchor distT="45720" distB="45720" distL="114300" distR="114300" simplePos="0" relativeHeight="251661312" behindDoc="0" locked="0" layoutInCell="1" allowOverlap="1" wp14:anchorId="3E780AA8" wp14:editId="71809B46">
                <wp:simplePos x="0" y="0"/>
                <wp:positionH relativeFrom="margin">
                  <wp:posOffset>487680</wp:posOffset>
                </wp:positionH>
                <wp:positionV relativeFrom="paragraph">
                  <wp:posOffset>0</wp:posOffset>
                </wp:positionV>
                <wp:extent cx="7604760" cy="1043940"/>
                <wp:effectExtent l="0" t="0" r="1524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04760" cy="1043940"/>
                        </a:xfrm>
                        <a:prstGeom prst="rect">
                          <a:avLst/>
                        </a:prstGeom>
                        <a:solidFill>
                          <a:srgbClr val="FFFFFF"/>
                        </a:solidFill>
                        <a:ln w="9525">
                          <a:solidFill>
                            <a:srgbClr val="000000"/>
                          </a:solidFill>
                          <a:miter lim="800000"/>
                          <a:headEnd/>
                          <a:tailEnd/>
                        </a:ln>
                        <a:effectLst>
                          <a:softEdge rad="50800"/>
                        </a:effectLst>
                      </wps:spPr>
                      <wps:txbx>
                        <w:txbxContent>
                          <w:p w14:paraId="62114251" w14:textId="027D8A86" w:rsidR="00BE6BE0" w:rsidRPr="00701FE9" w:rsidRDefault="00701FE9" w:rsidP="00BE6BE0">
                            <w:pPr>
                              <w:shd w:val="clear" w:color="auto" w:fill="F4B083" w:themeFill="accent2" w:themeFillTint="99"/>
                              <w:jc w:val="center"/>
                              <w:rPr>
                                <w:b/>
                                <w:bCs/>
                                <w:i/>
                                <w:iCs/>
                                <w:color w:val="00B0F0"/>
                                <w:sz w:val="36"/>
                                <w:szCs w:val="36"/>
                              </w:rPr>
                            </w:pPr>
                            <w:r w:rsidRPr="00701FE9">
                              <w:rPr>
                                <w:b/>
                                <w:bCs/>
                                <w:i/>
                                <w:iCs/>
                                <w:color w:val="00B0F0"/>
                                <w:sz w:val="70"/>
                                <w:szCs w:val="70"/>
                              </w:rPr>
                              <w:t xml:space="preserve"> </w:t>
                            </w:r>
                            <w:r w:rsidRPr="00701FE9">
                              <w:rPr>
                                <w:b/>
                                <w:bCs/>
                                <w:i/>
                                <w:iCs/>
                                <w:color w:val="00B0F0"/>
                                <w:sz w:val="36"/>
                                <w:szCs w:val="36"/>
                              </w:rPr>
                              <w:t xml:space="preserve">Dental Services </w:t>
                            </w:r>
                          </w:p>
                          <w:p w14:paraId="4B29F551" w14:textId="10DCBEA8" w:rsidR="00BE6BE0" w:rsidRPr="00EF21B5" w:rsidRDefault="00701FE9" w:rsidP="00BE6BE0">
                            <w:pPr>
                              <w:shd w:val="clear" w:color="auto" w:fill="F4B083" w:themeFill="accent2" w:themeFillTint="99"/>
                              <w:jc w:val="center"/>
                              <w:rPr>
                                <w:sz w:val="28"/>
                                <w:szCs w:val="28"/>
                              </w:rPr>
                            </w:pPr>
                            <w:r w:rsidRPr="00701FE9">
                              <w:rPr>
                                <w:sz w:val="28"/>
                                <w:szCs w:val="28"/>
                              </w:rPr>
                              <w:t>Kateryna Churaieva</w:t>
                            </w:r>
                            <w:r>
                              <w:rPr>
                                <w:sz w:val="28"/>
                                <w:szCs w:val="28"/>
                              </w:rPr>
                              <w:t xml:space="preserve"> </w:t>
                            </w:r>
                            <w:r w:rsidR="00BE6BE0" w:rsidRPr="00EF21B5">
                              <w:rPr>
                                <w:sz w:val="28"/>
                                <w:szCs w:val="28"/>
                              </w:rPr>
                              <w:t xml:space="preserve">, </w:t>
                            </w:r>
                            <w:r w:rsidR="00A80A5F" w:rsidRPr="00A80A5F">
                              <w:rPr>
                                <w:sz w:val="28"/>
                                <w:szCs w:val="28"/>
                              </w:rPr>
                              <w:t>Introduction to Health and Social Care</w:t>
                            </w:r>
                            <w:r w:rsidR="00BE6BE0" w:rsidRPr="00EF21B5">
                              <w:rPr>
                                <w:sz w:val="28"/>
                                <w:szCs w:val="28"/>
                              </w:rPr>
                              <w:t xml:space="preserve">, </w:t>
                            </w:r>
                            <w:r w:rsidRPr="00701FE9">
                              <w:rPr>
                                <w:sz w:val="28"/>
                                <w:szCs w:val="28"/>
                              </w:rPr>
                              <w:t>2532697@student.uwtsd.ac.uk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38.4pt;margin-top:0;width:598.8pt;height:82.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">
                <v:textbox>
                  <w:txbxContent>
                    <w:p w14:paraId="62114251" w14:textId="027D8A86" w:rsidR="00BE6BE0" w:rsidRPr="00701FE9" w:rsidRDefault="00701FE9" w:rsidP="00BE6BE0">
                      <w:pPr>
                        <w:shd w:val="clear" w:color="auto" w:fill="F4B083" w:themeFill="accent2" w:themeFillTint="99"/>
                        <w:jc w:val="center"/>
                        <w:rPr>
                          <w:b/>
                          <w:bCs/>
                          <w:i/>
                          <w:iCs/>
                          <w:color w:val="00B0F0"/>
                          <w:sz w:val="36"/>
                          <w:szCs w:val="36"/>
                        </w:rPr>
                      </w:pPr>
                      <w:r w:rsidRPr="00701FE9">
                        <w:rPr>
                          <w:b/>
                          <w:bCs/>
                          <w:i/>
                          <w:iCs/>
                          <w:color w:val="00B0F0"/>
                          <w:sz w:val="70"/>
                          <w:szCs w:val="70"/>
                        </w:rPr>
                        <w:t xml:space="preserve"> </w:t>
                      </w:r>
                      <w:r w:rsidRPr="00701FE9">
                        <w:rPr>
                          <w:b/>
                          <w:bCs/>
                          <w:i/>
                          <w:iCs/>
                          <w:color w:val="00B0F0"/>
                          <w:sz w:val="36"/>
                          <w:szCs w:val="36"/>
                        </w:rPr>
                        <w:t xml:space="preserve">Dental Services </w:t>
                      </w:r>
                    </w:p>
                    <w:p w14:paraId="4B29F551" w14:textId="10DCBEA8" w:rsidR="00BE6BE0" w:rsidRPr="00EF21B5" w:rsidRDefault="00701FE9" w:rsidP="00BE6BE0">
                      <w:pPr>
                        <w:shd w:val="clear" w:color="auto" w:fill="F4B083" w:themeFill="accent2" w:themeFillTint="99"/>
                        <w:jc w:val="center"/>
                        <w:rPr>
                          <w:sz w:val="28"/>
                          <w:szCs w:val="28"/>
                        </w:rPr>
                      </w:pPr>
                      <w:r w:rsidRPr="00701FE9">
                        <w:rPr>
                          <w:sz w:val="28"/>
                          <w:szCs w:val="28"/>
                        </w:rPr>
                        <w:t>Kateryna Churaieva</w:t>
                      </w:r>
                      <w:r>
                        <w:rPr>
                          <w:sz w:val="28"/>
                          <w:szCs w:val="28"/>
                        </w:rPr>
                        <w:t xml:space="preserve"> </w:t>
                      </w:r>
                      <w:r w:rsidR="00BE6BE0" w:rsidRPr="00EF21B5">
                        <w:rPr>
                          <w:sz w:val="28"/>
                          <w:szCs w:val="28"/>
                        </w:rPr>
                        <w:t xml:space="preserve">, </w:t>
                      </w:r>
                      <w:r w:rsidR="00A80A5F" w:rsidRPr="00A80A5F">
                        <w:rPr>
                          <w:sz w:val="28"/>
                          <w:szCs w:val="28"/>
                        </w:rPr>
                        <w:t>Introduction to Health and Social Care</w:t>
                      </w:r>
                      <w:r w:rsidR="00BE6BE0" w:rsidRPr="00EF21B5">
                        <w:rPr>
                          <w:sz w:val="28"/>
                          <w:szCs w:val="28"/>
                        </w:rPr>
                        <w:t xml:space="preserve">, </w:t>
                      </w:r>
                      <w:r w:rsidRPr="00701FE9">
                        <w:rPr>
                          <w:sz w:val="28"/>
                          <w:szCs w:val="28"/>
                        </w:rPr>
                        <w:t>2532697@student.uwtsd.ac.uk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68B1B928" w14:textId="6C7B26AE" w:rsidR="00E53827" w:rsidRPr="005240A8" w:rsidRDefault="00E34236">
      <w:pPr>
        <w:rPr>
          <w:rFonts w:ascii="Arial" w:hAnsi="Arial" w:cs="Arial"/>
          <w:b/>
          <w:bCs/>
          <w:sz w:val="28"/>
          <w:szCs w:val="28"/>
        </w:rPr>
        <w:sectPr w:rsidR="00E53827" w:rsidRPr="005240A8" w:rsidSect="00F523F2">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81792" behindDoc="0" locked="0" layoutInCell="1" allowOverlap="1" wp14:anchorId="781E7052" wp14:editId="1AA89F65">
                <wp:simplePos x="0" y="0"/>
                <wp:positionH relativeFrom="page">
                  <wp:posOffset>2948940</wp:posOffset>
                </wp:positionH>
                <wp:positionV relativeFrom="paragraph">
                  <wp:posOffset>108585</wp:posOffset>
                </wp:positionV>
                <wp:extent cx="3920490" cy="5577840"/>
                <wp:effectExtent l="19050" t="19050" r="41910" b="41910"/>
                <wp:wrapSquare wrapText="bothSides"/>
                <wp:docPr id="1467114596" name="Text Box 14671145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0490" cy="5577840"/>
                        </a:xfrm>
                        <a:prstGeom prst="rect">
                          <a:avLst/>
                        </a:prstGeom>
                        <a:solidFill>
                          <a:schemeClr val="accent2">
                            <a:lumMod val="20000"/>
                            <a:lumOff val="80000"/>
                          </a:schemeClr>
                        </a:solidFill>
                        <a:ln w="47625">
                          <a:solidFill>
                            <a:schemeClr val="accent2"/>
                          </a:solidFill>
                          <a:miter lim="800000"/>
                          <a:headEnd/>
                          <a:tailEnd/>
                        </a:ln>
                        <a:effectLst>
                          <a:softEdge rad="25400"/>
                        </a:effectLst>
                      </wps:spPr>
                      <wps:txbx>
                        <w:txbxContent>
                          <w:p w14:paraId="5707B21D" w14:textId="27275F54" w:rsidR="008C4EC0" w:rsidRPr="004F7D09" w:rsidRDefault="00F523F2" w:rsidP="004F7D09">
                            <w:pPr>
                              <w:rPr>
                                <w:rFonts w:ascii="Arial" w:hAnsi="Arial" w:cs="Arial"/>
                                <w:b/>
                                <w:bCs/>
                                <w:color w:val="385623" w:themeColor="accent6" w:themeShade="80"/>
                              </w:rPr>
                            </w:pPr>
                            <w:r w:rsidRPr="003309DC">
                              <w:rPr>
                                <w:rFonts w:ascii="Arial" w:hAnsi="Arial" w:cs="Arial"/>
                                <w:b/>
                                <w:bCs/>
                                <w:color w:val="385623" w:themeColor="accent6" w:themeShade="80"/>
                              </w:rPr>
                              <w:t xml:space="preserve"> 5. Challenge 2: UDA Contract</w:t>
                            </w:r>
                          </w:p>
                          <w:p w14:paraId="7809385F" w14:textId="77777777" w:rsidR="00B07D0B" w:rsidRPr="00B07D0B" w:rsidRDefault="00B07D0B" w:rsidP="00B07D0B">
                            <w:pPr>
                              <w:rPr>
                                <w:rFonts w:ascii="Arial" w:hAnsi="Arial" w:cs="Arial"/>
                              </w:rPr>
                            </w:pPr>
                            <w:r w:rsidRPr="00B07D0B">
                              <w:rPr>
                                <w:rFonts w:ascii="Arial" w:hAnsi="Arial" w:cs="Arial"/>
                              </w:rPr>
                              <w:t>The second major challenge stems from the financial and operational structure created by the 2006 contract model.</w:t>
                            </w:r>
                          </w:p>
                          <w:p w14:paraId="14C487C1" w14:textId="77777777" w:rsidR="00B07D0B" w:rsidRPr="00B07D0B" w:rsidRDefault="00B07D0B" w:rsidP="00B07D0B">
                            <w:pPr>
                              <w:rPr>
                                <w:rFonts w:ascii="Arial" w:hAnsi="Arial" w:cs="Arial"/>
                              </w:rPr>
                            </w:pPr>
                            <w:r w:rsidRPr="002E6B1E">
                              <w:rPr>
                                <w:rFonts w:ascii="Arial" w:hAnsi="Arial" w:cs="Arial"/>
                                <w:b/>
                                <w:bCs/>
                              </w:rPr>
                              <w:t>Statistical Reality:</w:t>
                            </w:r>
                            <w:r w:rsidRPr="00B07D0B">
                              <w:rPr>
                                <w:rFonts w:ascii="Arial" w:hAnsi="Arial" w:cs="Arial"/>
                              </w:rPr>
                              <w:t xml:space="preserve"> The Units of Dental Activity (UDA) system bases payment on fixed activity bands rather than the actual time or clinical complexity required. The National Audit Office (2024) reports that this rigid model has driven a significant workforce retention crisis, leaving many NHS dentist posts unfilled across England.</w:t>
                            </w:r>
                          </w:p>
                          <w:p w14:paraId="5AA0B228" w14:textId="5298B8AD" w:rsidR="00B07D0B" w:rsidRDefault="00B07D0B" w:rsidP="00B07D0B">
                            <w:pPr>
                              <w:rPr>
                                <w:rFonts w:ascii="Arial" w:hAnsi="Arial" w:cs="Arial"/>
                              </w:rPr>
                            </w:pPr>
                            <w:r w:rsidRPr="002E6B1E">
                              <w:rPr>
                                <w:rFonts w:ascii="Arial" w:hAnsi="Arial" w:cs="Arial"/>
                                <w:b/>
                                <w:bCs/>
                              </w:rPr>
                              <w:t>Systemic Impact:</w:t>
                            </w:r>
                            <w:r w:rsidRPr="00B07D0B">
                              <w:rPr>
                                <w:rFonts w:ascii="Arial" w:hAnsi="Arial" w:cs="Arial"/>
                              </w:rPr>
                              <w:t xml:space="preserve"> Growing dissatisfaction with the UDA framework has led to many NHS dental contracts being returned to commissioners. Contract holders often deliver complex NHS treatments at a financial loss (British Dental Association, 2024). As a result, thousands of dentists have reduced their NHS commitments or moved entirely into private practice, further weakening service stability and intensifying the national access crisis.</w:t>
                            </w:r>
                          </w:p>
                          <w:p w14:paraId="410BFADD" w14:textId="27FE1CB9" w:rsidR="006867C8" w:rsidRPr="003309DC" w:rsidRDefault="008C4EC0" w:rsidP="007C51A1">
                            <w:pPr>
                              <w:rPr>
                                <w:rFonts w:ascii="Arial" w:hAnsi="Arial" w:cs="Arial"/>
                              </w:rPr>
                            </w:pPr>
                            <w:r w:rsidRPr="003309DC">
                              <w:rPr>
                                <w:rFonts w:ascii="Arial" w:hAnsi="Arial" w:cs="Arial"/>
                                <w:noProof/>
                              </w:rPr>
                              <w:drawing>
                                <wp:inline distT="0" distB="0" distL="0" distR="0" wp14:anchorId="1C359D4C" wp14:editId="03F32DCC">
                                  <wp:extent cx="2240280" cy="1234440"/>
                                  <wp:effectExtent l="0" t="0" r="7620" b="3810"/>
                                  <wp:docPr id="5281609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40280" cy="1234440"/>
                                          </a:xfrm>
                                          <a:prstGeom prst="rect">
                                            <a:avLst/>
                                          </a:prstGeom>
                                          <a:noFill/>
                                          <a:ln>
                                            <a:noFill/>
                                          </a:ln>
                                        </pic:spPr>
                                      </pic:pic>
                                    </a:graphicData>
                                  </a:graphic>
                                </wp:inline>
                              </w:drawing>
                            </w:r>
                          </w:p>
                          <w:p w14:paraId="01B2E2AD" w14:textId="211CF23F" w:rsidR="00F523F2" w:rsidRPr="003309DC" w:rsidRDefault="00DC6605" w:rsidP="00F523F2">
                            <w:pPr>
                              <w:rPr>
                                <w:rFonts w:ascii="Arial" w:hAnsi="Arial" w:cs="Arial"/>
                              </w:rPr>
                            </w:pPr>
                            <w:r w:rsidRPr="002A1F8C">
                              <w:rPr>
                                <w:rFonts w:ascii="Arial" w:hAnsi="Arial" w:cs="Arial"/>
                                <w:b/>
                                <w:bCs/>
                              </w:rPr>
                              <w:t>Figure 1.</w:t>
                            </w:r>
                            <w:r w:rsidRPr="00DC6605">
                              <w:rPr>
                                <w:rFonts w:ascii="Arial" w:hAnsi="Arial" w:cs="Arial"/>
                              </w:rPr>
                              <w:t xml:space="preserve"> Percentage of the adult and child population treated in each rolling 24-month period, 31 December 2014 to 31 December 2023. Source: (Welsh Government,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E7052" id="Text Box 1467114596" o:spid="_x0000_s1030" type="#_x0000_t202" style="position:absolute;margin-left:232.2pt;margin-top:8.55pt;width:308.7pt;height:439.2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" fillcolor="#fbe4d5 [661]" strokecolor="#ed7d31 [3205]" strokeweight="3.75pt">
                <v:textbox>
                  <w:txbxContent>
                    <w:p w14:paraId="5707B21D" w14:textId="27275F54" w:rsidR="008C4EC0" w:rsidRPr="004F7D09" w:rsidRDefault="00F523F2" w:rsidP="004F7D09">
                      <w:pPr>
                        <w:rPr>
                          <w:rFonts w:ascii="Arial" w:hAnsi="Arial" w:cs="Arial"/>
                          <w:b/>
                          <w:bCs/>
                          <w:color w:val="385623" w:themeColor="accent6" w:themeShade="80"/>
                        </w:rPr>
                      </w:pPr>
                      <w:r w:rsidRPr="003309DC">
                        <w:rPr>
                          <w:rFonts w:ascii="Arial" w:hAnsi="Arial" w:cs="Arial"/>
                          <w:b/>
                          <w:bCs/>
                          <w:color w:val="385623" w:themeColor="accent6" w:themeShade="80"/>
                        </w:rPr>
                        <w:t xml:space="preserve"> 5. Challenge 2: UDA Contract</w:t>
                      </w:r>
                    </w:p>
                    <w:p w14:paraId="7809385F" w14:textId="77777777" w:rsidR="00B07D0B" w:rsidRPr="00B07D0B" w:rsidRDefault="00B07D0B" w:rsidP="00B07D0B">
                      <w:pPr>
                        <w:rPr>
                          <w:rFonts w:ascii="Arial" w:hAnsi="Arial" w:cs="Arial"/>
                        </w:rPr>
                      </w:pPr>
                      <w:r w:rsidRPr="00B07D0B">
                        <w:rPr>
                          <w:rFonts w:ascii="Arial" w:hAnsi="Arial" w:cs="Arial"/>
                        </w:rPr>
                        <w:t>The second major challenge stems from the financial and operational structure created by the 2006 contract model.</w:t>
                      </w:r>
                    </w:p>
                    <w:p w14:paraId="14C487C1" w14:textId="77777777" w:rsidR="00B07D0B" w:rsidRPr="00B07D0B" w:rsidRDefault="00B07D0B" w:rsidP="00B07D0B">
                      <w:pPr>
                        <w:rPr>
                          <w:rFonts w:ascii="Arial" w:hAnsi="Arial" w:cs="Arial"/>
                        </w:rPr>
                      </w:pPr>
                      <w:r w:rsidRPr="002E6B1E">
                        <w:rPr>
                          <w:rFonts w:ascii="Arial" w:hAnsi="Arial" w:cs="Arial"/>
                          <w:b/>
                          <w:bCs/>
                        </w:rPr>
                        <w:t>Statistical Reality:</w:t>
                      </w:r>
                      <w:r w:rsidRPr="00B07D0B">
                        <w:rPr>
                          <w:rFonts w:ascii="Arial" w:hAnsi="Arial" w:cs="Arial"/>
                        </w:rPr>
                        <w:t xml:space="preserve"> The Units of Dental Activity (UDA) system bases payment on fixed activity bands rather than the actual time or clinical complexity required. The National Audit Office (2024) reports that this rigid model has driven a significant workforce retention crisis, leaving many NHS dentist posts unfilled across England.</w:t>
                      </w:r>
                    </w:p>
                    <w:p w14:paraId="5AA0B228" w14:textId="5298B8AD" w:rsidR="00B07D0B" w:rsidRDefault="00B07D0B" w:rsidP="00B07D0B">
                      <w:pPr>
                        <w:rPr>
                          <w:rFonts w:ascii="Arial" w:hAnsi="Arial" w:cs="Arial"/>
                        </w:rPr>
                      </w:pPr>
                      <w:r w:rsidRPr="002E6B1E">
                        <w:rPr>
                          <w:rFonts w:ascii="Arial" w:hAnsi="Arial" w:cs="Arial"/>
                          <w:b/>
                          <w:bCs/>
                        </w:rPr>
                        <w:t>Systemic Impact:</w:t>
                      </w:r>
                      <w:r w:rsidRPr="00B07D0B">
                        <w:rPr>
                          <w:rFonts w:ascii="Arial" w:hAnsi="Arial" w:cs="Arial"/>
                        </w:rPr>
                        <w:t xml:space="preserve"> Growing dissatisfaction with the UDA framework has led to many NHS dental contracts being returned to commissioners. Contract holders often deliver complex NHS treatments at a financial loss (British Dental Association, 2024). As a result, thousands of dentists have reduced their NHS commitments or moved entirely into private practice, further weakening service stability and intensifying the national access crisis.</w:t>
                      </w:r>
                    </w:p>
                    <w:p w14:paraId="410BFADD" w14:textId="27FE1CB9" w:rsidR="006867C8" w:rsidRPr="003309DC" w:rsidRDefault="008C4EC0" w:rsidP="007C51A1">
                      <w:pPr>
                        <w:rPr>
                          <w:rFonts w:ascii="Arial" w:hAnsi="Arial" w:cs="Arial"/>
                        </w:rPr>
                      </w:pPr>
                      <w:r w:rsidRPr="003309DC">
                        <w:rPr>
                          <w:rFonts w:ascii="Arial" w:hAnsi="Arial" w:cs="Arial"/>
                          <w:noProof/>
                        </w:rPr>
                        <w:drawing>
                          <wp:inline distT="0" distB="0" distL="0" distR="0" wp14:anchorId="1C359D4C" wp14:editId="03F32DCC">
                            <wp:extent cx="2240280" cy="1234440"/>
                            <wp:effectExtent l="0" t="0" r="7620" b="3810"/>
                            <wp:docPr id="5281609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40280" cy="1234440"/>
                                    </a:xfrm>
                                    <a:prstGeom prst="rect">
                                      <a:avLst/>
                                    </a:prstGeom>
                                    <a:noFill/>
                                    <a:ln>
                                      <a:noFill/>
                                    </a:ln>
                                  </pic:spPr>
                                </pic:pic>
                              </a:graphicData>
                            </a:graphic>
                          </wp:inline>
                        </w:drawing>
                      </w:r>
                    </w:p>
                    <w:p w14:paraId="01B2E2AD" w14:textId="211CF23F" w:rsidR="00F523F2" w:rsidRPr="003309DC" w:rsidRDefault="00DC6605" w:rsidP="00F523F2">
                      <w:pPr>
                        <w:rPr>
                          <w:rFonts w:ascii="Arial" w:hAnsi="Arial" w:cs="Arial"/>
                        </w:rPr>
                      </w:pPr>
                      <w:r w:rsidRPr="002A1F8C">
                        <w:rPr>
                          <w:rFonts w:ascii="Arial" w:hAnsi="Arial" w:cs="Arial"/>
                          <w:b/>
                          <w:bCs/>
                        </w:rPr>
                        <w:t>Figure 1.</w:t>
                      </w:r>
                      <w:r w:rsidRPr="00DC6605">
                        <w:rPr>
                          <w:rFonts w:ascii="Arial" w:hAnsi="Arial" w:cs="Arial"/>
                        </w:rPr>
                        <w:t xml:space="preserve"> Percentage of the adult and child population treated in each rolling 24-month period, 31 December 2014 to 31 December 2023. Source: (Welsh Government, 2024)</w:t>
                      </w:r>
                    </w:p>
                  </w:txbxContent>
                </v:textbox>
                <w10:wrap type="square" anchorx="page"/>
              </v:shape>
            </w:pict>
          </mc:Fallback>
        </mc:AlternateContent>
      </w:r>
      <w:r>
        <w:rPr>
          <w:noProof/>
        </w:rPr>
        <mc:AlternateContent>
          <mc:Choice Requires="wps">
            <w:drawing>
              <wp:anchor distT="45720" distB="45720" distL="114300" distR="114300" simplePos="0" relativeHeight="251680768" behindDoc="0" locked="0" layoutInCell="1" allowOverlap="1" wp14:anchorId="0F011F29" wp14:editId="4904C44B">
                <wp:simplePos x="0" y="0"/>
                <wp:positionH relativeFrom="page">
                  <wp:posOffset>483870</wp:posOffset>
                </wp:positionH>
                <wp:positionV relativeFrom="paragraph">
                  <wp:posOffset>87630</wp:posOffset>
                </wp:positionV>
                <wp:extent cx="2297430" cy="5596890"/>
                <wp:effectExtent l="19050" t="19050" r="45720" b="41910"/>
                <wp:wrapSquare wrapText="bothSides"/>
                <wp:docPr id="2102406080" name="Text Box 21024060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7430" cy="5596890"/>
                        </a:xfrm>
                        <a:prstGeom prst="rect">
                          <a:avLst/>
                        </a:prstGeom>
                        <a:solidFill>
                          <a:schemeClr val="accent2">
                            <a:lumMod val="20000"/>
                            <a:lumOff val="80000"/>
                          </a:schemeClr>
                        </a:solidFill>
                        <a:ln w="47625">
                          <a:solidFill>
                            <a:schemeClr val="accent2"/>
                          </a:solidFill>
                          <a:miter lim="800000"/>
                          <a:headEnd/>
                          <a:tailEnd/>
                        </a:ln>
                        <a:effectLst>
                          <a:softEdge rad="25400"/>
                        </a:effectLst>
                      </wps:spPr>
                      <wps:txbx>
                        <w:txbxContent>
                          <w:p w14:paraId="5AC4C834" w14:textId="77777777" w:rsidR="00F523F2" w:rsidRPr="00FD32B5" w:rsidRDefault="00F523F2" w:rsidP="00F523F2">
                            <w:pPr>
                              <w:rPr>
                                <w:b/>
                                <w:bCs/>
                                <w:color w:val="385623" w:themeColor="accent6" w:themeShade="80"/>
                              </w:rPr>
                            </w:pPr>
                            <w:r w:rsidRPr="008105AC">
                              <w:rPr>
                                <w:b/>
                                <w:bCs/>
                                <w:color w:val="385623" w:themeColor="accent6" w:themeShade="80"/>
                              </w:rPr>
                              <w:t>4. Challenge 1: Access Crisis</w:t>
                            </w:r>
                          </w:p>
                          <w:p w14:paraId="4D28890D" w14:textId="77777777" w:rsidR="000B1BD2" w:rsidRDefault="002A1F8C" w:rsidP="00812D68">
                            <w:pPr>
                              <w:spacing w:line="276" w:lineRule="auto"/>
                              <w:rPr>
                                <w:rFonts w:ascii="Arial" w:hAnsi="Arial" w:cs="Arial"/>
                              </w:rPr>
                            </w:pPr>
                            <w:r w:rsidRPr="002A1F8C">
                              <w:rPr>
                                <w:rFonts w:ascii="Arial" w:hAnsi="Arial" w:cs="Arial"/>
                              </w:rPr>
                              <w:t xml:space="preserve">The primary structural challenge facing modern NHS dentistry is the severe shortage of commissioning capacity, creating geographic inequalities known as “dental deserts”. </w:t>
                            </w:r>
                          </w:p>
                          <w:p w14:paraId="39D408C2" w14:textId="77777777" w:rsidR="000B1BD2" w:rsidRDefault="002A1F8C" w:rsidP="00812D68">
                            <w:pPr>
                              <w:spacing w:line="276" w:lineRule="auto"/>
                              <w:rPr>
                                <w:rFonts w:ascii="Arial" w:hAnsi="Arial" w:cs="Arial"/>
                              </w:rPr>
                            </w:pPr>
                            <w:r w:rsidRPr="004F7D09">
                              <w:rPr>
                                <w:rFonts w:ascii="Arial" w:hAnsi="Arial" w:cs="Arial"/>
                                <w:b/>
                                <w:bCs/>
                              </w:rPr>
                              <w:t>Statistical Reality:</w:t>
                            </w:r>
                            <w:r w:rsidRPr="002A1F8C">
                              <w:rPr>
                                <w:rFonts w:ascii="Arial" w:hAnsi="Arial" w:cs="Arial"/>
                              </w:rPr>
                              <w:t xml:space="preserve"> The British Dental Association (2024) reports that most adults without a registered dentist who attempted to access NHS care were unsuccessful, with unmet need reaching 11–12 million people.</w:t>
                            </w:r>
                          </w:p>
                          <w:p w14:paraId="477CA458" w14:textId="7E9F2179" w:rsidR="00F523F2" w:rsidRPr="00A8380F" w:rsidRDefault="002A1F8C" w:rsidP="00812D68">
                            <w:pPr>
                              <w:spacing w:line="276" w:lineRule="auto"/>
                              <w:rPr>
                                <w:rFonts w:ascii="Arial" w:hAnsi="Arial" w:cs="Arial"/>
                              </w:rPr>
                            </w:pPr>
                            <w:r w:rsidRPr="002A1F8C">
                              <w:rPr>
                                <w:rFonts w:ascii="Arial" w:hAnsi="Arial" w:cs="Arial"/>
                                <w:b/>
                                <w:bCs/>
                              </w:rPr>
                              <w:t>Systemic Impact:</w:t>
                            </w:r>
                            <w:r w:rsidRPr="002A1F8C">
                              <w:rPr>
                                <w:rFonts w:ascii="Arial" w:hAnsi="Arial" w:cs="Arial"/>
                              </w:rPr>
                              <w:t xml:space="preserve"> Limited access to timely primary care leads many individuals to attempt self</w:t>
                            </w:r>
                            <w:r w:rsidRPr="002A1F8C">
                              <w:rPr>
                                <w:rFonts w:ascii="Cambria Math" w:hAnsi="Cambria Math" w:cs="Cambria Math"/>
                              </w:rPr>
                              <w:t>‑</w:t>
                            </w:r>
                            <w:r w:rsidRPr="002A1F8C">
                              <w:rPr>
                                <w:rFonts w:ascii="Arial" w:hAnsi="Arial" w:cs="Arial"/>
                              </w:rPr>
                              <w:t>treatment or attend emergency departments, placing avoidable pressure on services not equipped for definitive dental interventions. As a result, preventable dental problems escalate into more serious conditions, increasing clinical risk and financial strain across the wider healthcare system.</w:t>
                            </w:r>
                          </w:p>
                          <w:p w14:paraId="13B9A9CD" w14:textId="77777777" w:rsidR="00F523F2" w:rsidRDefault="00F523F2" w:rsidP="00F523F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11F29" id="Text Box 2102406080" o:spid="_x0000_s1031" type="#_x0000_t202" style="position:absolute;margin-left:38.1pt;margin-top:6.9pt;width:180.9pt;height:440.7pt;z-index:2516807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" fillcolor="#fbe4d5 [661]" strokecolor="#ed7d31 [3205]" strokeweight="3.75pt">
                <v:textbox>
                  <w:txbxContent>
                    <w:p w14:paraId="5AC4C834" w14:textId="77777777" w:rsidR="00F523F2" w:rsidRPr="00FD32B5" w:rsidRDefault="00F523F2" w:rsidP="00F523F2">
                      <w:pPr>
                        <w:rPr>
                          <w:b/>
                          <w:bCs/>
                          <w:color w:val="385623" w:themeColor="accent6" w:themeShade="80"/>
                        </w:rPr>
                      </w:pPr>
                      <w:r w:rsidRPr="008105AC">
                        <w:rPr>
                          <w:b/>
                          <w:bCs/>
                          <w:color w:val="385623" w:themeColor="accent6" w:themeShade="80"/>
                        </w:rPr>
                        <w:t>4. Challenge 1: Access Crisis</w:t>
                      </w:r>
                    </w:p>
                    <w:p w14:paraId="4D28890D" w14:textId="77777777" w:rsidR="000B1BD2" w:rsidRDefault="002A1F8C" w:rsidP="00812D68">
                      <w:pPr>
                        <w:spacing w:line="276" w:lineRule="auto"/>
                        <w:rPr>
                          <w:rFonts w:ascii="Arial" w:hAnsi="Arial" w:cs="Arial"/>
                        </w:rPr>
                      </w:pPr>
                      <w:r w:rsidRPr="002A1F8C">
                        <w:rPr>
                          <w:rFonts w:ascii="Arial" w:hAnsi="Arial" w:cs="Arial"/>
                        </w:rPr>
                        <w:t xml:space="preserve">The primary structural challenge facing modern NHS dentistry is the severe shortage of commissioning capacity, creating geographic inequalities known as “dental deserts”. </w:t>
                      </w:r>
                    </w:p>
                    <w:p w14:paraId="39D408C2" w14:textId="77777777" w:rsidR="000B1BD2" w:rsidRDefault="002A1F8C" w:rsidP="00812D68">
                      <w:pPr>
                        <w:spacing w:line="276" w:lineRule="auto"/>
                        <w:rPr>
                          <w:rFonts w:ascii="Arial" w:hAnsi="Arial" w:cs="Arial"/>
                        </w:rPr>
                      </w:pPr>
                      <w:r w:rsidRPr="004F7D09">
                        <w:rPr>
                          <w:rFonts w:ascii="Arial" w:hAnsi="Arial" w:cs="Arial"/>
                          <w:b/>
                          <w:bCs/>
                        </w:rPr>
                        <w:t>Statistical Reality:</w:t>
                      </w:r>
                      <w:r w:rsidRPr="002A1F8C">
                        <w:rPr>
                          <w:rFonts w:ascii="Arial" w:hAnsi="Arial" w:cs="Arial"/>
                        </w:rPr>
                        <w:t xml:space="preserve"> The British Dental Association (2024) reports that most adults without a registered dentist who attempted to access NHS care were unsuccessful, with unmet need reaching 11–12 million people.</w:t>
                      </w:r>
                    </w:p>
                    <w:p w14:paraId="477CA458" w14:textId="7E9F2179" w:rsidR="00F523F2" w:rsidRPr="00A8380F" w:rsidRDefault="002A1F8C" w:rsidP="00812D68">
                      <w:pPr>
                        <w:spacing w:line="276" w:lineRule="auto"/>
                        <w:rPr>
                          <w:rFonts w:ascii="Arial" w:hAnsi="Arial" w:cs="Arial"/>
                        </w:rPr>
                      </w:pPr>
                      <w:r w:rsidRPr="002A1F8C">
                        <w:rPr>
                          <w:rFonts w:ascii="Arial" w:hAnsi="Arial" w:cs="Arial"/>
                          <w:b/>
                          <w:bCs/>
                        </w:rPr>
                        <w:t>Systemic Impact:</w:t>
                      </w:r>
                      <w:r w:rsidRPr="002A1F8C">
                        <w:rPr>
                          <w:rFonts w:ascii="Arial" w:hAnsi="Arial" w:cs="Arial"/>
                        </w:rPr>
                        <w:t xml:space="preserve"> Limited access to timely primary care leads many individuals to attempt self</w:t>
                      </w:r>
                      <w:r w:rsidRPr="002A1F8C">
                        <w:rPr>
                          <w:rFonts w:ascii="Cambria Math" w:hAnsi="Cambria Math" w:cs="Cambria Math"/>
                        </w:rPr>
                        <w:t>‑</w:t>
                      </w:r>
                      <w:r w:rsidRPr="002A1F8C">
                        <w:rPr>
                          <w:rFonts w:ascii="Arial" w:hAnsi="Arial" w:cs="Arial"/>
                        </w:rPr>
                        <w:t>treatment or attend emergency departments, placing avoidable pressure on services not equipped for definitive dental interventions. As a result, preventable dental problems escalate into more serious conditions, increasing clinical risk and financial strain across the wider healthcare system.</w:t>
                      </w:r>
                    </w:p>
                    <w:p w14:paraId="13B9A9CD" w14:textId="77777777" w:rsidR="00F523F2" w:rsidRDefault="00F523F2" w:rsidP="00F523F2"/>
                  </w:txbxContent>
                </v:textbox>
                <w10:wrap type="square" anchorx="page"/>
              </v:shape>
            </w:pict>
          </mc:Fallback>
        </mc:AlternateContent>
      </w:r>
      <w:r>
        <w:rPr>
          <w:noProof/>
        </w:rPr>
        <mc:AlternateContent>
          <mc:Choice Requires="wps">
            <w:drawing>
              <wp:anchor distT="45720" distB="45720" distL="114300" distR="114300" simplePos="0" relativeHeight="251679744" behindDoc="0" locked="0" layoutInCell="1" allowOverlap="1" wp14:anchorId="1AF46244" wp14:editId="44F6CFB7">
                <wp:simplePos x="0" y="0"/>
                <wp:positionH relativeFrom="margin">
                  <wp:posOffset>6103620</wp:posOffset>
                </wp:positionH>
                <wp:positionV relativeFrom="paragraph">
                  <wp:posOffset>127635</wp:posOffset>
                </wp:positionV>
                <wp:extent cx="3120390" cy="5581650"/>
                <wp:effectExtent l="19050" t="19050" r="22860" b="19050"/>
                <wp:wrapSquare wrapText="bothSides"/>
                <wp:docPr id="1565129812" name="Text Box 15651298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0390" cy="5581650"/>
                        </a:xfrm>
                        <a:prstGeom prst="rect">
                          <a:avLst/>
                        </a:prstGeom>
                        <a:solidFill>
                          <a:schemeClr val="accent2">
                            <a:lumMod val="20000"/>
                            <a:lumOff val="80000"/>
                          </a:schemeClr>
                        </a:solidFill>
                        <a:ln w="44450">
                          <a:solidFill>
                            <a:schemeClr val="accent2"/>
                          </a:solidFill>
                          <a:miter lim="800000"/>
                          <a:headEnd/>
                          <a:tailEnd/>
                        </a:ln>
                        <a:effectLst>
                          <a:softEdge rad="25400"/>
                        </a:effectLst>
                      </wps:spPr>
                      <wps:txbx>
                        <w:txbxContent>
                          <w:p w14:paraId="350CC4F0" w14:textId="77777777" w:rsidR="000B1BD2" w:rsidRDefault="00F523F2" w:rsidP="00A0497F">
                            <w:pPr>
                              <w:rPr>
                                <w:b/>
                                <w:bCs/>
                                <w:color w:val="385623" w:themeColor="accent6" w:themeShade="80"/>
                              </w:rPr>
                            </w:pPr>
                            <w:r w:rsidRPr="008105AC">
                              <w:rPr>
                                <w:b/>
                                <w:bCs/>
                                <w:color w:val="385623" w:themeColor="accent6" w:themeShade="80"/>
                              </w:rPr>
                              <w:t xml:space="preserve">6. </w:t>
                            </w:r>
                            <w:r w:rsidR="00B41A7C" w:rsidRPr="00B41A7C">
                              <w:rPr>
                                <w:b/>
                                <w:bCs/>
                                <w:color w:val="385623" w:themeColor="accent6" w:themeShade="80"/>
                              </w:rPr>
                              <w:t>Strategic Reforms and Future Outlook</w:t>
                            </w:r>
                            <w:r w:rsidRPr="008105AC">
                              <w:rPr>
                                <w:b/>
                                <w:bCs/>
                                <w:color w:val="385623" w:themeColor="accent6" w:themeShade="80"/>
                              </w:rPr>
                              <w:t xml:space="preserve"> &amp;</w:t>
                            </w:r>
                            <w:r w:rsidR="00B41A7C">
                              <w:rPr>
                                <w:b/>
                                <w:bCs/>
                                <w:color w:val="385623" w:themeColor="accent6" w:themeShade="80"/>
                              </w:rPr>
                              <w:t xml:space="preserve"> </w:t>
                            </w:r>
                            <w:r w:rsidR="00BC4AE8" w:rsidRPr="00BC4AE8">
                              <w:rPr>
                                <w:b/>
                                <w:bCs/>
                                <w:color w:val="385623" w:themeColor="accent6" w:themeShade="80"/>
                              </w:rPr>
                              <w:t>Conclusion</w:t>
                            </w:r>
                          </w:p>
                          <w:p w14:paraId="31FD4AA0" w14:textId="77777777" w:rsidR="00070D94" w:rsidRPr="00070D94" w:rsidRDefault="00070D94" w:rsidP="00070D94">
                            <w:pPr>
                              <w:rPr>
                                <w:rFonts w:ascii="Arial" w:hAnsi="Arial" w:cs="Arial"/>
                                <w:b/>
                                <w:bCs/>
                              </w:rPr>
                            </w:pPr>
                            <w:r w:rsidRPr="00070D94">
                              <w:rPr>
                                <w:rFonts w:ascii="Arial" w:hAnsi="Arial" w:cs="Arial"/>
                                <w:b/>
                                <w:bCs/>
                              </w:rPr>
                              <w:t>Strategic Reforms and Future Outlook</w:t>
                            </w:r>
                          </w:p>
                          <w:p w14:paraId="38F95537" w14:textId="30F494CD" w:rsidR="00070D94" w:rsidRPr="00070D94" w:rsidRDefault="00070D94" w:rsidP="00070D94">
                            <w:pPr>
                              <w:rPr>
                                <w:rFonts w:ascii="Arial" w:hAnsi="Arial" w:cs="Arial"/>
                              </w:rPr>
                            </w:pPr>
                            <w:r w:rsidRPr="00070D94">
                              <w:rPr>
                                <w:rFonts w:ascii="Arial" w:hAnsi="Arial" w:cs="Arial"/>
                              </w:rPr>
                              <w:t>To stabilise dental infrastructure, NHS England (2024) has introduced targeted reforms to modernise the contract system. These include a financial “patient premium” encouraging practices to accept high</w:t>
                            </w:r>
                            <w:r w:rsidRPr="00070D94">
                              <w:rPr>
                                <w:rFonts w:ascii="Cambria Math" w:hAnsi="Cambria Math" w:cs="Cambria Math"/>
                              </w:rPr>
                              <w:t>‑</w:t>
                            </w:r>
                            <w:r w:rsidRPr="00070D94">
                              <w:rPr>
                                <w:rFonts w:ascii="Arial" w:hAnsi="Arial" w:cs="Arial"/>
                              </w:rPr>
                              <w:t>needs patients and national promotion of skill</w:t>
                            </w:r>
                            <w:r w:rsidRPr="00070D94">
                              <w:rPr>
                                <w:rFonts w:ascii="Cambria Math" w:hAnsi="Cambria Math" w:cs="Cambria Math"/>
                              </w:rPr>
                              <w:t>‑</w:t>
                            </w:r>
                            <w:r w:rsidRPr="00070D94">
                              <w:rPr>
                                <w:rFonts w:ascii="Arial" w:hAnsi="Arial" w:cs="Arial"/>
                              </w:rPr>
                              <w:t>mix optimisation, enabling Dental Therapists and Hygienists to deliver routine restorative care. This increases system capacity and allows Dental Surgeons to focus on complex treatments requiring advanced expertise.</w:t>
                            </w:r>
                          </w:p>
                          <w:p w14:paraId="3E2F4733" w14:textId="77777777" w:rsidR="00070D94" w:rsidRPr="00070D94" w:rsidRDefault="00070D94" w:rsidP="00070D94">
                            <w:pPr>
                              <w:rPr>
                                <w:rFonts w:ascii="Arial" w:hAnsi="Arial" w:cs="Arial"/>
                                <w:b/>
                                <w:bCs/>
                              </w:rPr>
                            </w:pPr>
                            <w:r w:rsidRPr="00070D94">
                              <w:rPr>
                                <w:rFonts w:ascii="Arial" w:hAnsi="Arial" w:cs="Arial"/>
                                <w:b/>
                                <w:bCs/>
                              </w:rPr>
                              <w:t>Conclusion</w:t>
                            </w:r>
                          </w:p>
                          <w:p w14:paraId="20EF55CB" w14:textId="41B7AB31" w:rsidR="00F523F2" w:rsidRPr="00070D94" w:rsidRDefault="00070D94" w:rsidP="00070D94">
                            <w:pPr>
                              <w:rPr>
                                <w:rFonts w:ascii="Arial" w:hAnsi="Arial" w:cs="Arial"/>
                              </w:rPr>
                            </w:pPr>
                            <w:r w:rsidRPr="00070D94">
                              <w:rPr>
                                <w:rFonts w:ascii="Arial" w:hAnsi="Arial" w:cs="Arial"/>
                              </w:rPr>
                              <w:t>In conclusion, although NHS dentistry remains an essential public service grounded in equality, its long</w:t>
                            </w:r>
                            <w:r w:rsidRPr="00070D94">
                              <w:rPr>
                                <w:rFonts w:ascii="Cambria Math" w:hAnsi="Cambria Math" w:cs="Cambria Math"/>
                              </w:rPr>
                              <w:t>‑</w:t>
                            </w:r>
                            <w:r w:rsidRPr="00070D94">
                              <w:rPr>
                                <w:rFonts w:ascii="Arial" w:hAnsi="Arial" w:cs="Arial"/>
                              </w:rPr>
                              <w:t>term sustainability is threatened by workforce shortages and an outdated contract model. Tackling geographic “dental deserts” requires shifting from volume</w:t>
                            </w:r>
                            <w:r w:rsidRPr="00070D94">
                              <w:rPr>
                                <w:rFonts w:ascii="Cambria Math" w:hAnsi="Cambria Math" w:cs="Cambria Math"/>
                              </w:rPr>
                              <w:t>‑</w:t>
                            </w:r>
                            <w:r w:rsidRPr="00070D94">
                              <w:rPr>
                                <w:rFonts w:ascii="Arial" w:hAnsi="Arial" w:cs="Arial"/>
                              </w:rPr>
                              <w:t>based targets to a patient</w:t>
                            </w:r>
                            <w:r w:rsidRPr="00070D94">
                              <w:rPr>
                                <w:rFonts w:ascii="Cambria Math" w:hAnsi="Cambria Math" w:cs="Cambria Math"/>
                              </w:rPr>
                              <w:t>‑</w:t>
                            </w:r>
                            <w:r w:rsidRPr="00070D94">
                              <w:rPr>
                                <w:rFonts w:ascii="Arial" w:hAnsi="Arial" w:cs="Arial"/>
                              </w:rPr>
                              <w:t>centred approach. Universal oral healthcare can remain viable only with stable investment, comprehensive contract reform, and stronger national commitment to preventative public health measures.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F46244" id="Text Box 1565129812" o:spid="_x0000_s1032" type="#_x0000_t202" style="position:absolute;margin-left:480.6pt;margin-top:10.05pt;width:245.7pt;height:439.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" fillcolor="#fbe4d5 [661]" strokecolor="#ed7d31 [3205]" strokeweight="3.5pt">
                <v:textbox>
                  <w:txbxContent>
                    <w:p w14:paraId="350CC4F0" w14:textId="77777777" w:rsidR="000B1BD2" w:rsidRDefault="00F523F2" w:rsidP="00A0497F">
                      <w:pPr>
                        <w:rPr>
                          <w:b/>
                          <w:bCs/>
                          <w:color w:val="385623" w:themeColor="accent6" w:themeShade="80"/>
                        </w:rPr>
                      </w:pPr>
                      <w:r w:rsidRPr="008105AC">
                        <w:rPr>
                          <w:b/>
                          <w:bCs/>
                          <w:color w:val="385623" w:themeColor="accent6" w:themeShade="80"/>
                        </w:rPr>
                        <w:t xml:space="preserve">6. </w:t>
                      </w:r>
                      <w:r w:rsidR="00B41A7C" w:rsidRPr="00B41A7C">
                        <w:rPr>
                          <w:b/>
                          <w:bCs/>
                          <w:color w:val="385623" w:themeColor="accent6" w:themeShade="80"/>
                        </w:rPr>
                        <w:t>Strategic Reforms and Future Outlook</w:t>
                      </w:r>
                      <w:r w:rsidRPr="008105AC">
                        <w:rPr>
                          <w:b/>
                          <w:bCs/>
                          <w:color w:val="385623" w:themeColor="accent6" w:themeShade="80"/>
                        </w:rPr>
                        <w:t xml:space="preserve"> &amp;</w:t>
                      </w:r>
                      <w:r w:rsidR="00B41A7C">
                        <w:rPr>
                          <w:b/>
                          <w:bCs/>
                          <w:color w:val="385623" w:themeColor="accent6" w:themeShade="80"/>
                        </w:rPr>
                        <w:t xml:space="preserve"> </w:t>
                      </w:r>
                      <w:r w:rsidR="00BC4AE8" w:rsidRPr="00BC4AE8">
                        <w:rPr>
                          <w:b/>
                          <w:bCs/>
                          <w:color w:val="385623" w:themeColor="accent6" w:themeShade="80"/>
                        </w:rPr>
                        <w:t>Conclusion</w:t>
                      </w:r>
                    </w:p>
                    <w:p w14:paraId="31FD4AA0" w14:textId="77777777" w:rsidR="00070D94" w:rsidRPr="00070D94" w:rsidRDefault="00070D94" w:rsidP="00070D94">
                      <w:pPr>
                        <w:rPr>
                          <w:rFonts w:ascii="Arial" w:hAnsi="Arial" w:cs="Arial"/>
                          <w:b/>
                          <w:bCs/>
                        </w:rPr>
                      </w:pPr>
                      <w:r w:rsidRPr="00070D94">
                        <w:rPr>
                          <w:rFonts w:ascii="Arial" w:hAnsi="Arial" w:cs="Arial"/>
                          <w:b/>
                          <w:bCs/>
                        </w:rPr>
                        <w:t>Strategic Reforms and Future Outlook</w:t>
                      </w:r>
                    </w:p>
                    <w:p w14:paraId="38F95537" w14:textId="30F494CD" w:rsidR="00070D94" w:rsidRPr="00070D94" w:rsidRDefault="00070D94" w:rsidP="00070D94">
                      <w:pPr>
                        <w:rPr>
                          <w:rFonts w:ascii="Arial" w:hAnsi="Arial" w:cs="Arial"/>
                        </w:rPr>
                      </w:pPr>
                      <w:r w:rsidRPr="00070D94">
                        <w:rPr>
                          <w:rFonts w:ascii="Arial" w:hAnsi="Arial" w:cs="Arial"/>
                        </w:rPr>
                        <w:t>To stabilise dental infrastructure, NHS England (2024) has introduced targeted reforms to modernise the contract system. These include a financial “patient premium” encouraging practices to accept high</w:t>
                      </w:r>
                      <w:r w:rsidRPr="00070D94">
                        <w:rPr>
                          <w:rFonts w:ascii="Cambria Math" w:hAnsi="Cambria Math" w:cs="Cambria Math"/>
                        </w:rPr>
                        <w:t>‑</w:t>
                      </w:r>
                      <w:r w:rsidRPr="00070D94">
                        <w:rPr>
                          <w:rFonts w:ascii="Arial" w:hAnsi="Arial" w:cs="Arial"/>
                        </w:rPr>
                        <w:t>needs patients and national promotion of skill</w:t>
                      </w:r>
                      <w:r w:rsidRPr="00070D94">
                        <w:rPr>
                          <w:rFonts w:ascii="Cambria Math" w:hAnsi="Cambria Math" w:cs="Cambria Math"/>
                        </w:rPr>
                        <w:t>‑</w:t>
                      </w:r>
                      <w:r w:rsidRPr="00070D94">
                        <w:rPr>
                          <w:rFonts w:ascii="Arial" w:hAnsi="Arial" w:cs="Arial"/>
                        </w:rPr>
                        <w:t>mix optimisation, enabling Dental Therapists and Hygienists to deliver routine restorative care. This increases system capacity and allows Dental Surgeons to focus on complex treatments requiring advanced expertise.</w:t>
                      </w:r>
                    </w:p>
                    <w:p w14:paraId="3E2F4733" w14:textId="77777777" w:rsidR="00070D94" w:rsidRPr="00070D94" w:rsidRDefault="00070D94" w:rsidP="00070D94">
                      <w:pPr>
                        <w:rPr>
                          <w:rFonts w:ascii="Arial" w:hAnsi="Arial" w:cs="Arial"/>
                          <w:b/>
                          <w:bCs/>
                        </w:rPr>
                      </w:pPr>
                      <w:r w:rsidRPr="00070D94">
                        <w:rPr>
                          <w:rFonts w:ascii="Arial" w:hAnsi="Arial" w:cs="Arial"/>
                          <w:b/>
                          <w:bCs/>
                        </w:rPr>
                        <w:t>Conclusion</w:t>
                      </w:r>
                    </w:p>
                    <w:p w14:paraId="20EF55CB" w14:textId="41B7AB31" w:rsidR="00F523F2" w:rsidRPr="00070D94" w:rsidRDefault="00070D94" w:rsidP="00070D94">
                      <w:pPr>
                        <w:rPr>
                          <w:rFonts w:ascii="Arial" w:hAnsi="Arial" w:cs="Arial"/>
                        </w:rPr>
                      </w:pPr>
                      <w:r w:rsidRPr="00070D94">
                        <w:rPr>
                          <w:rFonts w:ascii="Arial" w:hAnsi="Arial" w:cs="Arial"/>
                        </w:rPr>
                        <w:t>In conclusion, although NHS dentistry remains an essential public service grounded in equality, its long</w:t>
                      </w:r>
                      <w:r w:rsidRPr="00070D94">
                        <w:rPr>
                          <w:rFonts w:ascii="Cambria Math" w:hAnsi="Cambria Math" w:cs="Cambria Math"/>
                        </w:rPr>
                        <w:t>‑</w:t>
                      </w:r>
                      <w:r w:rsidRPr="00070D94">
                        <w:rPr>
                          <w:rFonts w:ascii="Arial" w:hAnsi="Arial" w:cs="Arial"/>
                        </w:rPr>
                        <w:t>term sustainability is threatened by workforce shortages and an outdated contract model. Tackling geographic “dental deserts” requires shifting from volume</w:t>
                      </w:r>
                      <w:r w:rsidRPr="00070D94">
                        <w:rPr>
                          <w:rFonts w:ascii="Cambria Math" w:hAnsi="Cambria Math" w:cs="Cambria Math"/>
                        </w:rPr>
                        <w:t>‑</w:t>
                      </w:r>
                      <w:r w:rsidRPr="00070D94">
                        <w:rPr>
                          <w:rFonts w:ascii="Arial" w:hAnsi="Arial" w:cs="Arial"/>
                        </w:rPr>
                        <w:t>based targets to a patient</w:t>
                      </w:r>
                      <w:r w:rsidRPr="00070D94">
                        <w:rPr>
                          <w:rFonts w:ascii="Cambria Math" w:hAnsi="Cambria Math" w:cs="Cambria Math"/>
                        </w:rPr>
                        <w:t>‑</w:t>
                      </w:r>
                      <w:r w:rsidRPr="00070D94">
                        <w:rPr>
                          <w:rFonts w:ascii="Arial" w:hAnsi="Arial" w:cs="Arial"/>
                        </w:rPr>
                        <w:t>centred approach. Universal oral healthcare can remain viable only with stable investment, comprehensive contract reform, and stronger national commitment to preventative public health measures.</w:t>
                      </w:r>
                    </w:p>
                  </w:txbxContent>
                </v:textbox>
                <w10:wrap type="square" anchorx="margin"/>
              </v:shape>
            </w:pict>
          </mc:Fallback>
        </mc:AlternateContent>
      </w:r>
    </w:p>
    <w:p w14:paraId="731CE10A" w14:textId="6B7069AE" w:rsidR="00E53827" w:rsidRPr="003D2F28" w:rsidRDefault="005240A8" w:rsidP="003D2F28">
      <w:pPr>
        <w:spacing w:line="360" w:lineRule="auto"/>
        <w:rPr>
          <w:rFonts w:ascii="Arial" w:hAnsi="Arial" w:cs="Arial"/>
          <w:b/>
          <w:bCs/>
          <w:sz w:val="28"/>
          <w:szCs w:val="28"/>
        </w:rPr>
      </w:pPr>
      <w:r w:rsidRPr="003D2F28">
        <w:rPr>
          <w:rFonts w:ascii="Arial" w:hAnsi="Arial" w:cs="Arial"/>
          <w:b/>
          <w:bCs/>
          <w:sz w:val="28"/>
          <w:szCs w:val="28"/>
        </w:rPr>
        <w:lastRenderedPageBreak/>
        <w:t>Element 2</w:t>
      </w:r>
      <w:r w:rsidRPr="003D2F28">
        <w:rPr>
          <w:rFonts w:ascii="Arial" w:hAnsi="Arial" w:cs="Arial"/>
        </w:rPr>
        <w:t xml:space="preserve"> </w:t>
      </w:r>
    </w:p>
    <w:p w14:paraId="7E22472C" w14:textId="77777777" w:rsidR="003D2F28" w:rsidRPr="003D2F28" w:rsidRDefault="00424C4B" w:rsidP="00507016">
      <w:pPr>
        <w:tabs>
          <w:tab w:val="left" w:pos="1764"/>
        </w:tabs>
        <w:spacing w:line="360" w:lineRule="auto"/>
        <w:rPr>
          <w:rFonts w:ascii="Arial" w:hAnsi="Arial" w:cs="Arial"/>
          <w:b/>
          <w:bCs/>
          <w:sz w:val="28"/>
          <w:szCs w:val="28"/>
        </w:rPr>
      </w:pPr>
      <w:r w:rsidRPr="003D2F28">
        <w:rPr>
          <w:rFonts w:ascii="Arial" w:hAnsi="Arial" w:cs="Arial"/>
          <w:b/>
          <w:bCs/>
          <w:sz w:val="28"/>
          <w:szCs w:val="28"/>
        </w:rPr>
        <w:t>The Evolution, Current Functioning, and Impact of Community Mental Health Services</w:t>
      </w:r>
    </w:p>
    <w:p w14:paraId="7E2347DF" w14:textId="6E062E11" w:rsidR="003D2F28" w:rsidRPr="003D2F28" w:rsidRDefault="00507016" w:rsidP="003D2F28">
      <w:pPr>
        <w:tabs>
          <w:tab w:val="left" w:pos="1764"/>
        </w:tabs>
        <w:spacing w:line="360" w:lineRule="auto"/>
        <w:rPr>
          <w:rFonts w:ascii="Arial" w:hAnsi="Arial" w:cs="Arial"/>
          <w:b/>
          <w:bCs/>
        </w:rPr>
      </w:pPr>
      <w:r w:rsidRPr="003D2F28">
        <w:rPr>
          <w:rFonts w:ascii="Arial" w:hAnsi="Arial" w:cs="Arial"/>
          <w:b/>
          <w:bCs/>
        </w:rPr>
        <w:t>Introduction</w:t>
      </w:r>
    </w:p>
    <w:p w14:paraId="443B1C4C" w14:textId="2C66C86A" w:rsidR="003D2F28" w:rsidRPr="003D2F28" w:rsidRDefault="00507016" w:rsidP="003D2F28">
      <w:pPr>
        <w:tabs>
          <w:tab w:val="left" w:pos="1764"/>
        </w:tabs>
        <w:spacing w:line="360" w:lineRule="auto"/>
        <w:rPr>
          <w:rFonts w:ascii="Arial" w:hAnsi="Arial" w:cs="Arial"/>
          <w:b/>
          <w:bCs/>
        </w:rPr>
      </w:pPr>
      <w:r w:rsidRPr="003D2F28">
        <w:rPr>
          <w:rFonts w:ascii="Arial" w:hAnsi="Arial" w:cs="Arial"/>
        </w:rPr>
        <w:t>Community mental health services in the United Kingdom have undergone major transformation over the last century. Historically, people with mental health problems were placed in large institutions, often isolated from families and community life. Today, most support is delivered in community settings through NHS trusts, local authority social care teams, and voluntary organisations. These services help individuals with long</w:t>
      </w:r>
      <w:r w:rsidRPr="003D2F28">
        <w:rPr>
          <w:rFonts w:ascii="Cambria Math" w:hAnsi="Cambria Math" w:cs="Cambria Math"/>
        </w:rPr>
        <w:t>‑</w:t>
      </w:r>
      <w:r w:rsidRPr="003D2F28">
        <w:rPr>
          <w:rFonts w:ascii="Arial" w:hAnsi="Arial" w:cs="Arial"/>
        </w:rPr>
        <w:t>term or severe mental health conditions live safely and independently in their own homes. This essay explores the historical development of community mental health services, examines how they operate today, and evaluates their impact on service users’ quality of life.</w:t>
      </w:r>
    </w:p>
    <w:p w14:paraId="59617334" w14:textId="2EEFE544" w:rsidR="003D2F28" w:rsidRPr="003D2F28" w:rsidRDefault="00507016" w:rsidP="003D2F28">
      <w:pPr>
        <w:tabs>
          <w:tab w:val="left" w:pos="1764"/>
        </w:tabs>
        <w:spacing w:line="360" w:lineRule="auto"/>
        <w:rPr>
          <w:rFonts w:ascii="Arial" w:hAnsi="Arial" w:cs="Arial"/>
        </w:rPr>
      </w:pPr>
      <w:r w:rsidRPr="003D2F28">
        <w:rPr>
          <w:rFonts w:ascii="Arial" w:hAnsi="Arial" w:cs="Arial"/>
          <w:b/>
          <w:bCs/>
        </w:rPr>
        <w:t>Historical Development of Community Mental Health Services</w:t>
      </w:r>
    </w:p>
    <w:p w14:paraId="0037281D" w14:textId="7ADBB2A6" w:rsidR="003D2F28" w:rsidRPr="003D2F28" w:rsidRDefault="00507016" w:rsidP="003D2F28">
      <w:pPr>
        <w:tabs>
          <w:tab w:val="left" w:pos="1764"/>
        </w:tabs>
        <w:spacing w:line="360" w:lineRule="auto"/>
        <w:rPr>
          <w:rFonts w:ascii="Arial" w:hAnsi="Arial" w:cs="Arial"/>
          <w:b/>
          <w:bCs/>
        </w:rPr>
      </w:pPr>
      <w:r w:rsidRPr="003D2F28">
        <w:rPr>
          <w:rFonts w:ascii="Arial" w:hAnsi="Arial" w:cs="Arial"/>
        </w:rPr>
        <w:t>To understand the current system, it is essential to examine the history of deinstitutionalisation. For many decades, people with mental illness lived in large Victorian asylums, which were often overcrowded, under</w:t>
      </w:r>
      <w:r w:rsidRPr="003D2F28">
        <w:rPr>
          <w:rFonts w:ascii="Cambria Math" w:hAnsi="Cambria Math" w:cs="Cambria Math"/>
        </w:rPr>
        <w:t>‑</w:t>
      </w:r>
      <w:r w:rsidRPr="003D2F28">
        <w:rPr>
          <w:rFonts w:ascii="Arial" w:hAnsi="Arial" w:cs="Arial"/>
        </w:rPr>
        <w:t>resourced, and ineffective in promoting recovery. In the mid</w:t>
      </w:r>
      <w:r w:rsidRPr="003D2F28">
        <w:rPr>
          <w:rFonts w:ascii="Cambria Math" w:hAnsi="Cambria Math" w:cs="Cambria Math"/>
        </w:rPr>
        <w:t>‑</w:t>
      </w:r>
      <w:r w:rsidRPr="003D2F28">
        <w:rPr>
          <w:rFonts w:ascii="Arial" w:hAnsi="Arial" w:cs="Arial"/>
        </w:rPr>
        <w:t>twentieth century, new clinical treatments emerged, including psychotropic medication such as chlorpromazine in the 1950s. These medicines enabled many individuals to manage symptoms outside hospital environments. At the same time, social attitudes shifted, and long</w:t>
      </w:r>
      <w:r w:rsidRPr="003D2F28">
        <w:rPr>
          <w:rFonts w:ascii="Cambria Math" w:hAnsi="Cambria Math" w:cs="Cambria Math"/>
        </w:rPr>
        <w:t>‑</w:t>
      </w:r>
      <w:r w:rsidRPr="003D2F28">
        <w:rPr>
          <w:rFonts w:ascii="Arial" w:hAnsi="Arial" w:cs="Arial"/>
        </w:rPr>
        <w:t>term institutional care came to be seen as neither humane nor effective (King’s Fund, 2023).</w:t>
      </w:r>
    </w:p>
    <w:p w14:paraId="7A4125F2" w14:textId="77777777" w:rsidR="003D2F28" w:rsidRPr="003D2F28" w:rsidRDefault="00507016" w:rsidP="003D2F28">
      <w:pPr>
        <w:tabs>
          <w:tab w:val="left" w:pos="1764"/>
        </w:tabs>
        <w:spacing w:line="360" w:lineRule="auto"/>
        <w:rPr>
          <w:rFonts w:ascii="Arial" w:hAnsi="Arial" w:cs="Arial"/>
        </w:rPr>
      </w:pPr>
      <w:r w:rsidRPr="003D2F28">
        <w:rPr>
          <w:rFonts w:ascii="Arial" w:hAnsi="Arial" w:cs="Arial"/>
        </w:rPr>
        <w:t>A significant policy milestone was the Hospital Plan for England and Wales (1962), which initiated the gradual closure of asylum beds and encouraged community</w:t>
      </w:r>
      <w:r w:rsidRPr="003D2F28">
        <w:rPr>
          <w:rFonts w:ascii="Cambria Math" w:hAnsi="Cambria Math" w:cs="Cambria Math"/>
        </w:rPr>
        <w:t>‑</w:t>
      </w:r>
      <w:r w:rsidRPr="003D2F28">
        <w:rPr>
          <w:rFonts w:ascii="Arial" w:hAnsi="Arial" w:cs="Arial"/>
        </w:rPr>
        <w:t>based alternatives. This development continued with the National Health Service and Community Care Act (1990), which formally transferred responsibility for long</w:t>
      </w:r>
      <w:r w:rsidRPr="003D2F28">
        <w:rPr>
          <w:rFonts w:ascii="Cambria Math" w:hAnsi="Cambria Math" w:cs="Cambria Math"/>
        </w:rPr>
        <w:t>‑</w:t>
      </w:r>
      <w:r w:rsidRPr="003D2F28">
        <w:rPr>
          <w:rFonts w:ascii="Arial" w:hAnsi="Arial" w:cs="Arial"/>
        </w:rPr>
        <w:t>term psychiatric care from hospitals to local authorities and community teams (Department of Health, 1990). This legislation marked a clear transition toward supporting people within their own communities rather than isolating them in institutional settings.</w:t>
      </w:r>
    </w:p>
    <w:p w14:paraId="50AD89AA" w14:textId="77777777" w:rsidR="003D2F28" w:rsidRPr="003D2F28" w:rsidRDefault="00507016" w:rsidP="003D2F28">
      <w:pPr>
        <w:tabs>
          <w:tab w:val="left" w:pos="1764"/>
        </w:tabs>
        <w:spacing w:line="360" w:lineRule="auto"/>
        <w:rPr>
          <w:rFonts w:ascii="Arial" w:hAnsi="Arial" w:cs="Arial"/>
        </w:rPr>
      </w:pPr>
      <w:r w:rsidRPr="003D2F28">
        <w:rPr>
          <w:rFonts w:ascii="Arial" w:hAnsi="Arial" w:cs="Arial"/>
          <w:b/>
          <w:bCs/>
        </w:rPr>
        <w:t xml:space="preserve">Contemporary Structure and Functioning of Community Mental Health Teams  </w:t>
      </w:r>
    </w:p>
    <w:p w14:paraId="3FDF7EB9" w14:textId="4AC05C9B" w:rsidR="00507016" w:rsidRPr="003D2F28" w:rsidRDefault="00507016" w:rsidP="003D2F28">
      <w:pPr>
        <w:tabs>
          <w:tab w:val="left" w:pos="1764"/>
        </w:tabs>
        <w:spacing w:line="360" w:lineRule="auto"/>
        <w:rPr>
          <w:rFonts w:ascii="Arial" w:hAnsi="Arial" w:cs="Arial"/>
        </w:rPr>
      </w:pPr>
      <w:r w:rsidRPr="003D2F28">
        <w:rPr>
          <w:rFonts w:ascii="Arial" w:hAnsi="Arial" w:cs="Arial"/>
        </w:rPr>
        <w:t xml:space="preserve">Today, community mental health services are primarily delivered through Community Mental Health Teams (CMHTs). These multidisciplinary teams include psychiatrists, mental health nurses, social workers, occupational therapists, and support workers. They operate under </w:t>
      </w:r>
      <w:r w:rsidRPr="003D2F28">
        <w:rPr>
          <w:rFonts w:ascii="Arial" w:hAnsi="Arial" w:cs="Arial"/>
        </w:rPr>
        <w:lastRenderedPageBreak/>
        <w:t>the Care Programme Approach (CPA), which coordinates care for individuals with complex needs. CMHTs provide holistic support, including medication management, psychological therapies, crisis intervention, and assistance with housing, employment, and social inclusion.</w:t>
      </w:r>
    </w:p>
    <w:p w14:paraId="22A6B174" w14:textId="77777777" w:rsidR="003D2F28" w:rsidRPr="003D2F28" w:rsidRDefault="00507016" w:rsidP="003D2F28">
      <w:pPr>
        <w:tabs>
          <w:tab w:val="left" w:pos="1764"/>
        </w:tabs>
        <w:spacing w:line="360" w:lineRule="auto"/>
        <w:rPr>
          <w:rFonts w:ascii="Arial" w:hAnsi="Arial" w:cs="Arial"/>
        </w:rPr>
      </w:pPr>
      <w:r w:rsidRPr="003D2F28">
        <w:rPr>
          <w:rFonts w:ascii="Arial" w:hAnsi="Arial" w:cs="Arial"/>
        </w:rPr>
        <w:t>The modern system has notable strengths. CMHTs help prevent avoidable hospital admissions by offering crisis resolution and home treatment services, enabling people to receive intensive support in familiar environments. However, community mental health services also face significant pressures. According to the Health and Social Care Committee (2025), demand for mental health support continues to rise, while resources remain limited. As a result, teams often apply high eligibility thresholds, meaning individuals may deteriorate considerably before receiving help (Mind, 2025). Another persistent challenge is poor coordination between NHS clinical services and local authority social care budgets, which can lead to fragmented care pathways and inconsistent support.</w:t>
      </w:r>
    </w:p>
    <w:p w14:paraId="1BCEE3E8" w14:textId="3E140F96" w:rsidR="003D2F28" w:rsidRPr="003D2F28" w:rsidRDefault="00507016" w:rsidP="003D2F28">
      <w:pPr>
        <w:tabs>
          <w:tab w:val="left" w:pos="1764"/>
        </w:tabs>
        <w:spacing w:line="360" w:lineRule="auto"/>
        <w:rPr>
          <w:rFonts w:ascii="Arial" w:hAnsi="Arial" w:cs="Arial"/>
        </w:rPr>
      </w:pPr>
      <w:r w:rsidRPr="003D2F28">
        <w:rPr>
          <w:rFonts w:ascii="Arial" w:hAnsi="Arial" w:cs="Arial"/>
          <w:b/>
          <w:bCs/>
        </w:rPr>
        <w:t>Impact on Service Users and Quality of Life</w:t>
      </w:r>
    </w:p>
    <w:p w14:paraId="71E7CBFF" w14:textId="5925D7A6" w:rsidR="003D2F28" w:rsidRPr="003D2F28" w:rsidRDefault="00507016" w:rsidP="003D2F28">
      <w:pPr>
        <w:tabs>
          <w:tab w:val="left" w:pos="1764"/>
        </w:tabs>
        <w:spacing w:line="360" w:lineRule="auto"/>
        <w:rPr>
          <w:rFonts w:ascii="Arial" w:hAnsi="Arial" w:cs="Arial"/>
          <w:b/>
          <w:bCs/>
        </w:rPr>
      </w:pPr>
      <w:r w:rsidRPr="003D2F28">
        <w:rPr>
          <w:rFonts w:ascii="Arial" w:hAnsi="Arial" w:cs="Arial"/>
        </w:rPr>
        <w:t>Despite these challenges, community mental health services play a crucial role in improving service users’ quality of life. Localised care helps individuals maintain independence, remain in their homes, sustain employment, and preserve social relationships. Research indicates that recovery is often more effective in familiar community settings than in hospital environments (British Medical Association, 2024). Community</w:t>
      </w:r>
      <w:r w:rsidRPr="003D2F28">
        <w:rPr>
          <w:rFonts w:ascii="Cambria Math" w:hAnsi="Cambria Math" w:cs="Cambria Math"/>
        </w:rPr>
        <w:t>‑</w:t>
      </w:r>
      <w:r w:rsidRPr="003D2F28">
        <w:rPr>
          <w:rFonts w:ascii="Arial" w:hAnsi="Arial" w:cs="Arial"/>
        </w:rPr>
        <w:t>based care also reduces stigma by integrating mental health support into everyday life. Through social inclusion programmes, independent living assistance, and vocational rehabilitation, these services help people build confidence and participate actively in their communities.</w:t>
      </w:r>
    </w:p>
    <w:p w14:paraId="11EC0BFB" w14:textId="77777777" w:rsidR="003D2F28" w:rsidRPr="003D2F28" w:rsidRDefault="00507016" w:rsidP="003D2F28">
      <w:pPr>
        <w:tabs>
          <w:tab w:val="left" w:pos="1764"/>
        </w:tabs>
        <w:spacing w:line="360" w:lineRule="auto"/>
        <w:rPr>
          <w:rFonts w:ascii="Arial" w:hAnsi="Arial" w:cs="Arial"/>
          <w:b/>
          <w:bCs/>
        </w:rPr>
      </w:pPr>
      <w:r w:rsidRPr="003D2F28">
        <w:rPr>
          <w:rFonts w:ascii="Arial" w:hAnsi="Arial" w:cs="Arial"/>
          <w:b/>
          <w:bCs/>
        </w:rPr>
        <w:t>Conclusion</w:t>
      </w:r>
    </w:p>
    <w:p w14:paraId="28F2663F" w14:textId="77777777" w:rsidR="00F318BE" w:rsidRDefault="00507016" w:rsidP="00F318BE">
      <w:pPr>
        <w:tabs>
          <w:tab w:val="left" w:pos="1764"/>
        </w:tabs>
        <w:spacing w:line="360" w:lineRule="auto"/>
        <w:rPr>
          <w:rFonts w:ascii="Arial" w:hAnsi="Arial" w:cs="Arial"/>
        </w:rPr>
      </w:pPr>
      <w:r w:rsidRPr="003D2F28">
        <w:rPr>
          <w:rFonts w:ascii="Arial" w:hAnsi="Arial" w:cs="Arial"/>
        </w:rPr>
        <w:t>In conclusion, community mental health services represent a major shift toward a more humane, rights</w:t>
      </w:r>
      <w:r w:rsidRPr="003D2F28">
        <w:rPr>
          <w:rFonts w:ascii="Cambria Math" w:hAnsi="Cambria Math" w:cs="Cambria Math"/>
        </w:rPr>
        <w:t>‑</w:t>
      </w:r>
      <w:r w:rsidRPr="003D2F28">
        <w:rPr>
          <w:rFonts w:ascii="Arial" w:hAnsi="Arial" w:cs="Arial"/>
        </w:rPr>
        <w:t>based model of psychiatric care. Although the asylum system has been dismantled, today’s services still face challenges such as underfunding, high access thresholds, and fragmented structures. Strengthening coordination and increasing investment are essential for improving outcomes. Community mental health services remain vital for supporting independence, dignity, and long</w:t>
      </w:r>
      <w:r w:rsidRPr="003D2F28">
        <w:rPr>
          <w:rFonts w:ascii="Cambria Math" w:hAnsi="Cambria Math" w:cs="Cambria Math"/>
        </w:rPr>
        <w:t>‑</w:t>
      </w:r>
      <w:r w:rsidRPr="003D2F28">
        <w:rPr>
          <w:rFonts w:ascii="Arial" w:hAnsi="Arial" w:cs="Arial"/>
        </w:rPr>
        <w:t>term recovery.</w:t>
      </w:r>
    </w:p>
    <w:p w14:paraId="580AE082" w14:textId="77777777" w:rsidR="001421B9" w:rsidRDefault="001421B9">
      <w:pPr>
        <w:rPr>
          <w:rFonts w:ascii="Arial" w:hAnsi="Arial" w:cs="Arial"/>
        </w:rPr>
      </w:pPr>
      <w:r>
        <w:rPr>
          <w:rFonts w:ascii="Arial" w:hAnsi="Arial" w:cs="Arial"/>
        </w:rPr>
        <w:br w:type="page"/>
      </w:r>
    </w:p>
    <w:p w14:paraId="23578436" w14:textId="79554A28" w:rsidR="00833470" w:rsidRPr="001421B9" w:rsidRDefault="00833470" w:rsidP="00F318BE">
      <w:pPr>
        <w:tabs>
          <w:tab w:val="left" w:pos="1764"/>
        </w:tabs>
        <w:spacing w:line="360" w:lineRule="auto"/>
        <w:rPr>
          <w:rFonts w:ascii="Arial" w:hAnsi="Arial" w:cs="Arial"/>
          <w:sz w:val="28"/>
          <w:szCs w:val="28"/>
        </w:rPr>
      </w:pPr>
      <w:r w:rsidRPr="001421B9">
        <w:rPr>
          <w:rFonts w:ascii="Arial" w:hAnsi="Arial" w:cs="Arial"/>
          <w:b/>
          <w:bCs/>
          <w:sz w:val="28"/>
          <w:szCs w:val="28"/>
        </w:rPr>
        <w:lastRenderedPageBreak/>
        <w:t>References</w:t>
      </w:r>
    </w:p>
    <w:p w14:paraId="4245D6A1" w14:textId="77777777" w:rsidR="009E2DC1" w:rsidRPr="003D2F28" w:rsidRDefault="009E2DC1" w:rsidP="003D2F28">
      <w:pPr>
        <w:spacing w:line="360" w:lineRule="auto"/>
        <w:rPr>
          <w:rFonts w:ascii="Arial" w:hAnsi="Arial" w:cs="Arial"/>
        </w:rPr>
      </w:pPr>
      <w:r w:rsidRPr="003D2F28">
        <w:rPr>
          <w:rFonts w:ascii="Arial" w:hAnsi="Arial" w:cs="Arial"/>
        </w:rPr>
        <w:t xml:space="preserve">British Dental Association (BDA) (2024) </w:t>
      </w:r>
      <w:r w:rsidRPr="003D2F28">
        <w:rPr>
          <w:rFonts w:ascii="Arial" w:hAnsi="Arial" w:cs="Arial"/>
          <w:i/>
          <w:iCs/>
        </w:rPr>
        <w:t>The crisis in NHS dentistry: data and analysis.</w:t>
      </w:r>
      <w:r w:rsidRPr="003D2F28">
        <w:rPr>
          <w:rFonts w:ascii="Arial" w:hAnsi="Arial" w:cs="Arial"/>
        </w:rPr>
        <w:t xml:space="preserve"> London: BDA.</w:t>
      </w:r>
    </w:p>
    <w:p w14:paraId="0C47AE37" w14:textId="1721BFAA" w:rsidR="009E2DC1" w:rsidRPr="003D2F28" w:rsidRDefault="009E2DC1" w:rsidP="003D2F28">
      <w:pPr>
        <w:spacing w:line="360" w:lineRule="auto"/>
        <w:rPr>
          <w:rFonts w:ascii="Arial" w:hAnsi="Arial" w:cs="Arial"/>
        </w:rPr>
      </w:pPr>
      <w:r w:rsidRPr="003D2F28">
        <w:rPr>
          <w:rFonts w:ascii="Arial" w:hAnsi="Arial" w:cs="Arial"/>
        </w:rPr>
        <w:t>Available at:</w:t>
      </w:r>
      <w:r w:rsidR="008B650D" w:rsidRPr="003D2F28">
        <w:rPr>
          <w:rFonts w:ascii="Arial" w:hAnsi="Arial" w:cs="Arial"/>
        </w:rPr>
        <w:t xml:space="preserve"> </w:t>
      </w:r>
      <w:hyperlink r:id="rId13" w:history="1">
        <w:r w:rsidR="008B650D" w:rsidRPr="003D2F28">
          <w:rPr>
            <w:rStyle w:val="Hyperlink"/>
            <w:rFonts w:ascii="Arial" w:hAnsi="Arial" w:cs="Arial"/>
          </w:rPr>
          <w:t>https://www.bda.org/</w:t>
        </w:r>
      </w:hyperlink>
      <w:r w:rsidR="008B650D" w:rsidRPr="003D2F28">
        <w:rPr>
          <w:rFonts w:ascii="Arial" w:hAnsi="Arial" w:cs="Arial"/>
        </w:rPr>
        <w:t xml:space="preserve"> </w:t>
      </w:r>
      <w:r w:rsidRPr="003D2F28">
        <w:rPr>
          <w:rFonts w:ascii="Arial" w:hAnsi="Arial" w:cs="Arial"/>
        </w:rPr>
        <w:t>(Accessed: 18 July 2026).</w:t>
      </w:r>
    </w:p>
    <w:p w14:paraId="34F331A6" w14:textId="77777777" w:rsidR="009E2DC1" w:rsidRPr="003D2F28" w:rsidRDefault="009E2DC1" w:rsidP="003D2F28">
      <w:pPr>
        <w:spacing w:line="360" w:lineRule="auto"/>
        <w:rPr>
          <w:rFonts w:ascii="Arial" w:hAnsi="Arial" w:cs="Arial"/>
        </w:rPr>
      </w:pPr>
    </w:p>
    <w:p w14:paraId="70C47396" w14:textId="77777777" w:rsidR="009E2DC1" w:rsidRPr="003D2F28" w:rsidRDefault="009E2DC1" w:rsidP="003D2F28">
      <w:pPr>
        <w:spacing w:line="360" w:lineRule="auto"/>
        <w:rPr>
          <w:rFonts w:ascii="Arial" w:hAnsi="Arial" w:cs="Arial"/>
        </w:rPr>
      </w:pPr>
      <w:r w:rsidRPr="003D2F28">
        <w:rPr>
          <w:rFonts w:ascii="Arial" w:hAnsi="Arial" w:cs="Arial"/>
        </w:rPr>
        <w:t xml:space="preserve">British Medical Association (BMA) (2024) </w:t>
      </w:r>
      <w:r w:rsidRPr="003D2F28">
        <w:rPr>
          <w:rFonts w:ascii="Arial" w:hAnsi="Arial" w:cs="Arial"/>
          <w:i/>
          <w:iCs/>
        </w:rPr>
        <w:t>Failing mental healthcare system.</w:t>
      </w:r>
      <w:r w:rsidRPr="003D2F28">
        <w:rPr>
          <w:rFonts w:ascii="Arial" w:hAnsi="Arial" w:cs="Arial"/>
        </w:rPr>
        <w:t xml:space="preserve"> London: BMA.</w:t>
      </w:r>
    </w:p>
    <w:p w14:paraId="3B9329DE" w14:textId="5AF85747" w:rsidR="009E2DC1" w:rsidRPr="003D2F28" w:rsidRDefault="009E2DC1" w:rsidP="003D2F28">
      <w:pPr>
        <w:spacing w:line="360" w:lineRule="auto"/>
        <w:rPr>
          <w:rFonts w:ascii="Arial" w:hAnsi="Arial" w:cs="Arial"/>
        </w:rPr>
      </w:pPr>
      <w:r w:rsidRPr="003D2F28">
        <w:rPr>
          <w:rFonts w:ascii="Arial" w:hAnsi="Arial" w:cs="Arial"/>
        </w:rPr>
        <w:t>Available at:</w:t>
      </w:r>
      <w:r w:rsidR="005F78A9" w:rsidRPr="003D2F28">
        <w:rPr>
          <w:rFonts w:ascii="Arial" w:hAnsi="Arial" w:cs="Arial"/>
        </w:rPr>
        <w:t xml:space="preserve"> </w:t>
      </w:r>
      <w:hyperlink r:id="rId14" w:history="1">
        <w:r w:rsidR="005F78A9" w:rsidRPr="003D2F28">
          <w:rPr>
            <w:rStyle w:val="Hyperlink"/>
            <w:rFonts w:ascii="Arial" w:hAnsi="Arial" w:cs="Arial"/>
          </w:rPr>
          <w:t>https://www.bma.org.uk/</w:t>
        </w:r>
      </w:hyperlink>
      <w:r w:rsidR="005F78A9" w:rsidRPr="003D2F28">
        <w:rPr>
          <w:rFonts w:ascii="Arial" w:hAnsi="Arial" w:cs="Arial"/>
        </w:rPr>
        <w:t xml:space="preserve"> </w:t>
      </w:r>
      <w:r w:rsidRPr="003D2F28">
        <w:rPr>
          <w:rFonts w:ascii="Arial" w:hAnsi="Arial" w:cs="Arial"/>
        </w:rPr>
        <w:t xml:space="preserve"> (Accessed: 18 July 2026).</w:t>
      </w:r>
    </w:p>
    <w:p w14:paraId="17BA048A" w14:textId="77777777" w:rsidR="009E2DC1" w:rsidRPr="003D2F28" w:rsidRDefault="009E2DC1" w:rsidP="003D2F28">
      <w:pPr>
        <w:spacing w:line="360" w:lineRule="auto"/>
        <w:rPr>
          <w:rFonts w:ascii="Arial" w:hAnsi="Arial" w:cs="Arial"/>
        </w:rPr>
      </w:pPr>
    </w:p>
    <w:p w14:paraId="564CE245" w14:textId="77777777" w:rsidR="009E2DC1" w:rsidRPr="003D2F28" w:rsidRDefault="009E2DC1" w:rsidP="003D2F28">
      <w:pPr>
        <w:spacing w:line="360" w:lineRule="auto"/>
        <w:rPr>
          <w:rFonts w:ascii="Arial" w:hAnsi="Arial" w:cs="Arial"/>
        </w:rPr>
      </w:pPr>
      <w:r w:rsidRPr="003D2F28">
        <w:rPr>
          <w:rFonts w:ascii="Arial" w:hAnsi="Arial" w:cs="Arial"/>
        </w:rPr>
        <w:t xml:space="preserve">Cummins, I. (2021) </w:t>
      </w:r>
      <w:r w:rsidRPr="003D2F28">
        <w:rPr>
          <w:rFonts w:ascii="Arial" w:hAnsi="Arial" w:cs="Arial"/>
          <w:i/>
          <w:iCs/>
        </w:rPr>
        <w:t>Mental health services and policy.</w:t>
      </w:r>
      <w:r w:rsidRPr="003D2F28">
        <w:rPr>
          <w:rFonts w:ascii="Arial" w:hAnsi="Arial" w:cs="Arial"/>
        </w:rPr>
        <w:t xml:space="preserve"> London: Routledge.</w:t>
      </w:r>
    </w:p>
    <w:p w14:paraId="5E915D7C" w14:textId="763ABF54"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15" w:history="1">
        <w:r w:rsidR="00B0257C" w:rsidRPr="003D2F28">
          <w:rPr>
            <w:rStyle w:val="Hyperlink"/>
            <w:rFonts w:ascii="Arial" w:hAnsi="Arial" w:cs="Arial"/>
          </w:rPr>
          <w:t>https://www.routledge.com/Mental-Health-Services-and-Policy/Cummins/p/book/9780367480443</w:t>
        </w:r>
      </w:hyperlink>
      <w:r w:rsidR="00B0257C" w:rsidRPr="003D2F28">
        <w:rPr>
          <w:rFonts w:ascii="Arial" w:hAnsi="Arial" w:cs="Arial"/>
        </w:rPr>
        <w:t xml:space="preserve"> (routledge.com in Bing) </w:t>
      </w:r>
      <w:r w:rsidRPr="003D2F28">
        <w:rPr>
          <w:rFonts w:ascii="Arial" w:hAnsi="Arial" w:cs="Arial"/>
        </w:rPr>
        <w:t>(Accessed: 18 July 2026).</w:t>
      </w:r>
    </w:p>
    <w:p w14:paraId="09BC57E2" w14:textId="77777777" w:rsidR="009E2DC1" w:rsidRPr="003D2F28" w:rsidRDefault="009E2DC1" w:rsidP="003D2F28">
      <w:pPr>
        <w:spacing w:line="360" w:lineRule="auto"/>
        <w:rPr>
          <w:rFonts w:ascii="Arial" w:hAnsi="Arial" w:cs="Arial"/>
        </w:rPr>
      </w:pPr>
    </w:p>
    <w:p w14:paraId="198439EB" w14:textId="77777777" w:rsidR="009E2DC1" w:rsidRPr="003D2F28" w:rsidRDefault="009E2DC1" w:rsidP="003D2F28">
      <w:pPr>
        <w:spacing w:line="360" w:lineRule="auto"/>
        <w:rPr>
          <w:rFonts w:ascii="Arial" w:hAnsi="Arial" w:cs="Arial"/>
        </w:rPr>
      </w:pPr>
      <w:r w:rsidRPr="003D2F28">
        <w:rPr>
          <w:rFonts w:ascii="Arial" w:hAnsi="Arial" w:cs="Arial"/>
        </w:rPr>
        <w:t xml:space="preserve">Department of Health (1990) </w:t>
      </w:r>
      <w:r w:rsidRPr="003D2F28">
        <w:rPr>
          <w:rFonts w:ascii="Arial" w:hAnsi="Arial" w:cs="Arial"/>
          <w:i/>
          <w:iCs/>
        </w:rPr>
        <w:t xml:space="preserve">National Health Service and Community Care Act 1990. </w:t>
      </w:r>
      <w:r w:rsidRPr="003D2F28">
        <w:rPr>
          <w:rFonts w:ascii="Arial" w:hAnsi="Arial" w:cs="Arial"/>
        </w:rPr>
        <w:t>London: HMSO.</w:t>
      </w:r>
    </w:p>
    <w:p w14:paraId="00AEA46C" w14:textId="11333083"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16" w:history="1">
        <w:r w:rsidR="0072771F" w:rsidRPr="003D2F28">
          <w:rPr>
            <w:rStyle w:val="Hyperlink"/>
            <w:rFonts w:ascii="Arial" w:hAnsi="Arial" w:cs="Arial"/>
          </w:rPr>
          <w:t>https://www.legislation.gov.uk/ukpga/1990/19</w:t>
        </w:r>
      </w:hyperlink>
      <w:r w:rsidR="0072771F" w:rsidRPr="003D2F28">
        <w:rPr>
          <w:rFonts w:ascii="Arial" w:hAnsi="Arial" w:cs="Arial"/>
        </w:rPr>
        <w:t xml:space="preserve"> </w:t>
      </w:r>
      <w:r w:rsidRPr="003D2F28">
        <w:rPr>
          <w:rFonts w:ascii="Arial" w:hAnsi="Arial" w:cs="Arial"/>
        </w:rPr>
        <w:t>(legislation.gov.uk in Bing) (Accessed: 18 July 2026).</w:t>
      </w:r>
    </w:p>
    <w:p w14:paraId="46E6719D" w14:textId="77777777" w:rsidR="009E2DC1" w:rsidRPr="003D2F28" w:rsidRDefault="009E2DC1" w:rsidP="003D2F28">
      <w:pPr>
        <w:spacing w:line="360" w:lineRule="auto"/>
        <w:rPr>
          <w:rFonts w:ascii="Arial" w:hAnsi="Arial" w:cs="Arial"/>
        </w:rPr>
      </w:pPr>
    </w:p>
    <w:p w14:paraId="11A17E96" w14:textId="77777777" w:rsidR="009E2DC1" w:rsidRPr="003D2F28" w:rsidRDefault="009E2DC1" w:rsidP="003D2F28">
      <w:pPr>
        <w:spacing w:line="360" w:lineRule="auto"/>
        <w:rPr>
          <w:rFonts w:ascii="Arial" w:hAnsi="Arial" w:cs="Arial"/>
        </w:rPr>
      </w:pPr>
      <w:r w:rsidRPr="003D2F28">
        <w:rPr>
          <w:rFonts w:ascii="Arial" w:hAnsi="Arial" w:cs="Arial"/>
        </w:rPr>
        <w:t xml:space="preserve">Health and Social Care Committee (2025) </w:t>
      </w:r>
      <w:r w:rsidRPr="003D2F28">
        <w:rPr>
          <w:rFonts w:ascii="Arial" w:hAnsi="Arial" w:cs="Arial"/>
          <w:i/>
          <w:iCs/>
        </w:rPr>
        <w:t xml:space="preserve">Community mental health services inquiry report. </w:t>
      </w:r>
      <w:r w:rsidRPr="003D2F28">
        <w:rPr>
          <w:rFonts w:ascii="Arial" w:hAnsi="Arial" w:cs="Arial"/>
        </w:rPr>
        <w:t>London: House of Commons.</w:t>
      </w:r>
    </w:p>
    <w:p w14:paraId="7B820AAB" w14:textId="1EC89099"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17" w:history="1">
        <w:r w:rsidR="0073625D" w:rsidRPr="003D2F28">
          <w:rPr>
            <w:rStyle w:val="Hyperlink"/>
            <w:rFonts w:ascii="Arial" w:hAnsi="Arial" w:cs="Arial"/>
          </w:rPr>
          <w:t>https://committees.parliament.uk/committee/81/health-and-social-care-committee/</w:t>
        </w:r>
      </w:hyperlink>
      <w:r w:rsidR="0073625D" w:rsidRPr="003D2F28">
        <w:rPr>
          <w:rFonts w:ascii="Arial" w:hAnsi="Arial" w:cs="Arial"/>
        </w:rPr>
        <w:t xml:space="preserve"> </w:t>
      </w:r>
      <w:r w:rsidRPr="003D2F28">
        <w:rPr>
          <w:rFonts w:ascii="Arial" w:hAnsi="Arial" w:cs="Arial"/>
        </w:rPr>
        <w:t>(committees.parliament.uk in Bing) (Accessed: 18 July 2026).</w:t>
      </w:r>
    </w:p>
    <w:p w14:paraId="46E03B94" w14:textId="77777777" w:rsidR="009E2DC1" w:rsidRPr="003D2F28" w:rsidRDefault="009E2DC1" w:rsidP="003D2F28">
      <w:pPr>
        <w:spacing w:line="360" w:lineRule="auto"/>
        <w:rPr>
          <w:rFonts w:ascii="Arial" w:hAnsi="Arial" w:cs="Arial"/>
        </w:rPr>
      </w:pPr>
    </w:p>
    <w:p w14:paraId="235A878A" w14:textId="77777777" w:rsidR="009E2DC1" w:rsidRPr="003D2F28" w:rsidRDefault="009E2DC1" w:rsidP="003D2F28">
      <w:pPr>
        <w:spacing w:line="360" w:lineRule="auto"/>
        <w:rPr>
          <w:rFonts w:ascii="Arial" w:hAnsi="Arial" w:cs="Arial"/>
        </w:rPr>
      </w:pPr>
      <w:r w:rsidRPr="003D2F28">
        <w:rPr>
          <w:rFonts w:ascii="Arial" w:hAnsi="Arial" w:cs="Arial"/>
        </w:rPr>
        <w:t xml:space="preserve">House of Commons Library (2024) </w:t>
      </w:r>
      <w:r w:rsidRPr="003D2F28">
        <w:rPr>
          <w:rFonts w:ascii="Arial" w:hAnsi="Arial" w:cs="Arial"/>
          <w:i/>
          <w:iCs/>
        </w:rPr>
        <w:t>NHS dentistry in England</w:t>
      </w:r>
      <w:r w:rsidRPr="003D2F28">
        <w:rPr>
          <w:rFonts w:ascii="Arial" w:hAnsi="Arial" w:cs="Arial"/>
        </w:rPr>
        <w:t xml:space="preserve"> (Research Briefing CBP</w:t>
      </w:r>
      <w:r w:rsidRPr="003D2F28">
        <w:rPr>
          <w:rFonts w:ascii="Cambria Math" w:hAnsi="Cambria Math" w:cs="Cambria Math"/>
        </w:rPr>
        <w:t>‑</w:t>
      </w:r>
      <w:r w:rsidRPr="003D2F28">
        <w:rPr>
          <w:rFonts w:ascii="Arial" w:hAnsi="Arial" w:cs="Arial"/>
        </w:rPr>
        <w:t>9597). London: Parliament UK.</w:t>
      </w:r>
    </w:p>
    <w:p w14:paraId="630E8CC0" w14:textId="401CEC1E"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18" w:history="1">
        <w:r w:rsidR="00C575BE" w:rsidRPr="003D2F28">
          <w:rPr>
            <w:rStyle w:val="Hyperlink"/>
            <w:rFonts w:ascii="Arial" w:hAnsi="Arial" w:cs="Arial"/>
          </w:rPr>
          <w:t>https://commonslibrary.parliament.uk/research-briefings/cbp-9597/</w:t>
        </w:r>
      </w:hyperlink>
      <w:r w:rsidR="00C575BE" w:rsidRPr="003D2F28">
        <w:rPr>
          <w:rFonts w:ascii="Arial" w:hAnsi="Arial" w:cs="Arial"/>
        </w:rPr>
        <w:t xml:space="preserve">      </w:t>
      </w:r>
      <w:r w:rsidRPr="003D2F28">
        <w:rPr>
          <w:rFonts w:ascii="Arial" w:hAnsi="Arial" w:cs="Arial"/>
        </w:rPr>
        <w:t>(commonslibrary.parliament.uk in Bing) (Accessed: 18 July 2026).</w:t>
      </w:r>
    </w:p>
    <w:p w14:paraId="403A96DD" w14:textId="77777777" w:rsidR="009E2DC1" w:rsidRPr="003D2F28" w:rsidRDefault="009E2DC1" w:rsidP="003D2F28">
      <w:pPr>
        <w:spacing w:line="360" w:lineRule="auto"/>
        <w:rPr>
          <w:rFonts w:ascii="Arial" w:hAnsi="Arial" w:cs="Arial"/>
        </w:rPr>
      </w:pPr>
    </w:p>
    <w:p w14:paraId="240219A6" w14:textId="77777777" w:rsidR="00DC5D6B" w:rsidRPr="003D2F28" w:rsidRDefault="00DC5D6B" w:rsidP="003D2F28">
      <w:pPr>
        <w:spacing w:line="360" w:lineRule="auto"/>
        <w:rPr>
          <w:rFonts w:ascii="Arial" w:hAnsi="Arial" w:cs="Arial"/>
        </w:rPr>
      </w:pPr>
    </w:p>
    <w:p w14:paraId="22BA7274" w14:textId="2E162E7C" w:rsidR="009E2DC1" w:rsidRPr="003D2F28" w:rsidRDefault="009E2DC1" w:rsidP="003D2F28">
      <w:pPr>
        <w:spacing w:line="360" w:lineRule="auto"/>
        <w:rPr>
          <w:rFonts w:ascii="Arial" w:hAnsi="Arial" w:cs="Arial"/>
        </w:rPr>
      </w:pPr>
      <w:r w:rsidRPr="003D2F28">
        <w:rPr>
          <w:rFonts w:ascii="Arial" w:hAnsi="Arial" w:cs="Arial"/>
        </w:rPr>
        <w:lastRenderedPageBreak/>
        <w:t xml:space="preserve">King’s Fund (2023a) </w:t>
      </w:r>
      <w:r w:rsidRPr="003D2F28">
        <w:rPr>
          <w:rFonts w:ascii="Arial" w:hAnsi="Arial" w:cs="Arial"/>
          <w:i/>
          <w:iCs/>
        </w:rPr>
        <w:t>Mental health services in England explained.</w:t>
      </w:r>
      <w:r w:rsidRPr="003D2F28">
        <w:rPr>
          <w:rFonts w:ascii="Arial" w:hAnsi="Arial" w:cs="Arial"/>
        </w:rPr>
        <w:t xml:space="preserve"> London: The King’s Fund.</w:t>
      </w:r>
    </w:p>
    <w:p w14:paraId="65C5A1A2" w14:textId="7FE7B59E" w:rsidR="009E2DC1" w:rsidRPr="003D2F28" w:rsidRDefault="009E2DC1" w:rsidP="003D2F28">
      <w:pPr>
        <w:spacing w:line="360" w:lineRule="auto"/>
        <w:rPr>
          <w:rFonts w:ascii="Arial" w:hAnsi="Arial" w:cs="Arial"/>
        </w:rPr>
      </w:pPr>
      <w:r w:rsidRPr="003D2F28">
        <w:rPr>
          <w:rFonts w:ascii="Arial" w:hAnsi="Arial" w:cs="Arial"/>
        </w:rPr>
        <w:t>Available at:</w:t>
      </w:r>
      <w:r w:rsidR="008A1A26" w:rsidRPr="003D2F28">
        <w:rPr>
          <w:rFonts w:ascii="Arial" w:hAnsi="Arial" w:cs="Arial"/>
        </w:rPr>
        <w:t xml:space="preserve"> </w:t>
      </w:r>
      <w:hyperlink r:id="rId19" w:history="1">
        <w:r w:rsidR="008A1A26" w:rsidRPr="003D2F28">
          <w:rPr>
            <w:rStyle w:val="Hyperlink"/>
            <w:rFonts w:ascii="Arial" w:hAnsi="Arial" w:cs="Arial"/>
          </w:rPr>
          <w:t>https://www.kingsfund.org.uk/publications/mental-health-services-england</w:t>
        </w:r>
      </w:hyperlink>
      <w:r w:rsidR="008A1A26" w:rsidRPr="003D2F28">
        <w:rPr>
          <w:rFonts w:ascii="Arial" w:hAnsi="Arial" w:cs="Arial"/>
        </w:rPr>
        <w:t xml:space="preserve"> </w:t>
      </w:r>
      <w:r w:rsidR="00C30A0C" w:rsidRPr="003D2F28">
        <w:rPr>
          <w:rFonts w:ascii="Arial" w:hAnsi="Arial" w:cs="Arial"/>
          <w:color w:val="C00000"/>
        </w:rPr>
        <w:t xml:space="preserve"> </w:t>
      </w:r>
      <w:r w:rsidRPr="003D2F28">
        <w:rPr>
          <w:rFonts w:ascii="Arial" w:hAnsi="Arial" w:cs="Arial"/>
        </w:rPr>
        <w:t>(kingsfund.org.uk in Bing) (Accessed: 18 July 2026).</w:t>
      </w:r>
    </w:p>
    <w:p w14:paraId="69D6A75B" w14:textId="77777777" w:rsidR="009E2DC1" w:rsidRPr="003D2F28" w:rsidRDefault="009E2DC1" w:rsidP="003D2F28">
      <w:pPr>
        <w:spacing w:line="360" w:lineRule="auto"/>
        <w:rPr>
          <w:rFonts w:ascii="Arial" w:hAnsi="Arial" w:cs="Arial"/>
        </w:rPr>
      </w:pPr>
    </w:p>
    <w:p w14:paraId="6ADF304A" w14:textId="77777777" w:rsidR="009E2DC1" w:rsidRPr="003D2F28" w:rsidRDefault="009E2DC1" w:rsidP="003D2F28">
      <w:pPr>
        <w:spacing w:line="360" w:lineRule="auto"/>
        <w:rPr>
          <w:rFonts w:ascii="Arial" w:hAnsi="Arial" w:cs="Arial"/>
        </w:rPr>
      </w:pPr>
      <w:r w:rsidRPr="003D2F28">
        <w:rPr>
          <w:rFonts w:ascii="Arial" w:hAnsi="Arial" w:cs="Arial"/>
        </w:rPr>
        <w:t xml:space="preserve">King’s Fund (2023b) </w:t>
      </w:r>
      <w:r w:rsidRPr="003D2F28">
        <w:rPr>
          <w:rFonts w:ascii="Arial" w:hAnsi="Arial" w:cs="Arial"/>
          <w:i/>
          <w:iCs/>
        </w:rPr>
        <w:t>NHS dentistry in England explained.</w:t>
      </w:r>
      <w:r w:rsidRPr="003D2F28">
        <w:rPr>
          <w:rFonts w:ascii="Arial" w:hAnsi="Arial" w:cs="Arial"/>
        </w:rPr>
        <w:t xml:space="preserve"> London: The King’s Fund.</w:t>
      </w:r>
    </w:p>
    <w:p w14:paraId="0F4C65BF" w14:textId="08372FAC" w:rsidR="009E2DC1" w:rsidRPr="003D2F28" w:rsidRDefault="009E2DC1" w:rsidP="003D2F28">
      <w:pPr>
        <w:spacing w:line="360" w:lineRule="auto"/>
        <w:rPr>
          <w:rFonts w:ascii="Arial" w:hAnsi="Arial" w:cs="Arial"/>
        </w:rPr>
      </w:pPr>
      <w:r w:rsidRPr="003D2F28">
        <w:rPr>
          <w:rFonts w:ascii="Arial" w:hAnsi="Arial" w:cs="Arial"/>
        </w:rPr>
        <w:t>Available at:</w:t>
      </w:r>
      <w:r w:rsidR="00E41363" w:rsidRPr="003D2F28">
        <w:rPr>
          <w:rFonts w:ascii="Arial" w:hAnsi="Arial" w:cs="Arial"/>
        </w:rPr>
        <w:t xml:space="preserve"> </w:t>
      </w:r>
      <w:hyperlink r:id="rId20" w:history="1">
        <w:r w:rsidR="00E41363" w:rsidRPr="003D2F28">
          <w:rPr>
            <w:rStyle w:val="Hyperlink"/>
            <w:rFonts w:ascii="Arial" w:hAnsi="Arial" w:cs="Arial"/>
          </w:rPr>
          <w:t>https://www.kingsfund.org.uk/publications/nhs-dentistry-england</w:t>
        </w:r>
      </w:hyperlink>
      <w:r w:rsidR="00E41363" w:rsidRPr="003D2F28">
        <w:rPr>
          <w:rFonts w:ascii="Arial" w:hAnsi="Arial" w:cs="Arial"/>
        </w:rPr>
        <w:t xml:space="preserve"> </w:t>
      </w:r>
      <w:r w:rsidRPr="003D2F28">
        <w:rPr>
          <w:rFonts w:ascii="Arial" w:hAnsi="Arial" w:cs="Arial"/>
          <w:color w:val="C00000"/>
        </w:rPr>
        <w:t xml:space="preserve"> </w:t>
      </w:r>
      <w:r w:rsidRPr="003D2F28">
        <w:rPr>
          <w:rFonts w:ascii="Arial" w:hAnsi="Arial" w:cs="Arial"/>
        </w:rPr>
        <w:t>(kingsfund.org.uk in Bing) (Accessed: 18 July 2026).</w:t>
      </w:r>
    </w:p>
    <w:p w14:paraId="00E8025E" w14:textId="77777777" w:rsidR="009E2DC1" w:rsidRPr="003D2F28" w:rsidRDefault="009E2DC1" w:rsidP="003D2F28">
      <w:pPr>
        <w:spacing w:line="360" w:lineRule="auto"/>
        <w:rPr>
          <w:rFonts w:ascii="Arial" w:hAnsi="Arial" w:cs="Arial"/>
        </w:rPr>
      </w:pPr>
    </w:p>
    <w:p w14:paraId="5FAF898B" w14:textId="77777777" w:rsidR="009E2DC1" w:rsidRPr="003D2F28" w:rsidRDefault="009E2DC1" w:rsidP="003D2F28">
      <w:pPr>
        <w:spacing w:line="360" w:lineRule="auto"/>
        <w:rPr>
          <w:rFonts w:ascii="Arial" w:hAnsi="Arial" w:cs="Arial"/>
        </w:rPr>
      </w:pPr>
      <w:r w:rsidRPr="003D2F28">
        <w:rPr>
          <w:rFonts w:ascii="Arial" w:hAnsi="Arial" w:cs="Arial"/>
        </w:rPr>
        <w:t>Mind (2025</w:t>
      </w:r>
      <w:r w:rsidRPr="003D2F28">
        <w:rPr>
          <w:rFonts w:ascii="Arial" w:hAnsi="Arial" w:cs="Arial"/>
          <w:i/>
          <w:iCs/>
        </w:rPr>
        <w:t>) Integrated care and community mental health frameworks.</w:t>
      </w:r>
      <w:r w:rsidRPr="003D2F28">
        <w:rPr>
          <w:rFonts w:ascii="Arial" w:hAnsi="Arial" w:cs="Arial"/>
        </w:rPr>
        <w:t xml:space="preserve"> London: Mind.</w:t>
      </w:r>
    </w:p>
    <w:p w14:paraId="6C3C7894" w14:textId="13289C06"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21" w:history="1">
        <w:r w:rsidR="00CD3FA1" w:rsidRPr="003D2F28">
          <w:rPr>
            <w:rStyle w:val="Hyperlink"/>
            <w:rFonts w:ascii="Arial" w:hAnsi="Arial" w:cs="Arial"/>
          </w:rPr>
          <w:t>https://www.mind.org.uk/media/zianu2rn/mind_the-big-mental-health-report_digital4.pdf</w:t>
        </w:r>
      </w:hyperlink>
      <w:r w:rsidR="00CD3FA1" w:rsidRPr="003D2F28">
        <w:rPr>
          <w:rFonts w:ascii="Arial" w:hAnsi="Arial" w:cs="Arial"/>
        </w:rPr>
        <w:t xml:space="preserve"> </w:t>
      </w:r>
      <w:r w:rsidRPr="003D2F28">
        <w:rPr>
          <w:rFonts w:ascii="Arial" w:hAnsi="Arial" w:cs="Arial"/>
        </w:rPr>
        <w:t>(Accessed: 18 July 2026).</w:t>
      </w:r>
    </w:p>
    <w:p w14:paraId="66EABE53" w14:textId="77777777" w:rsidR="009E2DC1" w:rsidRPr="003D2F28" w:rsidRDefault="009E2DC1" w:rsidP="003D2F28">
      <w:pPr>
        <w:spacing w:line="360" w:lineRule="auto"/>
        <w:rPr>
          <w:rFonts w:ascii="Arial" w:hAnsi="Arial" w:cs="Arial"/>
        </w:rPr>
      </w:pPr>
    </w:p>
    <w:p w14:paraId="56945A08" w14:textId="77777777" w:rsidR="009E2DC1" w:rsidRPr="003D2F28" w:rsidRDefault="009E2DC1" w:rsidP="003D2F28">
      <w:pPr>
        <w:spacing w:line="360" w:lineRule="auto"/>
        <w:rPr>
          <w:rFonts w:ascii="Arial" w:hAnsi="Arial" w:cs="Arial"/>
        </w:rPr>
      </w:pPr>
      <w:r w:rsidRPr="003D2F28">
        <w:rPr>
          <w:rFonts w:ascii="Arial" w:hAnsi="Arial" w:cs="Arial"/>
        </w:rPr>
        <w:t xml:space="preserve">Milsom, K.M., Tickle, M., Threlfall, A.G. and Blinkhorn, A.S. (2008) ‘The introduction of the 2006 general dental services contract in England’, </w:t>
      </w:r>
      <w:r w:rsidRPr="003D2F28">
        <w:rPr>
          <w:rFonts w:ascii="Arial" w:hAnsi="Arial" w:cs="Arial"/>
          <w:i/>
          <w:iCs/>
        </w:rPr>
        <w:t>British Dental Journal,</w:t>
      </w:r>
      <w:r w:rsidRPr="003D2F28">
        <w:rPr>
          <w:rFonts w:ascii="Arial" w:hAnsi="Arial" w:cs="Arial"/>
        </w:rPr>
        <w:t xml:space="preserve"> 204(1), pp. 29–32.</w:t>
      </w:r>
    </w:p>
    <w:p w14:paraId="144EC39E" w14:textId="674CC882"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22" w:history="1">
        <w:r w:rsidR="004A6577" w:rsidRPr="003D2F28">
          <w:rPr>
            <w:rStyle w:val="Hyperlink"/>
            <w:rFonts w:ascii="Arial" w:hAnsi="Arial" w:cs="Arial"/>
          </w:rPr>
          <w:t>https://www.nature.com/articles/bdj20081</w:t>
        </w:r>
      </w:hyperlink>
      <w:r w:rsidR="004A6577" w:rsidRPr="003D2F28">
        <w:rPr>
          <w:rFonts w:ascii="Arial" w:hAnsi="Arial" w:cs="Arial"/>
        </w:rPr>
        <w:t xml:space="preserve"> </w:t>
      </w:r>
      <w:r w:rsidRPr="003D2F28">
        <w:rPr>
          <w:rFonts w:ascii="Arial" w:hAnsi="Arial" w:cs="Arial"/>
        </w:rPr>
        <w:t>(Accessed: 18 July 2026).</w:t>
      </w:r>
    </w:p>
    <w:p w14:paraId="2CB34EA7" w14:textId="77777777" w:rsidR="009E2DC1" w:rsidRPr="003D2F28" w:rsidRDefault="009E2DC1" w:rsidP="003D2F28">
      <w:pPr>
        <w:spacing w:line="360" w:lineRule="auto"/>
        <w:rPr>
          <w:rFonts w:ascii="Arial" w:hAnsi="Arial" w:cs="Arial"/>
        </w:rPr>
      </w:pPr>
    </w:p>
    <w:p w14:paraId="75DD36BB" w14:textId="77777777" w:rsidR="009E2DC1" w:rsidRPr="003D2F28" w:rsidRDefault="009E2DC1" w:rsidP="003D2F28">
      <w:pPr>
        <w:spacing w:line="360" w:lineRule="auto"/>
        <w:rPr>
          <w:rFonts w:ascii="Arial" w:hAnsi="Arial" w:cs="Arial"/>
        </w:rPr>
      </w:pPr>
      <w:r w:rsidRPr="003D2F28">
        <w:rPr>
          <w:rFonts w:ascii="Arial" w:hAnsi="Arial" w:cs="Arial"/>
        </w:rPr>
        <w:t xml:space="preserve">National Audit Office (NAO) (2024) </w:t>
      </w:r>
      <w:r w:rsidRPr="003D2F28">
        <w:rPr>
          <w:rFonts w:ascii="Arial" w:hAnsi="Arial" w:cs="Arial"/>
          <w:i/>
          <w:iCs/>
        </w:rPr>
        <w:t>Investigation into the NHS dental recovery plan.</w:t>
      </w:r>
      <w:r w:rsidRPr="003D2F28">
        <w:rPr>
          <w:rFonts w:ascii="Arial" w:hAnsi="Arial" w:cs="Arial"/>
        </w:rPr>
        <w:t xml:space="preserve"> London: National Audit Office.</w:t>
      </w:r>
    </w:p>
    <w:p w14:paraId="42898A83" w14:textId="62F84E49"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23" w:history="1">
        <w:r w:rsidR="004B0221" w:rsidRPr="003D2F28">
          <w:rPr>
            <w:rStyle w:val="Hyperlink"/>
            <w:rFonts w:ascii="Arial" w:hAnsi="Arial" w:cs="Arial"/>
          </w:rPr>
          <w:t>https://www.nao.org.uk</w:t>
        </w:r>
      </w:hyperlink>
      <w:r w:rsidR="004B0221" w:rsidRPr="003D2F28">
        <w:rPr>
          <w:rFonts w:ascii="Arial" w:hAnsi="Arial" w:cs="Arial"/>
        </w:rPr>
        <w:t xml:space="preserve"> </w:t>
      </w:r>
      <w:r w:rsidRPr="003D2F28">
        <w:rPr>
          <w:rFonts w:ascii="Arial" w:hAnsi="Arial" w:cs="Arial"/>
        </w:rPr>
        <w:t>(Accessed: 18 July 2026).</w:t>
      </w:r>
    </w:p>
    <w:p w14:paraId="319390B1" w14:textId="77777777" w:rsidR="009E2DC1" w:rsidRPr="003D2F28" w:rsidRDefault="009E2DC1" w:rsidP="003D2F28">
      <w:pPr>
        <w:spacing w:line="360" w:lineRule="auto"/>
        <w:rPr>
          <w:rFonts w:ascii="Arial" w:hAnsi="Arial" w:cs="Arial"/>
        </w:rPr>
      </w:pPr>
    </w:p>
    <w:p w14:paraId="0522AC9F" w14:textId="77777777" w:rsidR="009E2DC1" w:rsidRPr="003D2F28" w:rsidRDefault="009E2DC1" w:rsidP="003D2F28">
      <w:pPr>
        <w:spacing w:line="360" w:lineRule="auto"/>
        <w:rPr>
          <w:rFonts w:ascii="Arial" w:hAnsi="Arial" w:cs="Arial"/>
        </w:rPr>
      </w:pPr>
      <w:r w:rsidRPr="003D2F28">
        <w:rPr>
          <w:rFonts w:ascii="Arial" w:hAnsi="Arial" w:cs="Arial"/>
        </w:rPr>
        <w:t xml:space="preserve">Welsh Government (2024) </w:t>
      </w:r>
      <w:r w:rsidRPr="003D2F28">
        <w:rPr>
          <w:rFonts w:ascii="Arial" w:hAnsi="Arial" w:cs="Arial"/>
          <w:i/>
          <w:iCs/>
        </w:rPr>
        <w:t>NHS dental services, October to December 2023.</w:t>
      </w:r>
    </w:p>
    <w:p w14:paraId="16FB39CA" w14:textId="4722436D" w:rsidR="009E2DC1" w:rsidRPr="003D2F28" w:rsidRDefault="009E2DC1" w:rsidP="003D2F28">
      <w:pPr>
        <w:spacing w:line="360" w:lineRule="auto"/>
        <w:rPr>
          <w:rFonts w:ascii="Arial" w:hAnsi="Arial" w:cs="Arial"/>
        </w:rPr>
      </w:pPr>
      <w:r w:rsidRPr="003D2F28">
        <w:rPr>
          <w:rFonts w:ascii="Arial" w:hAnsi="Arial" w:cs="Arial"/>
        </w:rPr>
        <w:t xml:space="preserve">Available at: </w:t>
      </w:r>
      <w:hyperlink r:id="rId24" w:history="1">
        <w:r w:rsidR="00AB61BD" w:rsidRPr="003D2F28">
          <w:rPr>
            <w:rStyle w:val="Hyperlink"/>
            <w:rFonts w:ascii="Arial" w:hAnsi="Arial" w:cs="Arial"/>
          </w:rPr>
          <w:t>https://www.gov.wales/nhs-dental-services-october-december-2023-html</w:t>
        </w:r>
      </w:hyperlink>
      <w:r w:rsidR="00AB61BD" w:rsidRPr="003D2F28">
        <w:rPr>
          <w:rFonts w:ascii="Arial" w:hAnsi="Arial" w:cs="Arial"/>
        </w:rPr>
        <w:t xml:space="preserve"> </w:t>
      </w:r>
      <w:r w:rsidRPr="003D2F28">
        <w:rPr>
          <w:rFonts w:ascii="Arial" w:hAnsi="Arial" w:cs="Arial"/>
        </w:rPr>
        <w:t xml:space="preserve"> (Accessed: 18 July 2026).</w:t>
      </w:r>
    </w:p>
    <w:sectPr w:rsidR="009E2DC1" w:rsidRPr="003D2F28"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B5D4F" w14:textId="77777777" w:rsidR="007B0971" w:rsidRDefault="007B0971" w:rsidP="00BE6BE0">
      <w:pPr>
        <w:spacing w:after="0" w:line="240" w:lineRule="auto"/>
      </w:pPr>
      <w:r>
        <w:separator/>
      </w:r>
    </w:p>
  </w:endnote>
  <w:endnote w:type="continuationSeparator" w:id="0">
    <w:p w14:paraId="65A41557" w14:textId="77777777" w:rsidR="007B0971" w:rsidRDefault="007B097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2091758"/>
      <w:docPartObj>
        <w:docPartGallery w:val="Page Numbers (Bottom of Page)"/>
        <w:docPartUnique/>
      </w:docPartObj>
    </w:sdtPr>
    <w:sdtContent>
      <w:p w14:paraId="08C2C52C" w14:textId="62082AB3" w:rsidR="00202913" w:rsidRDefault="00202913">
        <w:pPr>
          <w:pStyle w:val="Footer"/>
          <w:jc w:val="center"/>
        </w:pPr>
        <w:r>
          <w:fldChar w:fldCharType="begin"/>
        </w:r>
        <w:r>
          <w:instrText>PAGE   \* MERGEFORMAT</w:instrText>
        </w:r>
        <w:r>
          <w:fldChar w:fldCharType="separate"/>
        </w:r>
        <w:r>
          <w:t>2</w:t>
        </w:r>
        <w: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E1F10" w14:textId="77777777" w:rsidR="007B0971" w:rsidRDefault="007B0971" w:rsidP="00BE6BE0">
      <w:pPr>
        <w:spacing w:after="0" w:line="240" w:lineRule="auto"/>
      </w:pPr>
      <w:r>
        <w:separator/>
      </w:r>
    </w:p>
  </w:footnote>
  <w:footnote w:type="continuationSeparator" w:id="0">
    <w:p w14:paraId="4DFEC195" w14:textId="77777777" w:rsidR="007B0971" w:rsidRDefault="007B097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261367401" name="Picture 126136740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753F3D"/>
    <w:multiLevelType w:val="hybridMultilevel"/>
    <w:tmpl w:val="ACC81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4280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576"/>
    <w:rsid w:val="00007F0A"/>
    <w:rsid w:val="00014131"/>
    <w:rsid w:val="00032692"/>
    <w:rsid w:val="00033E29"/>
    <w:rsid w:val="000345D0"/>
    <w:rsid w:val="00044648"/>
    <w:rsid w:val="000464A0"/>
    <w:rsid w:val="00056EB1"/>
    <w:rsid w:val="00070D94"/>
    <w:rsid w:val="00077F03"/>
    <w:rsid w:val="0009596A"/>
    <w:rsid w:val="000B1BD2"/>
    <w:rsid w:val="000B3087"/>
    <w:rsid w:val="000E5548"/>
    <w:rsid w:val="000F7896"/>
    <w:rsid w:val="001046BC"/>
    <w:rsid w:val="00106A4E"/>
    <w:rsid w:val="00111A75"/>
    <w:rsid w:val="00114A85"/>
    <w:rsid w:val="00135FD3"/>
    <w:rsid w:val="001421B9"/>
    <w:rsid w:val="00196023"/>
    <w:rsid w:val="001A3499"/>
    <w:rsid w:val="001A619B"/>
    <w:rsid w:val="001B3B5D"/>
    <w:rsid w:val="001C11F8"/>
    <w:rsid w:val="001D2ADE"/>
    <w:rsid w:val="001E4FA5"/>
    <w:rsid w:val="001F7BD8"/>
    <w:rsid w:val="00202913"/>
    <w:rsid w:val="002060AA"/>
    <w:rsid w:val="0022331B"/>
    <w:rsid w:val="00230380"/>
    <w:rsid w:val="00240CDA"/>
    <w:rsid w:val="00253D83"/>
    <w:rsid w:val="00261E12"/>
    <w:rsid w:val="0027026E"/>
    <w:rsid w:val="002767BF"/>
    <w:rsid w:val="002A1F8C"/>
    <w:rsid w:val="002A2F5D"/>
    <w:rsid w:val="002A3CDD"/>
    <w:rsid w:val="002B3588"/>
    <w:rsid w:val="002D4749"/>
    <w:rsid w:val="002E15D0"/>
    <w:rsid w:val="002E23CA"/>
    <w:rsid w:val="002E5799"/>
    <w:rsid w:val="002E6B1E"/>
    <w:rsid w:val="00303B7A"/>
    <w:rsid w:val="00312ECF"/>
    <w:rsid w:val="00327380"/>
    <w:rsid w:val="003309DC"/>
    <w:rsid w:val="003403FA"/>
    <w:rsid w:val="003405EA"/>
    <w:rsid w:val="00386C95"/>
    <w:rsid w:val="00386E82"/>
    <w:rsid w:val="003924CC"/>
    <w:rsid w:val="003A000F"/>
    <w:rsid w:val="003B2442"/>
    <w:rsid w:val="003D2F28"/>
    <w:rsid w:val="003D47A5"/>
    <w:rsid w:val="003D6264"/>
    <w:rsid w:val="003F5EB1"/>
    <w:rsid w:val="00404B89"/>
    <w:rsid w:val="004077B4"/>
    <w:rsid w:val="0041740C"/>
    <w:rsid w:val="00420678"/>
    <w:rsid w:val="00424C4B"/>
    <w:rsid w:val="00427281"/>
    <w:rsid w:val="0044020D"/>
    <w:rsid w:val="00457254"/>
    <w:rsid w:val="004739C3"/>
    <w:rsid w:val="004A0432"/>
    <w:rsid w:val="004A2675"/>
    <w:rsid w:val="004A6577"/>
    <w:rsid w:val="004B0221"/>
    <w:rsid w:val="004B33F7"/>
    <w:rsid w:val="004B4A56"/>
    <w:rsid w:val="004F752A"/>
    <w:rsid w:val="004F7D09"/>
    <w:rsid w:val="00506B85"/>
    <w:rsid w:val="00507016"/>
    <w:rsid w:val="005240A8"/>
    <w:rsid w:val="005329B3"/>
    <w:rsid w:val="00547021"/>
    <w:rsid w:val="00551DA9"/>
    <w:rsid w:val="00555587"/>
    <w:rsid w:val="00560621"/>
    <w:rsid w:val="00596159"/>
    <w:rsid w:val="005B4C25"/>
    <w:rsid w:val="005E1319"/>
    <w:rsid w:val="005F3949"/>
    <w:rsid w:val="005F78A9"/>
    <w:rsid w:val="005F7DEC"/>
    <w:rsid w:val="006067D9"/>
    <w:rsid w:val="0062481B"/>
    <w:rsid w:val="00632FCA"/>
    <w:rsid w:val="00633C5D"/>
    <w:rsid w:val="00636E1E"/>
    <w:rsid w:val="006408CD"/>
    <w:rsid w:val="006560A9"/>
    <w:rsid w:val="00670465"/>
    <w:rsid w:val="00676EEB"/>
    <w:rsid w:val="006867C8"/>
    <w:rsid w:val="006A6816"/>
    <w:rsid w:val="006B754A"/>
    <w:rsid w:val="006C4B54"/>
    <w:rsid w:val="006C694D"/>
    <w:rsid w:val="006F73AF"/>
    <w:rsid w:val="007005E8"/>
    <w:rsid w:val="00701FE9"/>
    <w:rsid w:val="00705C4C"/>
    <w:rsid w:val="0072656F"/>
    <w:rsid w:val="007273E9"/>
    <w:rsid w:val="0072771F"/>
    <w:rsid w:val="0073625D"/>
    <w:rsid w:val="00781041"/>
    <w:rsid w:val="00782043"/>
    <w:rsid w:val="00791B20"/>
    <w:rsid w:val="007B0971"/>
    <w:rsid w:val="007C00E6"/>
    <w:rsid w:val="007C51A1"/>
    <w:rsid w:val="007E46CE"/>
    <w:rsid w:val="00804A7F"/>
    <w:rsid w:val="008105AC"/>
    <w:rsid w:val="00812D68"/>
    <w:rsid w:val="00813DDA"/>
    <w:rsid w:val="00824F51"/>
    <w:rsid w:val="008328B8"/>
    <w:rsid w:val="00833470"/>
    <w:rsid w:val="00835F5B"/>
    <w:rsid w:val="00841B29"/>
    <w:rsid w:val="00846566"/>
    <w:rsid w:val="00851218"/>
    <w:rsid w:val="00853B9A"/>
    <w:rsid w:val="00856F54"/>
    <w:rsid w:val="00865B53"/>
    <w:rsid w:val="00882C5B"/>
    <w:rsid w:val="008A1A26"/>
    <w:rsid w:val="008B0D9B"/>
    <w:rsid w:val="008B650D"/>
    <w:rsid w:val="008B7BCA"/>
    <w:rsid w:val="008C4EC0"/>
    <w:rsid w:val="008D7527"/>
    <w:rsid w:val="008E14AD"/>
    <w:rsid w:val="008E21E2"/>
    <w:rsid w:val="009048E5"/>
    <w:rsid w:val="00921C73"/>
    <w:rsid w:val="00925D5E"/>
    <w:rsid w:val="00940A1B"/>
    <w:rsid w:val="00955934"/>
    <w:rsid w:val="009923C0"/>
    <w:rsid w:val="009A0230"/>
    <w:rsid w:val="009A1F22"/>
    <w:rsid w:val="009C044B"/>
    <w:rsid w:val="009C0B4E"/>
    <w:rsid w:val="009C3242"/>
    <w:rsid w:val="009D60C3"/>
    <w:rsid w:val="009E257B"/>
    <w:rsid w:val="009E2DC1"/>
    <w:rsid w:val="00A0497F"/>
    <w:rsid w:val="00A130BD"/>
    <w:rsid w:val="00A225F1"/>
    <w:rsid w:val="00A22C89"/>
    <w:rsid w:val="00A4392C"/>
    <w:rsid w:val="00A56B8C"/>
    <w:rsid w:val="00A6165E"/>
    <w:rsid w:val="00A621EA"/>
    <w:rsid w:val="00A65794"/>
    <w:rsid w:val="00A80A5F"/>
    <w:rsid w:val="00A82690"/>
    <w:rsid w:val="00A8380F"/>
    <w:rsid w:val="00A83F66"/>
    <w:rsid w:val="00A91844"/>
    <w:rsid w:val="00A952F2"/>
    <w:rsid w:val="00AA1905"/>
    <w:rsid w:val="00AB61BD"/>
    <w:rsid w:val="00AB7CF8"/>
    <w:rsid w:val="00AC0E59"/>
    <w:rsid w:val="00AC4C1F"/>
    <w:rsid w:val="00AF1B07"/>
    <w:rsid w:val="00AF62EA"/>
    <w:rsid w:val="00B0257C"/>
    <w:rsid w:val="00B07D0B"/>
    <w:rsid w:val="00B33C52"/>
    <w:rsid w:val="00B404BF"/>
    <w:rsid w:val="00B41A7C"/>
    <w:rsid w:val="00B54F2E"/>
    <w:rsid w:val="00B642EF"/>
    <w:rsid w:val="00B7002D"/>
    <w:rsid w:val="00B7081F"/>
    <w:rsid w:val="00B821DE"/>
    <w:rsid w:val="00BA4F21"/>
    <w:rsid w:val="00BC4AE8"/>
    <w:rsid w:val="00BE6BE0"/>
    <w:rsid w:val="00BF4D52"/>
    <w:rsid w:val="00C153FC"/>
    <w:rsid w:val="00C21D11"/>
    <w:rsid w:val="00C2498D"/>
    <w:rsid w:val="00C30A0C"/>
    <w:rsid w:val="00C40797"/>
    <w:rsid w:val="00C47447"/>
    <w:rsid w:val="00C575BE"/>
    <w:rsid w:val="00C61788"/>
    <w:rsid w:val="00C77B8E"/>
    <w:rsid w:val="00C77D69"/>
    <w:rsid w:val="00C83A82"/>
    <w:rsid w:val="00C9620C"/>
    <w:rsid w:val="00CA2E2E"/>
    <w:rsid w:val="00CB3080"/>
    <w:rsid w:val="00CB3711"/>
    <w:rsid w:val="00CB5E03"/>
    <w:rsid w:val="00CC0430"/>
    <w:rsid w:val="00CC2866"/>
    <w:rsid w:val="00CC34FA"/>
    <w:rsid w:val="00CD2CC5"/>
    <w:rsid w:val="00CD3FA1"/>
    <w:rsid w:val="00CD6205"/>
    <w:rsid w:val="00CF736D"/>
    <w:rsid w:val="00D00D30"/>
    <w:rsid w:val="00D053EA"/>
    <w:rsid w:val="00D142B9"/>
    <w:rsid w:val="00D35D43"/>
    <w:rsid w:val="00D37817"/>
    <w:rsid w:val="00D52EE3"/>
    <w:rsid w:val="00D86344"/>
    <w:rsid w:val="00D878B7"/>
    <w:rsid w:val="00D901E4"/>
    <w:rsid w:val="00D94950"/>
    <w:rsid w:val="00DB63A0"/>
    <w:rsid w:val="00DC0F5C"/>
    <w:rsid w:val="00DC5D6B"/>
    <w:rsid w:val="00DC6605"/>
    <w:rsid w:val="00DF78DF"/>
    <w:rsid w:val="00E12134"/>
    <w:rsid w:val="00E221AD"/>
    <w:rsid w:val="00E34236"/>
    <w:rsid w:val="00E41363"/>
    <w:rsid w:val="00E45043"/>
    <w:rsid w:val="00E53827"/>
    <w:rsid w:val="00E57090"/>
    <w:rsid w:val="00E84FDA"/>
    <w:rsid w:val="00E85BC3"/>
    <w:rsid w:val="00E865FB"/>
    <w:rsid w:val="00EA1AC3"/>
    <w:rsid w:val="00EB58FD"/>
    <w:rsid w:val="00ED0D33"/>
    <w:rsid w:val="00EE30F8"/>
    <w:rsid w:val="00EE45C5"/>
    <w:rsid w:val="00EF3E35"/>
    <w:rsid w:val="00EF5292"/>
    <w:rsid w:val="00F27554"/>
    <w:rsid w:val="00F318BE"/>
    <w:rsid w:val="00F33EE5"/>
    <w:rsid w:val="00F36D02"/>
    <w:rsid w:val="00F37E4F"/>
    <w:rsid w:val="00F45931"/>
    <w:rsid w:val="00F523F2"/>
    <w:rsid w:val="00F53D9E"/>
    <w:rsid w:val="00F555E1"/>
    <w:rsid w:val="00F64FBC"/>
    <w:rsid w:val="00FA0FD5"/>
    <w:rsid w:val="00FB0531"/>
    <w:rsid w:val="00FB6299"/>
    <w:rsid w:val="00FF1947"/>
    <w:rsid w:val="00FF5F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1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6F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8E14AD"/>
    <w:pPr>
      <w:ind w:left="720"/>
      <w:contextualSpacing/>
    </w:pPr>
  </w:style>
  <w:style w:type="character" w:styleId="Hyperlink">
    <w:name w:val="Hyperlink"/>
    <w:basedOn w:val="DefaultParagraphFont"/>
    <w:uiPriority w:val="99"/>
    <w:unhideWhenUsed/>
    <w:rsid w:val="008B650D"/>
    <w:rPr>
      <w:color w:val="0563C1" w:themeColor="hyperlink"/>
      <w:u w:val="single"/>
    </w:rPr>
  </w:style>
  <w:style w:type="character" w:styleId="UnresolvedMention">
    <w:name w:val="Unresolved Mention"/>
    <w:basedOn w:val="DefaultParagraphFont"/>
    <w:uiPriority w:val="99"/>
    <w:semiHidden/>
    <w:unhideWhenUsed/>
    <w:rsid w:val="008B650D"/>
    <w:rPr>
      <w:color w:val="605E5C"/>
      <w:shd w:val="clear" w:color="auto" w:fill="E1DFDD"/>
    </w:rPr>
  </w:style>
  <w:style w:type="character" w:customStyle="1" w:styleId="Heading1Char">
    <w:name w:val="Heading 1 Char"/>
    <w:basedOn w:val="DefaultParagraphFont"/>
    <w:link w:val="Heading1"/>
    <w:uiPriority w:val="9"/>
    <w:rsid w:val="00D901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6F5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da.org/" TargetMode="External"/><Relationship Id="rId18" Type="http://schemas.openxmlformats.org/officeDocument/2006/relationships/hyperlink" Target="https://commonslibrary.parliament.uk/research-briefings/cbp-9597/"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ind.org.uk/media/zianu2rn/mind_the-big-mental-health-report_digital4.pdf" TargetMode="External"/><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hyperlink" Target="https://committees.parliament.uk/committee/81/health-and-social-care-committe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gislation.gov.uk/ukpga/1990/19" TargetMode="External"/><Relationship Id="rId20" Type="http://schemas.openxmlformats.org/officeDocument/2006/relationships/hyperlink" Target="https://www.kingsfund.org.uk/publications/nhs-dentistry-engl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gov.wales/nhs-dental-services-october-december-2023-html" TargetMode="External"/><Relationship Id="rId5" Type="http://schemas.openxmlformats.org/officeDocument/2006/relationships/webSettings" Target="webSettings.xml"/><Relationship Id="rId15" Type="http://schemas.openxmlformats.org/officeDocument/2006/relationships/hyperlink" Target="https://www.routledge.com/Mental-Health-Services-and-Policy/Cummins/p/book/9780367480443" TargetMode="External"/><Relationship Id="rId23" Type="http://schemas.openxmlformats.org/officeDocument/2006/relationships/hyperlink" Target="https://www.nao.org.uk" TargetMode="External"/><Relationship Id="rId10" Type="http://schemas.openxmlformats.org/officeDocument/2006/relationships/header" Target="header1.xml"/><Relationship Id="rId19" Type="http://schemas.openxmlformats.org/officeDocument/2006/relationships/hyperlink" Target="https://www.kingsfund.org.uk/publications/mental-health-services-englan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ma.org.uk/" TargetMode="External"/><Relationship Id="rId22" Type="http://schemas.openxmlformats.org/officeDocument/2006/relationships/hyperlink" Target="https://www.nature.com/articles/bdj2008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1263</Words>
  <Characters>7201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Kateryna Churaieva (2532697)</cp:lastModifiedBy>
  <cp:revision>223</cp:revision>
  <dcterms:created xsi:type="dcterms:W3CDTF">2026-06-27T20:19:00Z</dcterms:created>
  <dcterms:modified xsi:type="dcterms:W3CDTF">2026-07-19T11:49:00Z</dcterms:modified>
</cp:coreProperties>
</file>