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93FD9" w14:textId="433877F6" w:rsidR="005923AA" w:rsidRDefault="005923AA" w:rsidP="007D56F9">
      <w:pPr>
        <w:pStyle w:val="1"/>
      </w:pPr>
      <w:r>
        <w:rPr>
          <w:noProof/>
        </w:rPr>
        <w:drawing>
          <wp:inline distT="0" distB="0" distL="0" distR="0" wp14:anchorId="685EF294" wp14:editId="1D8D0C48">
            <wp:extent cx="3810000" cy="1257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810000" cy="1257300"/>
                    </a:xfrm>
                    <a:prstGeom prst="rect">
                      <a:avLst/>
                    </a:prstGeom>
                  </pic:spPr>
                </pic:pic>
              </a:graphicData>
            </a:graphic>
          </wp:inline>
        </w:drawing>
      </w:r>
    </w:p>
    <w:p w14:paraId="07E57204" w14:textId="77777777" w:rsidR="005923AA" w:rsidRDefault="005923AA" w:rsidP="005923AA"/>
    <w:p w14:paraId="602CB54A" w14:textId="77777777" w:rsidR="005923AA" w:rsidRPr="005853A4" w:rsidRDefault="005923AA" w:rsidP="005923AA">
      <w:pPr>
        <w:spacing w:line="360" w:lineRule="auto"/>
        <w:jc w:val="both"/>
        <w:rPr>
          <w:sz w:val="40"/>
          <w:szCs w:val="40"/>
        </w:rPr>
      </w:pPr>
      <w:r w:rsidRPr="005853A4">
        <w:rPr>
          <w:sz w:val="40"/>
          <w:szCs w:val="40"/>
        </w:rPr>
        <w:t>Student Name:</w:t>
      </w:r>
      <w:r>
        <w:rPr>
          <w:sz w:val="40"/>
          <w:szCs w:val="40"/>
        </w:rPr>
        <w:t xml:space="preserve"> </w:t>
      </w:r>
      <w:r w:rsidRPr="001025A6">
        <w:rPr>
          <w:sz w:val="40"/>
          <w:szCs w:val="40"/>
        </w:rPr>
        <w:t>Ivan Hristoforov Ivanov</w:t>
      </w:r>
    </w:p>
    <w:p w14:paraId="2E33BA7D" w14:textId="19BEEC15" w:rsidR="005923AA" w:rsidRPr="005853A4" w:rsidRDefault="005923AA" w:rsidP="005923AA">
      <w:pPr>
        <w:spacing w:line="360" w:lineRule="auto"/>
        <w:jc w:val="both"/>
        <w:rPr>
          <w:sz w:val="40"/>
          <w:szCs w:val="40"/>
        </w:rPr>
      </w:pPr>
      <w:r>
        <w:rPr>
          <w:sz w:val="40"/>
          <w:szCs w:val="40"/>
        </w:rPr>
        <w:t xml:space="preserve">Student Number: </w:t>
      </w:r>
      <w:r w:rsidRPr="007837F3">
        <w:rPr>
          <w:rFonts w:cs="Arial"/>
          <w:color w:val="333333"/>
          <w:sz w:val="40"/>
          <w:szCs w:val="40"/>
          <w:shd w:val="clear" w:color="auto" w:fill="FFFFFF"/>
        </w:rPr>
        <w:t>2</w:t>
      </w:r>
      <w:r w:rsidR="00991D62">
        <w:rPr>
          <w:rFonts w:cs="Arial"/>
          <w:color w:val="333333"/>
          <w:sz w:val="40"/>
          <w:szCs w:val="40"/>
          <w:shd w:val="clear" w:color="auto" w:fill="FFFFFF"/>
        </w:rPr>
        <w:t>4</w:t>
      </w:r>
      <w:r w:rsidRPr="007837F3">
        <w:rPr>
          <w:rFonts w:cs="Arial"/>
          <w:color w:val="333333"/>
          <w:sz w:val="40"/>
          <w:szCs w:val="40"/>
          <w:shd w:val="clear" w:color="auto" w:fill="FFFFFF"/>
        </w:rPr>
        <w:t>13302</w:t>
      </w:r>
    </w:p>
    <w:p w14:paraId="118628C0" w14:textId="1BFDCEBA" w:rsidR="005923AA" w:rsidRPr="00D75AF1" w:rsidRDefault="005923AA" w:rsidP="005923AA">
      <w:pPr>
        <w:spacing w:line="360" w:lineRule="auto"/>
        <w:jc w:val="both"/>
        <w:rPr>
          <w:sz w:val="40"/>
          <w:szCs w:val="40"/>
        </w:rPr>
      </w:pPr>
      <w:r w:rsidRPr="005853A4">
        <w:rPr>
          <w:sz w:val="40"/>
          <w:szCs w:val="40"/>
        </w:rPr>
        <w:t>Module code</w:t>
      </w:r>
      <w:r>
        <w:rPr>
          <w:sz w:val="40"/>
          <w:szCs w:val="40"/>
        </w:rPr>
        <w:t xml:space="preserve">: </w:t>
      </w:r>
      <w:r w:rsidR="00991D62">
        <w:rPr>
          <w:sz w:val="40"/>
          <w:szCs w:val="40"/>
        </w:rPr>
        <w:t>LCLM5002</w:t>
      </w:r>
    </w:p>
    <w:p w14:paraId="62D61155" w14:textId="64C07205" w:rsidR="005923AA" w:rsidRDefault="005923AA" w:rsidP="005923AA">
      <w:pPr>
        <w:spacing w:line="360" w:lineRule="auto"/>
        <w:jc w:val="both"/>
        <w:rPr>
          <w:sz w:val="40"/>
          <w:szCs w:val="40"/>
        </w:rPr>
      </w:pPr>
      <w:r>
        <w:rPr>
          <w:sz w:val="40"/>
          <w:szCs w:val="40"/>
        </w:rPr>
        <w:t xml:space="preserve">Module Title: </w:t>
      </w:r>
      <w:r w:rsidR="00E65460">
        <w:rPr>
          <w:sz w:val="40"/>
          <w:szCs w:val="40"/>
        </w:rPr>
        <w:t>Developing and</w:t>
      </w:r>
      <w:r w:rsidR="00117E6C">
        <w:rPr>
          <w:sz w:val="40"/>
          <w:szCs w:val="40"/>
        </w:rPr>
        <w:t xml:space="preserve"> Managing </w:t>
      </w:r>
      <w:r w:rsidR="00EB3445">
        <w:rPr>
          <w:sz w:val="40"/>
          <w:szCs w:val="40"/>
        </w:rPr>
        <w:t xml:space="preserve">Individuals </w:t>
      </w:r>
      <w:r w:rsidR="00FA10DA">
        <w:rPr>
          <w:sz w:val="40"/>
          <w:szCs w:val="40"/>
        </w:rPr>
        <w:t>and Teams</w:t>
      </w:r>
    </w:p>
    <w:p w14:paraId="4963E3F0" w14:textId="6107E781" w:rsidR="005923AA" w:rsidRDefault="005923AA" w:rsidP="005923AA">
      <w:pPr>
        <w:spacing w:line="360" w:lineRule="auto"/>
        <w:jc w:val="both"/>
        <w:rPr>
          <w:rFonts w:cs="Arial"/>
          <w:color w:val="424242"/>
          <w:sz w:val="40"/>
          <w:szCs w:val="40"/>
          <w:shd w:val="clear" w:color="auto" w:fill="FFFFFF"/>
        </w:rPr>
      </w:pPr>
      <w:r w:rsidRPr="005853A4">
        <w:rPr>
          <w:sz w:val="40"/>
          <w:szCs w:val="40"/>
        </w:rPr>
        <w:t xml:space="preserve">Lecturer Name: </w:t>
      </w:r>
      <w:r w:rsidR="00A96FE1">
        <w:rPr>
          <w:sz w:val="40"/>
          <w:szCs w:val="40"/>
        </w:rPr>
        <w:t>Amer Kareem</w:t>
      </w:r>
    </w:p>
    <w:p w14:paraId="182C43E9" w14:textId="399C2C4B" w:rsidR="005923AA" w:rsidRDefault="005923AA" w:rsidP="005923AA">
      <w:pPr>
        <w:spacing w:line="360" w:lineRule="auto"/>
        <w:jc w:val="both"/>
        <w:rPr>
          <w:sz w:val="40"/>
          <w:szCs w:val="40"/>
        </w:rPr>
      </w:pPr>
      <w:r w:rsidRPr="005853A4">
        <w:rPr>
          <w:sz w:val="40"/>
          <w:szCs w:val="40"/>
        </w:rPr>
        <w:t>Assignment</w:t>
      </w:r>
      <w:r w:rsidR="00A359E5">
        <w:rPr>
          <w:sz w:val="40"/>
          <w:szCs w:val="40"/>
        </w:rPr>
        <w:t xml:space="preserve"> </w:t>
      </w:r>
      <w:r w:rsidRPr="005853A4">
        <w:rPr>
          <w:sz w:val="40"/>
          <w:szCs w:val="40"/>
        </w:rPr>
        <w:t>Title:</w:t>
      </w:r>
      <w:r>
        <w:rPr>
          <w:sz w:val="40"/>
          <w:szCs w:val="40"/>
        </w:rPr>
        <w:t xml:space="preserve"> </w:t>
      </w:r>
      <w:r w:rsidR="00C85046">
        <w:rPr>
          <w:sz w:val="40"/>
          <w:szCs w:val="40"/>
        </w:rPr>
        <w:t>Individual report</w:t>
      </w:r>
    </w:p>
    <w:p w14:paraId="1177B94A" w14:textId="77777777" w:rsidR="005923AA" w:rsidRPr="005923AA" w:rsidRDefault="005923AA" w:rsidP="005923AA"/>
    <w:p w14:paraId="38AF2392" w14:textId="77777777" w:rsidR="005923AA" w:rsidRDefault="005923AA">
      <w:pPr>
        <w:rPr>
          <w:rFonts w:asciiTheme="majorHAnsi" w:eastAsiaTheme="majorEastAsia" w:hAnsiTheme="majorHAnsi" w:cstheme="majorBidi"/>
          <w:color w:val="0F4761" w:themeColor="accent1" w:themeShade="BF"/>
          <w:sz w:val="40"/>
          <w:szCs w:val="40"/>
        </w:rPr>
      </w:pPr>
      <w:r>
        <w:br w:type="page"/>
      </w:r>
    </w:p>
    <w:sdt>
      <w:sdtPr>
        <w:rPr>
          <w:rFonts w:ascii="Arial" w:eastAsiaTheme="minorHAnsi" w:hAnsi="Arial" w:cstheme="minorBidi"/>
          <w:b w:val="0"/>
          <w:bCs w:val="0"/>
          <w:color w:val="auto"/>
          <w:kern w:val="2"/>
          <w:sz w:val="24"/>
          <w:szCs w:val="24"/>
          <w14:ligatures w14:val="standardContextual"/>
        </w:rPr>
        <w:id w:val="-1435830295"/>
        <w:docPartObj>
          <w:docPartGallery w:val="Table of Contents"/>
          <w:docPartUnique/>
        </w:docPartObj>
      </w:sdtPr>
      <w:sdtEndPr>
        <w:rPr>
          <w:noProof/>
        </w:rPr>
      </w:sdtEndPr>
      <w:sdtContent>
        <w:p w14:paraId="5F842A5A" w14:textId="7507057F" w:rsidR="005923AA" w:rsidRDefault="005923AA">
          <w:pPr>
            <w:pStyle w:val="af1"/>
          </w:pPr>
          <w:r>
            <w:t>Table of Contents</w:t>
          </w:r>
        </w:p>
        <w:p w14:paraId="4D7A2C3D" w14:textId="1C692672" w:rsidR="005923AA" w:rsidRDefault="005923AA">
          <w:pPr>
            <w:pStyle w:val="11"/>
            <w:tabs>
              <w:tab w:val="right" w:leader="dot" w:pos="9350"/>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216785061" w:history="1">
            <w:r w:rsidRPr="00505ED2">
              <w:rPr>
                <w:rStyle w:val="ae"/>
                <w:noProof/>
              </w:rPr>
              <w:t>1. Introduction</w:t>
            </w:r>
            <w:r>
              <w:rPr>
                <w:noProof/>
                <w:webHidden/>
              </w:rPr>
              <w:tab/>
            </w:r>
            <w:r>
              <w:rPr>
                <w:noProof/>
                <w:webHidden/>
              </w:rPr>
              <w:fldChar w:fldCharType="begin"/>
            </w:r>
            <w:r>
              <w:rPr>
                <w:noProof/>
                <w:webHidden/>
              </w:rPr>
              <w:instrText xml:space="preserve"> PAGEREF _Toc216785061 \h </w:instrText>
            </w:r>
            <w:r>
              <w:rPr>
                <w:noProof/>
                <w:webHidden/>
              </w:rPr>
            </w:r>
            <w:r>
              <w:rPr>
                <w:noProof/>
                <w:webHidden/>
              </w:rPr>
              <w:fldChar w:fldCharType="separate"/>
            </w:r>
            <w:r>
              <w:rPr>
                <w:noProof/>
                <w:webHidden/>
              </w:rPr>
              <w:t>3</w:t>
            </w:r>
            <w:r>
              <w:rPr>
                <w:noProof/>
                <w:webHidden/>
              </w:rPr>
              <w:fldChar w:fldCharType="end"/>
            </w:r>
          </w:hyperlink>
        </w:p>
        <w:p w14:paraId="62FFF01B" w14:textId="2A8F9787" w:rsidR="005923AA" w:rsidRDefault="005923AA">
          <w:pPr>
            <w:pStyle w:val="11"/>
            <w:tabs>
              <w:tab w:val="right" w:leader="dot" w:pos="9350"/>
            </w:tabs>
            <w:rPr>
              <w:rFonts w:eastAsiaTheme="minorEastAsia"/>
              <w:b w:val="0"/>
              <w:bCs w:val="0"/>
              <w:i w:val="0"/>
              <w:iCs w:val="0"/>
              <w:noProof/>
            </w:rPr>
          </w:pPr>
          <w:hyperlink w:anchor="_Toc216785062" w:history="1">
            <w:r w:rsidRPr="00505ED2">
              <w:rPr>
                <w:rStyle w:val="ae"/>
                <w:noProof/>
              </w:rPr>
              <w:t>2. Company Appraisal Using SWOT</w:t>
            </w:r>
            <w:r>
              <w:rPr>
                <w:noProof/>
                <w:webHidden/>
              </w:rPr>
              <w:tab/>
            </w:r>
            <w:r>
              <w:rPr>
                <w:noProof/>
                <w:webHidden/>
              </w:rPr>
              <w:fldChar w:fldCharType="begin"/>
            </w:r>
            <w:r>
              <w:rPr>
                <w:noProof/>
                <w:webHidden/>
              </w:rPr>
              <w:instrText xml:space="preserve"> PAGEREF _Toc216785062 \h </w:instrText>
            </w:r>
            <w:r>
              <w:rPr>
                <w:noProof/>
                <w:webHidden/>
              </w:rPr>
            </w:r>
            <w:r>
              <w:rPr>
                <w:noProof/>
                <w:webHidden/>
              </w:rPr>
              <w:fldChar w:fldCharType="separate"/>
            </w:r>
            <w:r>
              <w:rPr>
                <w:noProof/>
                <w:webHidden/>
              </w:rPr>
              <w:t>3</w:t>
            </w:r>
            <w:r>
              <w:rPr>
                <w:noProof/>
                <w:webHidden/>
              </w:rPr>
              <w:fldChar w:fldCharType="end"/>
            </w:r>
          </w:hyperlink>
        </w:p>
        <w:p w14:paraId="0FAB34BF" w14:textId="729D82B7" w:rsidR="005923AA" w:rsidRDefault="005923AA">
          <w:pPr>
            <w:pStyle w:val="31"/>
            <w:tabs>
              <w:tab w:val="right" w:leader="dot" w:pos="9350"/>
            </w:tabs>
            <w:rPr>
              <w:rFonts w:eastAsiaTheme="minorEastAsia"/>
              <w:noProof/>
              <w:sz w:val="24"/>
              <w:szCs w:val="24"/>
            </w:rPr>
          </w:pPr>
          <w:hyperlink w:anchor="_Toc216785063" w:history="1">
            <w:r w:rsidRPr="00505ED2">
              <w:rPr>
                <w:rStyle w:val="ae"/>
                <w:noProof/>
              </w:rPr>
              <w:t>Strengths</w:t>
            </w:r>
            <w:r>
              <w:rPr>
                <w:noProof/>
                <w:webHidden/>
              </w:rPr>
              <w:tab/>
            </w:r>
            <w:r>
              <w:rPr>
                <w:noProof/>
                <w:webHidden/>
              </w:rPr>
              <w:fldChar w:fldCharType="begin"/>
            </w:r>
            <w:r>
              <w:rPr>
                <w:noProof/>
                <w:webHidden/>
              </w:rPr>
              <w:instrText xml:space="preserve"> PAGEREF _Toc216785063 \h </w:instrText>
            </w:r>
            <w:r>
              <w:rPr>
                <w:noProof/>
                <w:webHidden/>
              </w:rPr>
            </w:r>
            <w:r>
              <w:rPr>
                <w:noProof/>
                <w:webHidden/>
              </w:rPr>
              <w:fldChar w:fldCharType="separate"/>
            </w:r>
            <w:r>
              <w:rPr>
                <w:noProof/>
                <w:webHidden/>
              </w:rPr>
              <w:t>4</w:t>
            </w:r>
            <w:r>
              <w:rPr>
                <w:noProof/>
                <w:webHidden/>
              </w:rPr>
              <w:fldChar w:fldCharType="end"/>
            </w:r>
          </w:hyperlink>
        </w:p>
        <w:p w14:paraId="36133D4F" w14:textId="3AC318EE" w:rsidR="005923AA" w:rsidRDefault="005923AA">
          <w:pPr>
            <w:pStyle w:val="31"/>
            <w:tabs>
              <w:tab w:val="right" w:leader="dot" w:pos="9350"/>
            </w:tabs>
            <w:rPr>
              <w:rFonts w:eastAsiaTheme="minorEastAsia"/>
              <w:noProof/>
              <w:sz w:val="24"/>
              <w:szCs w:val="24"/>
            </w:rPr>
          </w:pPr>
          <w:hyperlink w:anchor="_Toc216785064" w:history="1">
            <w:r w:rsidRPr="00505ED2">
              <w:rPr>
                <w:rStyle w:val="ae"/>
                <w:noProof/>
              </w:rPr>
              <w:t>Weaknesses</w:t>
            </w:r>
            <w:r>
              <w:rPr>
                <w:noProof/>
                <w:webHidden/>
              </w:rPr>
              <w:tab/>
            </w:r>
            <w:r>
              <w:rPr>
                <w:noProof/>
                <w:webHidden/>
              </w:rPr>
              <w:fldChar w:fldCharType="begin"/>
            </w:r>
            <w:r>
              <w:rPr>
                <w:noProof/>
                <w:webHidden/>
              </w:rPr>
              <w:instrText xml:space="preserve"> PAGEREF _Toc216785064 \h </w:instrText>
            </w:r>
            <w:r>
              <w:rPr>
                <w:noProof/>
                <w:webHidden/>
              </w:rPr>
            </w:r>
            <w:r>
              <w:rPr>
                <w:noProof/>
                <w:webHidden/>
              </w:rPr>
              <w:fldChar w:fldCharType="separate"/>
            </w:r>
            <w:r>
              <w:rPr>
                <w:noProof/>
                <w:webHidden/>
              </w:rPr>
              <w:t>4</w:t>
            </w:r>
            <w:r>
              <w:rPr>
                <w:noProof/>
                <w:webHidden/>
              </w:rPr>
              <w:fldChar w:fldCharType="end"/>
            </w:r>
          </w:hyperlink>
        </w:p>
        <w:p w14:paraId="1B23C2D6" w14:textId="44F97357" w:rsidR="005923AA" w:rsidRDefault="005923AA">
          <w:pPr>
            <w:pStyle w:val="31"/>
            <w:tabs>
              <w:tab w:val="right" w:leader="dot" w:pos="9350"/>
            </w:tabs>
            <w:rPr>
              <w:rFonts w:eastAsiaTheme="minorEastAsia"/>
              <w:noProof/>
              <w:sz w:val="24"/>
              <w:szCs w:val="24"/>
            </w:rPr>
          </w:pPr>
          <w:hyperlink w:anchor="_Toc216785065" w:history="1">
            <w:r w:rsidRPr="00505ED2">
              <w:rPr>
                <w:rStyle w:val="ae"/>
                <w:noProof/>
              </w:rPr>
              <w:t>Opportunities</w:t>
            </w:r>
            <w:r>
              <w:rPr>
                <w:noProof/>
                <w:webHidden/>
              </w:rPr>
              <w:tab/>
            </w:r>
            <w:r>
              <w:rPr>
                <w:noProof/>
                <w:webHidden/>
              </w:rPr>
              <w:fldChar w:fldCharType="begin"/>
            </w:r>
            <w:r>
              <w:rPr>
                <w:noProof/>
                <w:webHidden/>
              </w:rPr>
              <w:instrText xml:space="preserve"> PAGEREF _Toc216785065 \h </w:instrText>
            </w:r>
            <w:r>
              <w:rPr>
                <w:noProof/>
                <w:webHidden/>
              </w:rPr>
            </w:r>
            <w:r>
              <w:rPr>
                <w:noProof/>
                <w:webHidden/>
              </w:rPr>
              <w:fldChar w:fldCharType="separate"/>
            </w:r>
            <w:r>
              <w:rPr>
                <w:noProof/>
                <w:webHidden/>
              </w:rPr>
              <w:t>4</w:t>
            </w:r>
            <w:r>
              <w:rPr>
                <w:noProof/>
                <w:webHidden/>
              </w:rPr>
              <w:fldChar w:fldCharType="end"/>
            </w:r>
          </w:hyperlink>
        </w:p>
        <w:p w14:paraId="45F65BFE" w14:textId="6AAEC0F0" w:rsidR="005923AA" w:rsidRDefault="005923AA">
          <w:pPr>
            <w:pStyle w:val="31"/>
            <w:tabs>
              <w:tab w:val="right" w:leader="dot" w:pos="9350"/>
            </w:tabs>
            <w:rPr>
              <w:rFonts w:eastAsiaTheme="minorEastAsia"/>
              <w:noProof/>
              <w:sz w:val="24"/>
              <w:szCs w:val="24"/>
            </w:rPr>
          </w:pPr>
          <w:hyperlink w:anchor="_Toc216785066" w:history="1">
            <w:r w:rsidRPr="00505ED2">
              <w:rPr>
                <w:rStyle w:val="ae"/>
                <w:rFonts w:eastAsia="Times New Roman"/>
                <w:noProof/>
              </w:rPr>
              <w:t>Threats</w:t>
            </w:r>
            <w:r>
              <w:rPr>
                <w:noProof/>
                <w:webHidden/>
              </w:rPr>
              <w:tab/>
            </w:r>
            <w:r>
              <w:rPr>
                <w:noProof/>
                <w:webHidden/>
              </w:rPr>
              <w:fldChar w:fldCharType="begin"/>
            </w:r>
            <w:r>
              <w:rPr>
                <w:noProof/>
                <w:webHidden/>
              </w:rPr>
              <w:instrText xml:space="preserve"> PAGEREF _Toc216785066 \h </w:instrText>
            </w:r>
            <w:r>
              <w:rPr>
                <w:noProof/>
                <w:webHidden/>
              </w:rPr>
            </w:r>
            <w:r>
              <w:rPr>
                <w:noProof/>
                <w:webHidden/>
              </w:rPr>
              <w:fldChar w:fldCharType="separate"/>
            </w:r>
            <w:r>
              <w:rPr>
                <w:noProof/>
                <w:webHidden/>
              </w:rPr>
              <w:t>5</w:t>
            </w:r>
            <w:r>
              <w:rPr>
                <w:noProof/>
                <w:webHidden/>
              </w:rPr>
              <w:fldChar w:fldCharType="end"/>
            </w:r>
          </w:hyperlink>
        </w:p>
        <w:p w14:paraId="1733E75B" w14:textId="43095C9A" w:rsidR="005923AA" w:rsidRDefault="005923AA">
          <w:pPr>
            <w:pStyle w:val="11"/>
            <w:tabs>
              <w:tab w:val="right" w:leader="dot" w:pos="9350"/>
            </w:tabs>
            <w:rPr>
              <w:rFonts w:eastAsiaTheme="minorEastAsia"/>
              <w:b w:val="0"/>
              <w:bCs w:val="0"/>
              <w:i w:val="0"/>
              <w:iCs w:val="0"/>
              <w:noProof/>
            </w:rPr>
          </w:pPr>
          <w:hyperlink w:anchor="_Toc216785067" w:history="1">
            <w:r w:rsidRPr="00505ED2">
              <w:rPr>
                <w:rStyle w:val="ae"/>
                <w:noProof/>
              </w:rPr>
              <w:t>3. Evaluation of Contemporary HR Practices to Address These Factors</w:t>
            </w:r>
            <w:r>
              <w:rPr>
                <w:noProof/>
                <w:webHidden/>
              </w:rPr>
              <w:tab/>
            </w:r>
            <w:r>
              <w:rPr>
                <w:noProof/>
                <w:webHidden/>
              </w:rPr>
              <w:fldChar w:fldCharType="begin"/>
            </w:r>
            <w:r>
              <w:rPr>
                <w:noProof/>
                <w:webHidden/>
              </w:rPr>
              <w:instrText xml:space="preserve"> PAGEREF _Toc216785067 \h </w:instrText>
            </w:r>
            <w:r>
              <w:rPr>
                <w:noProof/>
                <w:webHidden/>
              </w:rPr>
            </w:r>
            <w:r>
              <w:rPr>
                <w:noProof/>
                <w:webHidden/>
              </w:rPr>
              <w:fldChar w:fldCharType="separate"/>
            </w:r>
            <w:r>
              <w:rPr>
                <w:noProof/>
                <w:webHidden/>
              </w:rPr>
              <w:t>5</w:t>
            </w:r>
            <w:r>
              <w:rPr>
                <w:noProof/>
                <w:webHidden/>
              </w:rPr>
              <w:fldChar w:fldCharType="end"/>
            </w:r>
          </w:hyperlink>
        </w:p>
        <w:p w14:paraId="3D3F5DDC" w14:textId="7ACDEFA5" w:rsidR="005923AA" w:rsidRDefault="005923AA">
          <w:pPr>
            <w:pStyle w:val="21"/>
            <w:tabs>
              <w:tab w:val="right" w:leader="dot" w:pos="9350"/>
            </w:tabs>
            <w:rPr>
              <w:rFonts w:eastAsiaTheme="minorEastAsia"/>
              <w:b w:val="0"/>
              <w:bCs w:val="0"/>
              <w:noProof/>
              <w:sz w:val="24"/>
              <w:szCs w:val="24"/>
            </w:rPr>
          </w:pPr>
          <w:hyperlink w:anchor="_Toc216785068" w:history="1">
            <w:r w:rsidRPr="00505ED2">
              <w:rPr>
                <w:rStyle w:val="ae"/>
                <w:noProof/>
              </w:rPr>
              <w:t>3.1. HR Practices for Business Transformation</w:t>
            </w:r>
            <w:r>
              <w:rPr>
                <w:noProof/>
                <w:webHidden/>
              </w:rPr>
              <w:tab/>
            </w:r>
            <w:r>
              <w:rPr>
                <w:noProof/>
                <w:webHidden/>
              </w:rPr>
              <w:fldChar w:fldCharType="begin"/>
            </w:r>
            <w:r>
              <w:rPr>
                <w:noProof/>
                <w:webHidden/>
              </w:rPr>
              <w:instrText xml:space="preserve"> PAGEREF _Toc216785068 \h </w:instrText>
            </w:r>
            <w:r>
              <w:rPr>
                <w:noProof/>
                <w:webHidden/>
              </w:rPr>
            </w:r>
            <w:r>
              <w:rPr>
                <w:noProof/>
                <w:webHidden/>
              </w:rPr>
              <w:fldChar w:fldCharType="separate"/>
            </w:r>
            <w:r>
              <w:rPr>
                <w:noProof/>
                <w:webHidden/>
              </w:rPr>
              <w:t>5</w:t>
            </w:r>
            <w:r>
              <w:rPr>
                <w:noProof/>
                <w:webHidden/>
              </w:rPr>
              <w:fldChar w:fldCharType="end"/>
            </w:r>
          </w:hyperlink>
        </w:p>
        <w:p w14:paraId="4300858E" w14:textId="5904E4E9" w:rsidR="005923AA" w:rsidRDefault="005923AA">
          <w:pPr>
            <w:pStyle w:val="21"/>
            <w:tabs>
              <w:tab w:val="right" w:leader="dot" w:pos="9350"/>
            </w:tabs>
            <w:rPr>
              <w:rFonts w:eastAsiaTheme="minorEastAsia"/>
              <w:b w:val="0"/>
              <w:bCs w:val="0"/>
              <w:noProof/>
              <w:sz w:val="24"/>
              <w:szCs w:val="24"/>
            </w:rPr>
          </w:pPr>
          <w:hyperlink w:anchor="_Toc216785069" w:history="1">
            <w:r w:rsidRPr="00505ED2">
              <w:rPr>
                <w:rStyle w:val="ae"/>
                <w:rFonts w:ascii="Arial" w:hAnsi="Arial" w:cs="Arial"/>
                <w:noProof/>
              </w:rPr>
              <w:t>3.2. HR Practices for Digital Technology Trends</w:t>
            </w:r>
            <w:r>
              <w:rPr>
                <w:noProof/>
                <w:webHidden/>
              </w:rPr>
              <w:tab/>
            </w:r>
            <w:r>
              <w:rPr>
                <w:noProof/>
                <w:webHidden/>
              </w:rPr>
              <w:fldChar w:fldCharType="begin"/>
            </w:r>
            <w:r>
              <w:rPr>
                <w:noProof/>
                <w:webHidden/>
              </w:rPr>
              <w:instrText xml:space="preserve"> PAGEREF _Toc216785069 \h </w:instrText>
            </w:r>
            <w:r>
              <w:rPr>
                <w:noProof/>
                <w:webHidden/>
              </w:rPr>
            </w:r>
            <w:r>
              <w:rPr>
                <w:noProof/>
                <w:webHidden/>
              </w:rPr>
              <w:fldChar w:fldCharType="separate"/>
            </w:r>
            <w:r>
              <w:rPr>
                <w:noProof/>
                <w:webHidden/>
              </w:rPr>
              <w:t>6</w:t>
            </w:r>
            <w:r>
              <w:rPr>
                <w:noProof/>
                <w:webHidden/>
              </w:rPr>
              <w:fldChar w:fldCharType="end"/>
            </w:r>
          </w:hyperlink>
        </w:p>
        <w:p w14:paraId="0610811D" w14:textId="33C4904B" w:rsidR="005923AA" w:rsidRDefault="005923AA">
          <w:pPr>
            <w:pStyle w:val="21"/>
            <w:tabs>
              <w:tab w:val="right" w:leader="dot" w:pos="9350"/>
            </w:tabs>
            <w:rPr>
              <w:rFonts w:eastAsiaTheme="minorEastAsia"/>
              <w:b w:val="0"/>
              <w:bCs w:val="0"/>
              <w:noProof/>
              <w:sz w:val="24"/>
              <w:szCs w:val="24"/>
            </w:rPr>
          </w:pPr>
          <w:hyperlink w:anchor="_Toc216785070" w:history="1">
            <w:r w:rsidRPr="00505ED2">
              <w:rPr>
                <w:rStyle w:val="ae"/>
                <w:rFonts w:ascii="Arial" w:hAnsi="Arial" w:cs="Arial"/>
                <w:noProof/>
              </w:rPr>
              <w:t>3.3. HR Practices for Flexible Working Arrangements</w:t>
            </w:r>
            <w:r>
              <w:rPr>
                <w:noProof/>
                <w:webHidden/>
              </w:rPr>
              <w:tab/>
            </w:r>
            <w:r>
              <w:rPr>
                <w:noProof/>
                <w:webHidden/>
              </w:rPr>
              <w:fldChar w:fldCharType="begin"/>
            </w:r>
            <w:r>
              <w:rPr>
                <w:noProof/>
                <w:webHidden/>
              </w:rPr>
              <w:instrText xml:space="preserve"> PAGEREF _Toc216785070 \h </w:instrText>
            </w:r>
            <w:r>
              <w:rPr>
                <w:noProof/>
                <w:webHidden/>
              </w:rPr>
            </w:r>
            <w:r>
              <w:rPr>
                <w:noProof/>
                <w:webHidden/>
              </w:rPr>
              <w:fldChar w:fldCharType="separate"/>
            </w:r>
            <w:r>
              <w:rPr>
                <w:noProof/>
                <w:webHidden/>
              </w:rPr>
              <w:t>7</w:t>
            </w:r>
            <w:r>
              <w:rPr>
                <w:noProof/>
                <w:webHidden/>
              </w:rPr>
              <w:fldChar w:fldCharType="end"/>
            </w:r>
          </w:hyperlink>
        </w:p>
        <w:p w14:paraId="4235F7EC" w14:textId="368F8ED1" w:rsidR="005923AA" w:rsidRDefault="005923AA">
          <w:pPr>
            <w:pStyle w:val="11"/>
            <w:tabs>
              <w:tab w:val="right" w:leader="dot" w:pos="9350"/>
            </w:tabs>
            <w:rPr>
              <w:rFonts w:eastAsiaTheme="minorEastAsia"/>
              <w:b w:val="0"/>
              <w:bCs w:val="0"/>
              <w:i w:val="0"/>
              <w:iCs w:val="0"/>
              <w:noProof/>
            </w:rPr>
          </w:pPr>
          <w:hyperlink w:anchor="_Toc216785071" w:history="1">
            <w:r w:rsidRPr="00505ED2">
              <w:rPr>
                <w:rStyle w:val="ae"/>
                <w:noProof/>
              </w:rPr>
              <w:t>4. A Critical Evaluation of How Departmental Managers Can Ensure Contemporary HR Practices Are Implemented as a Matter of Urgency</w:t>
            </w:r>
            <w:r>
              <w:rPr>
                <w:noProof/>
                <w:webHidden/>
              </w:rPr>
              <w:tab/>
            </w:r>
            <w:r>
              <w:rPr>
                <w:noProof/>
                <w:webHidden/>
              </w:rPr>
              <w:fldChar w:fldCharType="begin"/>
            </w:r>
            <w:r>
              <w:rPr>
                <w:noProof/>
                <w:webHidden/>
              </w:rPr>
              <w:instrText xml:space="preserve"> PAGEREF _Toc216785071 \h </w:instrText>
            </w:r>
            <w:r>
              <w:rPr>
                <w:noProof/>
                <w:webHidden/>
              </w:rPr>
            </w:r>
            <w:r>
              <w:rPr>
                <w:noProof/>
                <w:webHidden/>
              </w:rPr>
              <w:fldChar w:fldCharType="separate"/>
            </w:r>
            <w:r>
              <w:rPr>
                <w:noProof/>
                <w:webHidden/>
              </w:rPr>
              <w:t>8</w:t>
            </w:r>
            <w:r>
              <w:rPr>
                <w:noProof/>
                <w:webHidden/>
              </w:rPr>
              <w:fldChar w:fldCharType="end"/>
            </w:r>
          </w:hyperlink>
        </w:p>
        <w:p w14:paraId="2B74F007" w14:textId="4B4A0337" w:rsidR="005923AA" w:rsidRDefault="005923AA">
          <w:pPr>
            <w:pStyle w:val="11"/>
            <w:tabs>
              <w:tab w:val="right" w:leader="dot" w:pos="9350"/>
            </w:tabs>
            <w:rPr>
              <w:rFonts w:eastAsiaTheme="minorEastAsia"/>
              <w:b w:val="0"/>
              <w:bCs w:val="0"/>
              <w:i w:val="0"/>
              <w:iCs w:val="0"/>
              <w:noProof/>
            </w:rPr>
          </w:pPr>
          <w:hyperlink w:anchor="_Toc216785072" w:history="1">
            <w:r w:rsidRPr="00505ED2">
              <w:rPr>
                <w:rStyle w:val="ae"/>
                <w:noProof/>
              </w:rPr>
              <w:t>Conclusion</w:t>
            </w:r>
            <w:r>
              <w:rPr>
                <w:noProof/>
                <w:webHidden/>
              </w:rPr>
              <w:tab/>
            </w:r>
            <w:r>
              <w:rPr>
                <w:noProof/>
                <w:webHidden/>
              </w:rPr>
              <w:fldChar w:fldCharType="begin"/>
            </w:r>
            <w:r>
              <w:rPr>
                <w:noProof/>
                <w:webHidden/>
              </w:rPr>
              <w:instrText xml:space="preserve"> PAGEREF _Toc216785072 \h </w:instrText>
            </w:r>
            <w:r>
              <w:rPr>
                <w:noProof/>
                <w:webHidden/>
              </w:rPr>
            </w:r>
            <w:r>
              <w:rPr>
                <w:noProof/>
                <w:webHidden/>
              </w:rPr>
              <w:fldChar w:fldCharType="separate"/>
            </w:r>
            <w:r>
              <w:rPr>
                <w:noProof/>
                <w:webHidden/>
              </w:rPr>
              <w:t>10</w:t>
            </w:r>
            <w:r>
              <w:rPr>
                <w:noProof/>
                <w:webHidden/>
              </w:rPr>
              <w:fldChar w:fldCharType="end"/>
            </w:r>
          </w:hyperlink>
        </w:p>
        <w:p w14:paraId="40290779" w14:textId="0FEC72FA" w:rsidR="005923AA" w:rsidRDefault="005923AA">
          <w:pPr>
            <w:pStyle w:val="11"/>
            <w:tabs>
              <w:tab w:val="right" w:leader="dot" w:pos="9350"/>
            </w:tabs>
            <w:rPr>
              <w:rFonts w:eastAsiaTheme="minorEastAsia"/>
              <w:b w:val="0"/>
              <w:bCs w:val="0"/>
              <w:i w:val="0"/>
              <w:iCs w:val="0"/>
              <w:noProof/>
            </w:rPr>
          </w:pPr>
          <w:hyperlink w:anchor="_Toc216785073" w:history="1">
            <w:r w:rsidRPr="00505ED2">
              <w:rPr>
                <w:rStyle w:val="ae"/>
                <w:noProof/>
              </w:rPr>
              <w:t>Recommendations</w:t>
            </w:r>
            <w:r>
              <w:rPr>
                <w:noProof/>
                <w:webHidden/>
              </w:rPr>
              <w:tab/>
            </w:r>
            <w:r>
              <w:rPr>
                <w:noProof/>
                <w:webHidden/>
              </w:rPr>
              <w:fldChar w:fldCharType="begin"/>
            </w:r>
            <w:r>
              <w:rPr>
                <w:noProof/>
                <w:webHidden/>
              </w:rPr>
              <w:instrText xml:space="preserve"> PAGEREF _Toc216785073 \h </w:instrText>
            </w:r>
            <w:r>
              <w:rPr>
                <w:noProof/>
                <w:webHidden/>
              </w:rPr>
            </w:r>
            <w:r>
              <w:rPr>
                <w:noProof/>
                <w:webHidden/>
              </w:rPr>
              <w:fldChar w:fldCharType="separate"/>
            </w:r>
            <w:r>
              <w:rPr>
                <w:noProof/>
                <w:webHidden/>
              </w:rPr>
              <w:t>11</w:t>
            </w:r>
            <w:r>
              <w:rPr>
                <w:noProof/>
                <w:webHidden/>
              </w:rPr>
              <w:fldChar w:fldCharType="end"/>
            </w:r>
          </w:hyperlink>
        </w:p>
        <w:p w14:paraId="01107903" w14:textId="0C1B07C5" w:rsidR="005923AA" w:rsidRDefault="005923AA">
          <w:pPr>
            <w:pStyle w:val="11"/>
            <w:tabs>
              <w:tab w:val="right" w:leader="dot" w:pos="9350"/>
            </w:tabs>
            <w:rPr>
              <w:rFonts w:eastAsiaTheme="minorEastAsia"/>
              <w:b w:val="0"/>
              <w:bCs w:val="0"/>
              <w:i w:val="0"/>
              <w:iCs w:val="0"/>
              <w:noProof/>
            </w:rPr>
          </w:pPr>
          <w:hyperlink w:anchor="_Toc216785074" w:history="1">
            <w:r w:rsidRPr="00505ED2">
              <w:rPr>
                <w:rStyle w:val="ae"/>
                <w:rFonts w:eastAsia="Times New Roman"/>
                <w:noProof/>
              </w:rPr>
              <w:t>References:</w:t>
            </w:r>
            <w:r>
              <w:rPr>
                <w:noProof/>
                <w:webHidden/>
              </w:rPr>
              <w:tab/>
            </w:r>
            <w:r>
              <w:rPr>
                <w:noProof/>
                <w:webHidden/>
              </w:rPr>
              <w:fldChar w:fldCharType="begin"/>
            </w:r>
            <w:r>
              <w:rPr>
                <w:noProof/>
                <w:webHidden/>
              </w:rPr>
              <w:instrText xml:space="preserve"> PAGEREF _Toc216785074 \h </w:instrText>
            </w:r>
            <w:r>
              <w:rPr>
                <w:noProof/>
                <w:webHidden/>
              </w:rPr>
            </w:r>
            <w:r>
              <w:rPr>
                <w:noProof/>
                <w:webHidden/>
              </w:rPr>
              <w:fldChar w:fldCharType="separate"/>
            </w:r>
            <w:r>
              <w:rPr>
                <w:noProof/>
                <w:webHidden/>
              </w:rPr>
              <w:t>12</w:t>
            </w:r>
            <w:r>
              <w:rPr>
                <w:noProof/>
                <w:webHidden/>
              </w:rPr>
              <w:fldChar w:fldCharType="end"/>
            </w:r>
          </w:hyperlink>
        </w:p>
        <w:p w14:paraId="6C599862" w14:textId="6FFF2993" w:rsidR="005923AA" w:rsidRDefault="005923AA">
          <w:r>
            <w:rPr>
              <w:b/>
              <w:bCs/>
              <w:noProof/>
            </w:rPr>
            <w:fldChar w:fldCharType="end"/>
          </w:r>
        </w:p>
      </w:sdtContent>
    </w:sdt>
    <w:p w14:paraId="759946B9" w14:textId="77777777" w:rsidR="005923AA" w:rsidRDefault="005923AA" w:rsidP="007D56F9">
      <w:pPr>
        <w:pStyle w:val="1"/>
      </w:pPr>
    </w:p>
    <w:p w14:paraId="09671C37" w14:textId="77777777" w:rsidR="005923AA" w:rsidRDefault="005923AA">
      <w:pPr>
        <w:rPr>
          <w:rFonts w:asciiTheme="majorHAnsi" w:eastAsiaTheme="majorEastAsia" w:hAnsiTheme="majorHAnsi" w:cstheme="majorBidi"/>
          <w:color w:val="0F4761" w:themeColor="accent1" w:themeShade="BF"/>
          <w:sz w:val="40"/>
          <w:szCs w:val="40"/>
        </w:rPr>
      </w:pPr>
      <w:r>
        <w:br w:type="page"/>
      </w:r>
    </w:p>
    <w:p w14:paraId="459334CA" w14:textId="5B132B0B" w:rsidR="00552735" w:rsidRPr="007D56F9" w:rsidRDefault="00552735" w:rsidP="007D56F9">
      <w:pPr>
        <w:pStyle w:val="1"/>
      </w:pPr>
      <w:bookmarkStart w:id="0" w:name="_Toc216785061"/>
      <w:r w:rsidRPr="007D56F9">
        <w:lastRenderedPageBreak/>
        <w:t>1. Introduction</w:t>
      </w:r>
      <w:bookmarkEnd w:id="0"/>
    </w:p>
    <w:p w14:paraId="7CBB7792" w14:textId="77777777" w:rsidR="00552735" w:rsidRPr="00552735" w:rsidRDefault="00552735" w:rsidP="007D56F9">
      <w:pPr>
        <w:spacing w:before="100" w:beforeAutospacing="1" w:after="100" w:afterAutospacing="1" w:line="360" w:lineRule="auto"/>
        <w:jc w:val="both"/>
        <w:rPr>
          <w:rFonts w:eastAsia="Times New Roman" w:cs="Arial"/>
          <w:kern w:val="0"/>
          <w14:ligatures w14:val="none"/>
        </w:rPr>
      </w:pPr>
      <w:r w:rsidRPr="00552735">
        <w:rPr>
          <w:rFonts w:eastAsia="Times New Roman" w:cs="Arial"/>
          <w:kern w:val="0"/>
          <w14:ligatures w14:val="none"/>
        </w:rPr>
        <w:t>Apple’s Health Technologies Division, a core component of Apple Inc.’s broader strategic ecosystem, has become a leading force in consumer-oriented digital health innovation within the UK market. The division encompasses interdisciplinary teams responsible for designing advanced biometric sensors, developing clinical-grade health algorithms, and integrating digital health infrastructure across Apple devices. Its mission aligns with Apple’s overarching vision to empower individuals through accessible, user-centred technologies that support wellbeing, preventative care, and personalised health insights.</w:t>
      </w:r>
    </w:p>
    <w:p w14:paraId="4AEB6E26" w14:textId="77777777" w:rsidR="00552735" w:rsidRPr="007D56F9" w:rsidRDefault="00552735" w:rsidP="007D56F9">
      <w:pPr>
        <w:spacing w:before="100" w:beforeAutospacing="1" w:after="100" w:afterAutospacing="1" w:line="360" w:lineRule="auto"/>
        <w:jc w:val="both"/>
        <w:rPr>
          <w:rFonts w:eastAsia="Times New Roman" w:cs="Arial"/>
          <w:kern w:val="0"/>
          <w14:ligatures w14:val="none"/>
        </w:rPr>
      </w:pPr>
      <w:r w:rsidRPr="00552735">
        <w:rPr>
          <w:rFonts w:eastAsia="Times New Roman" w:cs="Arial"/>
          <w:kern w:val="0"/>
          <w14:ligatures w14:val="none"/>
        </w:rPr>
        <w:t>In response to increasing demand for accurate, real-time biometric monitoring, the company is preparing to launch a new wearable health device that tracks heart rate, oxygen saturation (SpO</w:t>
      </w:r>
      <w:r w:rsidRPr="00552735">
        <w:rPr>
          <w:rFonts w:ascii="Cambria Math" w:eastAsia="Times New Roman" w:hAnsi="Cambria Math" w:cs="Cambria Math"/>
          <w:kern w:val="0"/>
          <w14:ligatures w14:val="none"/>
        </w:rPr>
        <w:t>₂</w:t>
      </w:r>
      <w:r w:rsidRPr="00552735">
        <w:rPr>
          <w:rFonts w:eastAsia="Times New Roman" w:cs="Arial"/>
          <w:kern w:val="0"/>
          <w14:ligatures w14:val="none"/>
        </w:rPr>
        <w:t>), and sleep patterns. Scheduled for release in six months, this product represents a strategic expansion of Apple’s health portfolio and aims to enhance user experience through improved data precision, seamless system integration, and compatibility with emerging health partnerships across the UK, including NHS-affiliated digital pathways.</w:t>
      </w:r>
    </w:p>
    <w:p w14:paraId="1875FDA9" w14:textId="5F75F2AB" w:rsidR="00552735" w:rsidRPr="007D56F9" w:rsidRDefault="00552735" w:rsidP="007D56F9">
      <w:pPr>
        <w:spacing w:before="100" w:beforeAutospacing="1" w:after="100" w:afterAutospacing="1" w:line="360" w:lineRule="auto"/>
        <w:jc w:val="both"/>
        <w:rPr>
          <w:rFonts w:eastAsia="Times New Roman" w:cs="Arial"/>
          <w:kern w:val="0"/>
          <w14:ligatures w14:val="none"/>
        </w:rPr>
      </w:pPr>
      <w:r w:rsidRPr="00552735">
        <w:rPr>
          <w:rFonts w:eastAsia="Times New Roman" w:cs="Arial"/>
          <w:kern w:val="0"/>
          <w14:ligatures w14:val="none"/>
        </w:rPr>
        <w:t>This report outlines the project management approach required to prepare the product for launch, with a specific focus on stakeholder engagement mechanisms. As a project manager, I will be responsible for mobilising internal and external stakeholders, facilitating effective collaboration, and ensuring that their contributions advance the project’s strategic, technical, and commercial objectives.</w:t>
      </w:r>
    </w:p>
    <w:p w14:paraId="02DFC834" w14:textId="1A2B5DFF" w:rsidR="00552735" w:rsidRPr="007D56F9" w:rsidRDefault="00552735" w:rsidP="007D56F9">
      <w:pPr>
        <w:pStyle w:val="1"/>
      </w:pPr>
      <w:bookmarkStart w:id="1" w:name="_Toc216785062"/>
      <w:r w:rsidRPr="007D56F9">
        <w:t>2. Company Appraisal Using SWOT</w:t>
      </w:r>
      <w:bookmarkEnd w:id="1"/>
      <w:r w:rsidRPr="007D56F9">
        <w:t xml:space="preserve"> </w:t>
      </w:r>
    </w:p>
    <w:p w14:paraId="299965D6" w14:textId="77777777" w:rsidR="00552735" w:rsidRPr="007D56F9" w:rsidRDefault="00552735" w:rsidP="007D56F9">
      <w:pPr>
        <w:spacing w:before="100" w:beforeAutospacing="1" w:after="100" w:afterAutospacing="1" w:line="360" w:lineRule="auto"/>
        <w:jc w:val="both"/>
        <w:rPr>
          <w:rFonts w:eastAsia="Times New Roman" w:cs="Arial"/>
          <w:kern w:val="0"/>
          <w14:ligatures w14:val="none"/>
        </w:rPr>
      </w:pPr>
      <w:r w:rsidRPr="00552735">
        <w:rPr>
          <w:rFonts w:eastAsia="Times New Roman" w:cs="Arial"/>
          <w:kern w:val="0"/>
          <w14:ligatures w14:val="none"/>
        </w:rPr>
        <w:t>A SWOT analysis provides a structured method for evaluating Apple’s Health Technologies Division’s internal capabilities and the external environment that may influence the successful launch of the new wearable health device. This appraisal assists in identifying strategic considerations for stakeholder engagement and resource allocation.</w:t>
      </w:r>
    </w:p>
    <w:p w14:paraId="154E4768" w14:textId="346BE0BC" w:rsidR="00552735" w:rsidRPr="007D56F9" w:rsidRDefault="00552735" w:rsidP="007D56F9">
      <w:pPr>
        <w:pStyle w:val="3"/>
      </w:pPr>
      <w:bookmarkStart w:id="2" w:name="_Toc216785063"/>
      <w:r w:rsidRPr="007D56F9">
        <w:lastRenderedPageBreak/>
        <w:t>Strengths</w:t>
      </w:r>
      <w:bookmarkEnd w:id="2"/>
    </w:p>
    <w:p w14:paraId="439F518C" w14:textId="77777777" w:rsidR="00552735" w:rsidRPr="007D56F9" w:rsidRDefault="00552735" w:rsidP="007D56F9">
      <w:pPr>
        <w:spacing w:before="100" w:beforeAutospacing="1" w:after="100" w:afterAutospacing="1" w:line="360" w:lineRule="auto"/>
        <w:jc w:val="both"/>
        <w:rPr>
          <w:rFonts w:eastAsia="Times New Roman" w:cs="Arial"/>
          <w:kern w:val="0"/>
          <w14:ligatures w14:val="none"/>
        </w:rPr>
      </w:pPr>
      <w:r w:rsidRPr="00552735">
        <w:rPr>
          <w:rFonts w:eastAsia="Times New Roman" w:cs="Arial"/>
          <w:kern w:val="0"/>
          <w14:ligatures w14:val="none"/>
        </w:rPr>
        <w:t>Apple possesses a globally recognised brand and strong consumer trust, particularly in relation to high-quality hardware and data security. The Apple Health ecosystem is well-established, integrating HealthKit, ResearchKit, and CareKit platforms that enable seamless interaction across devices and healthcare partners. The company’s substantial research and development capacity, combined with its history of clinical collaborations, supports the creation of accurate health-monitoring technologies. Furthermore, Apple’s data protection frameworks, including end-to-end encryption and strict privacy standards, provide competitive advantage in a sector where consumers demand transparency and regulatory compliance is stringent.</w:t>
      </w:r>
    </w:p>
    <w:p w14:paraId="0DAD16F0" w14:textId="69B0EDCA" w:rsidR="00552735" w:rsidRPr="007D56F9" w:rsidRDefault="00552735" w:rsidP="007D56F9">
      <w:pPr>
        <w:pStyle w:val="3"/>
      </w:pPr>
      <w:bookmarkStart w:id="3" w:name="_Toc216785064"/>
      <w:r w:rsidRPr="007D56F9">
        <w:t>Weaknesses</w:t>
      </w:r>
      <w:bookmarkEnd w:id="3"/>
    </w:p>
    <w:p w14:paraId="2767BA15" w14:textId="77777777" w:rsidR="00552735" w:rsidRPr="00552735" w:rsidRDefault="00552735" w:rsidP="007D56F9">
      <w:pPr>
        <w:spacing w:before="100" w:beforeAutospacing="1" w:after="100" w:afterAutospacing="1" w:line="360" w:lineRule="auto"/>
        <w:jc w:val="both"/>
        <w:rPr>
          <w:rFonts w:eastAsia="Times New Roman" w:cs="Arial"/>
          <w:kern w:val="0"/>
          <w14:ligatures w14:val="none"/>
        </w:rPr>
      </w:pPr>
      <w:r w:rsidRPr="00552735">
        <w:rPr>
          <w:rFonts w:eastAsia="Times New Roman" w:cs="Arial"/>
          <w:kern w:val="0"/>
          <w14:ligatures w14:val="none"/>
        </w:rPr>
        <w:t>Despite its strengths, Apple faces internal and external challenges. Its premium pricing strategy may limit accessibility in some UK market segments, potentially affecting adoption rates. Apple’s reliance on complex global supply chains introduces risks of disruption, particularly in the semiconductor and sensor components markets. Additionally, the company has faced scrutiny regarding the classification of its devices as medical or wellness tools, which can complicate regulatory approval processes within the UK’s MHRA (Medicines and Healthcare products Regulatory Agency) framework.</w:t>
      </w:r>
    </w:p>
    <w:p w14:paraId="1A29BEAA" w14:textId="77777777" w:rsidR="00552735" w:rsidRPr="007D56F9" w:rsidRDefault="00552735" w:rsidP="007D56F9">
      <w:pPr>
        <w:pStyle w:val="3"/>
      </w:pPr>
      <w:bookmarkStart w:id="4" w:name="_Toc216785065"/>
      <w:r w:rsidRPr="007D56F9">
        <w:t>Opportunities</w:t>
      </w:r>
      <w:bookmarkEnd w:id="4"/>
    </w:p>
    <w:p w14:paraId="2A516136" w14:textId="1107DAEC" w:rsidR="007D56F9" w:rsidRPr="007D56F9" w:rsidRDefault="00552735" w:rsidP="007D56F9">
      <w:pPr>
        <w:spacing w:before="100" w:beforeAutospacing="1" w:after="100" w:afterAutospacing="1" w:line="360" w:lineRule="auto"/>
        <w:jc w:val="both"/>
        <w:rPr>
          <w:rFonts w:eastAsia="Times New Roman" w:cs="Arial"/>
          <w:kern w:val="0"/>
          <w14:ligatures w14:val="none"/>
        </w:rPr>
      </w:pPr>
      <w:r w:rsidRPr="00552735">
        <w:rPr>
          <w:rFonts w:eastAsia="Times New Roman" w:cs="Arial"/>
          <w:kern w:val="0"/>
          <w14:ligatures w14:val="none"/>
        </w:rPr>
        <w:t>The UK health-tech environment offers several growth opportunities. Rising public interest in preventative care and digital self-monitoring supports increased demand for advanced wearables. Apple’s existing partnerships with the NHS and private healthcare providers open pathways for integrated health management solutions. The expansion of AI-driven analytics in consumer health creates opportunities for new features that improve prediction, early detection, and personalised intervention. Additionally, corporate wellness program</w:t>
      </w:r>
      <w:r w:rsidRPr="007D56F9">
        <w:rPr>
          <w:rFonts w:eastAsia="Times New Roman" w:cs="Arial"/>
          <w:kern w:val="0"/>
          <w14:ligatures w14:val="none"/>
        </w:rPr>
        <w:t>s</w:t>
      </w:r>
      <w:r w:rsidRPr="00552735">
        <w:rPr>
          <w:rFonts w:eastAsia="Times New Roman" w:cs="Arial"/>
          <w:kern w:val="0"/>
          <w14:ligatures w14:val="none"/>
        </w:rPr>
        <w:t xml:space="preserve"> and insurance incentives could accelerate market penetration.</w:t>
      </w:r>
    </w:p>
    <w:p w14:paraId="6B03DE47" w14:textId="4275D470" w:rsidR="00552735" w:rsidRPr="007D56F9" w:rsidRDefault="00552735" w:rsidP="005923AA">
      <w:pPr>
        <w:pStyle w:val="3"/>
        <w:rPr>
          <w:rFonts w:eastAsia="Times New Roman"/>
        </w:rPr>
      </w:pPr>
      <w:bookmarkStart w:id="5" w:name="_Toc216785066"/>
      <w:r w:rsidRPr="007D56F9">
        <w:rPr>
          <w:rFonts w:eastAsia="Times New Roman"/>
        </w:rPr>
        <w:lastRenderedPageBreak/>
        <w:t>Threats</w:t>
      </w:r>
      <w:bookmarkEnd w:id="5"/>
    </w:p>
    <w:p w14:paraId="752D2CF0" w14:textId="30161881" w:rsidR="00552735" w:rsidRPr="00552735" w:rsidRDefault="00552735" w:rsidP="007D56F9">
      <w:pPr>
        <w:spacing w:before="100" w:beforeAutospacing="1" w:after="100" w:afterAutospacing="1" w:line="360" w:lineRule="auto"/>
        <w:jc w:val="both"/>
        <w:rPr>
          <w:rFonts w:eastAsia="Times New Roman" w:cs="Arial"/>
          <w:kern w:val="0"/>
          <w14:ligatures w14:val="none"/>
        </w:rPr>
      </w:pPr>
      <w:r w:rsidRPr="00552735">
        <w:rPr>
          <w:rFonts w:eastAsia="Times New Roman" w:cs="Arial"/>
          <w:kern w:val="0"/>
          <w14:ligatures w14:val="none"/>
        </w:rPr>
        <w:t>Competitive pressures from companies such as Fitbit, Samsung, and Garmin remain significant, particularly in terms of price and feature innovation. Evolving UK regulations regarding data protection (GDPR) and digital health devices may require ongoing compliance adjustments. Cybersecurity threats pose constant risks to health data integrity, and any breach</w:t>
      </w:r>
      <w:r w:rsidR="005923AA">
        <w:rPr>
          <w:rFonts w:eastAsia="Times New Roman" w:cs="Arial"/>
          <w:kern w:val="0"/>
          <w14:ligatures w14:val="none"/>
        </w:rPr>
        <w:t xml:space="preserve"> </w:t>
      </w:r>
      <w:r w:rsidRPr="00552735">
        <w:rPr>
          <w:rFonts w:eastAsia="Times New Roman" w:cs="Arial"/>
          <w:kern w:val="0"/>
          <w14:ligatures w14:val="none"/>
        </w:rPr>
        <w:t>regardless of cause</w:t>
      </w:r>
      <w:r w:rsidR="005923AA">
        <w:rPr>
          <w:rFonts w:eastAsia="Times New Roman" w:cs="Arial"/>
          <w:kern w:val="0"/>
          <w14:ligatures w14:val="none"/>
        </w:rPr>
        <w:t xml:space="preserve"> </w:t>
      </w:r>
      <w:r w:rsidRPr="00552735">
        <w:rPr>
          <w:rFonts w:eastAsia="Times New Roman" w:cs="Arial"/>
          <w:kern w:val="0"/>
          <w14:ligatures w14:val="none"/>
        </w:rPr>
        <w:t>could undermine consumer trust. Finally, macroeconomic instability may reduce consumer spending on premium electronic devices.</w:t>
      </w:r>
    </w:p>
    <w:p w14:paraId="6AF3DDFE" w14:textId="77777777" w:rsidR="00552735" w:rsidRPr="007D56F9" w:rsidRDefault="00552735" w:rsidP="007D56F9">
      <w:pPr>
        <w:spacing w:before="100" w:beforeAutospacing="1" w:after="100" w:afterAutospacing="1" w:line="360" w:lineRule="auto"/>
        <w:jc w:val="both"/>
        <w:rPr>
          <w:rFonts w:eastAsia="Times New Roman" w:cs="Arial"/>
          <w:kern w:val="0"/>
          <w14:ligatures w14:val="none"/>
        </w:rPr>
      </w:pPr>
      <w:r w:rsidRPr="00552735">
        <w:rPr>
          <w:rFonts w:eastAsia="Times New Roman" w:cs="Arial"/>
          <w:kern w:val="0"/>
          <w14:ligatures w14:val="none"/>
        </w:rPr>
        <w:t>Overall, the SWOT appraisal indicates that while Apple is well-positioned to introduce the new wearable device, sustained stakeholder engagement is essential to mitigate risks, leverage opportunities, and ensure alignment across technical, regulatory, and commercial functions.</w:t>
      </w:r>
    </w:p>
    <w:p w14:paraId="21D19C82" w14:textId="06E99F5A" w:rsidR="007D56F9" w:rsidRPr="005923AA" w:rsidRDefault="007D56F9" w:rsidP="005923AA">
      <w:pPr>
        <w:pStyle w:val="1"/>
      </w:pPr>
      <w:bookmarkStart w:id="6" w:name="_Toc216785067"/>
      <w:r w:rsidRPr="005923AA">
        <w:t>3. Evaluation of Contemporary HR Practices to Address These Factors</w:t>
      </w:r>
      <w:bookmarkEnd w:id="6"/>
    </w:p>
    <w:p w14:paraId="7331A619" w14:textId="77777777" w:rsidR="007D56F9" w:rsidRPr="005923AA" w:rsidRDefault="007D56F9" w:rsidP="005923AA">
      <w:pPr>
        <w:pStyle w:val="2"/>
      </w:pPr>
      <w:bookmarkStart w:id="7" w:name="_Toc216785068"/>
      <w:r w:rsidRPr="005923AA">
        <w:t>3.1. HR Practices for Business Transformation</w:t>
      </w:r>
      <w:bookmarkEnd w:id="7"/>
    </w:p>
    <w:p w14:paraId="5C3C52D4" w14:textId="03FE9D41" w:rsidR="007D56F9" w:rsidRPr="007D56F9" w:rsidRDefault="007D56F9" w:rsidP="007D56F9">
      <w:pPr>
        <w:pStyle w:val="p3"/>
        <w:spacing w:line="360" w:lineRule="auto"/>
        <w:jc w:val="both"/>
        <w:rPr>
          <w:rFonts w:ascii="Arial" w:hAnsi="Arial" w:cs="Arial"/>
        </w:rPr>
      </w:pPr>
      <w:r w:rsidRPr="007D56F9">
        <w:rPr>
          <w:rFonts w:ascii="Arial" w:hAnsi="Arial" w:cs="Arial"/>
        </w:rPr>
        <w:t>To address the challenges arising from organisational transformation, Park Plaza must implement structured and evidence-based HR practices. Applying recognised change management models such as Lewin’s “Unfreeze</w:t>
      </w:r>
      <w:r w:rsidR="005923AA">
        <w:rPr>
          <w:rFonts w:ascii="Arial" w:hAnsi="Arial" w:cs="Arial"/>
        </w:rPr>
        <w:t xml:space="preserve"> </w:t>
      </w:r>
      <w:r w:rsidRPr="007D56F9">
        <w:rPr>
          <w:rFonts w:ascii="Arial" w:hAnsi="Arial" w:cs="Arial"/>
        </w:rPr>
        <w:t>Change</w:t>
      </w:r>
      <w:r w:rsidR="005923AA">
        <w:rPr>
          <w:rFonts w:ascii="Arial" w:hAnsi="Arial" w:cs="Arial"/>
        </w:rPr>
        <w:t xml:space="preserve"> </w:t>
      </w:r>
      <w:r w:rsidRPr="007D56F9">
        <w:rPr>
          <w:rFonts w:ascii="Arial" w:hAnsi="Arial" w:cs="Arial"/>
        </w:rPr>
        <w:t>Refreeze” or Kotter’s eight-stage process can bring order, clarity, and employee involvement to the transformation process. These frameworks emphasise transparent communication, stakeholder engagement, and gradual integration of new systems, which can reduce resistance and prevent the confusion driving many grievances.</w:t>
      </w:r>
    </w:p>
    <w:p w14:paraId="3F24640C" w14:textId="77777777" w:rsidR="007D56F9" w:rsidRPr="007D56F9" w:rsidRDefault="007D56F9" w:rsidP="007D56F9">
      <w:pPr>
        <w:pStyle w:val="p3"/>
        <w:spacing w:line="360" w:lineRule="auto"/>
        <w:jc w:val="both"/>
        <w:rPr>
          <w:rFonts w:ascii="Arial" w:hAnsi="Arial" w:cs="Arial"/>
        </w:rPr>
      </w:pPr>
      <w:r w:rsidRPr="007D56F9">
        <w:rPr>
          <w:rFonts w:ascii="Arial" w:hAnsi="Arial" w:cs="Arial"/>
        </w:rPr>
        <w:t xml:space="preserve">Workforce planning is a critical practice to ensure departments are staffed appropriately during peak and off-peak seasons. HR should carry out demand forecasting, review skills inventories, and create clear job descriptions that reflect current expectations. This </w:t>
      </w:r>
      <w:r w:rsidRPr="007D56F9">
        <w:rPr>
          <w:rFonts w:ascii="Arial" w:hAnsi="Arial" w:cs="Arial"/>
        </w:rPr>
        <w:lastRenderedPageBreak/>
        <w:t>practice helps eliminate role ambiguity and ensures employees understand their responsibilities following restructuring.</w:t>
      </w:r>
    </w:p>
    <w:p w14:paraId="26384D51" w14:textId="77777777" w:rsidR="007D56F9" w:rsidRPr="007D56F9" w:rsidRDefault="007D56F9" w:rsidP="007D56F9">
      <w:pPr>
        <w:pStyle w:val="p3"/>
        <w:spacing w:line="360" w:lineRule="auto"/>
        <w:jc w:val="both"/>
        <w:rPr>
          <w:rFonts w:ascii="Arial" w:hAnsi="Arial" w:cs="Arial"/>
        </w:rPr>
      </w:pPr>
      <w:r w:rsidRPr="007D56F9">
        <w:rPr>
          <w:rFonts w:ascii="Arial" w:hAnsi="Arial" w:cs="Arial"/>
        </w:rPr>
        <w:t>Upskilling and reskilling programmes are another essential HR practice. Park Plaza can introduce structured training to prepare employees for cross-functional roles, equipping them with the competencies needed for multi-tasking. When employees feel supported through training, grievances around “unfair expectations” or “lack of preparation” are significantly reduced.</w:t>
      </w:r>
    </w:p>
    <w:p w14:paraId="2DBDEC46" w14:textId="77777777" w:rsidR="007D56F9" w:rsidRPr="007D56F9" w:rsidRDefault="007D56F9" w:rsidP="007D56F9">
      <w:pPr>
        <w:pStyle w:val="p3"/>
        <w:spacing w:line="360" w:lineRule="auto"/>
        <w:jc w:val="both"/>
        <w:rPr>
          <w:rFonts w:ascii="Arial" w:hAnsi="Arial" w:cs="Arial"/>
        </w:rPr>
      </w:pPr>
      <w:r w:rsidRPr="007D56F9">
        <w:rPr>
          <w:rFonts w:ascii="Arial" w:hAnsi="Arial" w:cs="Arial"/>
        </w:rPr>
        <w:t>Inclusive decision-making also plays a vital role. Contemporary HR emphasises participatory approaches such as employee forums, focus groups, and pulse surveys to gather feedback before implementing major changes. Involving employees builds trust and reduces resistance, especially among long-serving staff.</w:t>
      </w:r>
    </w:p>
    <w:p w14:paraId="26FF5245" w14:textId="541DD386" w:rsidR="007D56F9" w:rsidRPr="005923AA" w:rsidRDefault="007D56F9" w:rsidP="005923AA">
      <w:pPr>
        <w:pStyle w:val="p3"/>
        <w:spacing w:line="360" w:lineRule="auto"/>
        <w:jc w:val="both"/>
        <w:rPr>
          <w:rStyle w:val="s1"/>
          <w:rFonts w:ascii="Arial" w:hAnsi="Arial" w:cs="Arial"/>
        </w:rPr>
      </w:pPr>
      <w:r w:rsidRPr="007D56F9">
        <w:rPr>
          <w:rFonts w:ascii="Arial" w:hAnsi="Arial" w:cs="Arial"/>
        </w:rPr>
        <w:t>Internal communication strategies</w:t>
      </w:r>
      <w:r w:rsidR="005923AA">
        <w:rPr>
          <w:rFonts w:ascii="Arial" w:hAnsi="Arial" w:cs="Arial"/>
        </w:rPr>
        <w:t xml:space="preserve"> </w:t>
      </w:r>
      <w:r w:rsidRPr="007D56F9">
        <w:rPr>
          <w:rFonts w:ascii="Arial" w:hAnsi="Arial" w:cs="Arial"/>
        </w:rPr>
        <w:t>including town hall meetings, departmental briefings, and HR newsletters</w:t>
      </w:r>
      <w:r w:rsidR="005923AA">
        <w:rPr>
          <w:rFonts w:ascii="Arial" w:hAnsi="Arial" w:cs="Arial"/>
        </w:rPr>
        <w:t xml:space="preserve"> </w:t>
      </w:r>
      <w:r w:rsidRPr="007D56F9">
        <w:rPr>
          <w:rFonts w:ascii="Arial" w:hAnsi="Arial" w:cs="Arial"/>
        </w:rPr>
        <w:t>ensure employees remain informed. This transparency helps the workforce understand the rationale behind organisational changes and reduces misinformation that often results in grievances.</w:t>
      </w:r>
    </w:p>
    <w:p w14:paraId="2C03D691" w14:textId="77777777" w:rsidR="007D56F9" w:rsidRPr="007D56F9" w:rsidRDefault="007D56F9" w:rsidP="007D56F9">
      <w:pPr>
        <w:pStyle w:val="2"/>
        <w:spacing w:line="360" w:lineRule="auto"/>
        <w:jc w:val="both"/>
        <w:rPr>
          <w:rFonts w:ascii="Arial" w:hAnsi="Arial" w:cs="Arial"/>
          <w:sz w:val="24"/>
          <w:szCs w:val="24"/>
        </w:rPr>
      </w:pPr>
      <w:bookmarkStart w:id="8" w:name="_Toc216785069"/>
      <w:r w:rsidRPr="007D56F9">
        <w:rPr>
          <w:rFonts w:ascii="Arial" w:hAnsi="Arial" w:cs="Arial"/>
          <w:sz w:val="24"/>
          <w:szCs w:val="24"/>
        </w:rPr>
        <w:t>3.2. HR Practices for Digital Technology Trends</w:t>
      </w:r>
      <w:bookmarkEnd w:id="8"/>
    </w:p>
    <w:p w14:paraId="24E3380F" w14:textId="77777777" w:rsidR="007D56F9" w:rsidRPr="007D56F9" w:rsidRDefault="007D56F9" w:rsidP="007D56F9">
      <w:pPr>
        <w:pStyle w:val="p3"/>
        <w:spacing w:line="360" w:lineRule="auto"/>
        <w:jc w:val="both"/>
        <w:rPr>
          <w:rFonts w:ascii="Arial" w:hAnsi="Arial" w:cs="Arial"/>
        </w:rPr>
      </w:pPr>
      <w:r w:rsidRPr="007D56F9">
        <w:rPr>
          <w:rFonts w:ascii="Arial" w:hAnsi="Arial" w:cs="Arial"/>
        </w:rPr>
        <w:t>To address issues related to digitalisation, HR must adopt practices that bridge skill gaps and ensure technology is perceived as supportive rather than punitive. Digital literacy training is one of the most effective measures. This can include scheduled workshops, multilingual instructions, micro-learning modules, and one-to-one coaching for employees who struggle with new systems.</w:t>
      </w:r>
    </w:p>
    <w:p w14:paraId="2E3C488D" w14:textId="77777777" w:rsidR="005923AA" w:rsidRDefault="007D56F9" w:rsidP="007D56F9">
      <w:pPr>
        <w:pStyle w:val="p3"/>
        <w:spacing w:line="360" w:lineRule="auto"/>
        <w:jc w:val="both"/>
        <w:rPr>
          <w:rFonts w:ascii="Arial" w:hAnsi="Arial" w:cs="Arial"/>
        </w:rPr>
      </w:pPr>
      <w:r w:rsidRPr="007D56F9">
        <w:rPr>
          <w:rFonts w:ascii="Arial" w:hAnsi="Arial" w:cs="Arial"/>
        </w:rPr>
        <w:t>Introducing a “Digital Champions” programme can also support adoption. Select employees across departments can be trained thoroughly in digital tools and tasked with assisting colleagues. This approach promotes peer learning, reduces reliance on managers for technical troubleshooting, and strengthens team cohesion.</w:t>
      </w:r>
    </w:p>
    <w:p w14:paraId="404AFDFE" w14:textId="5612E732" w:rsidR="007D56F9" w:rsidRPr="007D56F9" w:rsidRDefault="007D56F9" w:rsidP="007D56F9">
      <w:pPr>
        <w:pStyle w:val="p3"/>
        <w:spacing w:line="360" w:lineRule="auto"/>
        <w:jc w:val="both"/>
        <w:rPr>
          <w:rFonts w:ascii="Arial" w:hAnsi="Arial" w:cs="Arial"/>
        </w:rPr>
      </w:pPr>
      <w:r w:rsidRPr="007D56F9">
        <w:rPr>
          <w:rFonts w:ascii="Arial" w:hAnsi="Arial" w:cs="Arial"/>
        </w:rPr>
        <w:lastRenderedPageBreak/>
        <w:t>Transparent digital monitoring policies are essential. Employees must clearly understand what data is collected, why it is used, and how it benefits the organisation. Ensuring GDPR compliance and ethical monitoring builds trust and protects employee rights.</w:t>
      </w:r>
    </w:p>
    <w:p w14:paraId="22E7F463" w14:textId="77777777" w:rsidR="007D56F9" w:rsidRPr="007D56F9" w:rsidRDefault="007D56F9" w:rsidP="007D56F9">
      <w:pPr>
        <w:pStyle w:val="p3"/>
        <w:spacing w:line="360" w:lineRule="auto"/>
        <w:jc w:val="both"/>
        <w:rPr>
          <w:rFonts w:ascii="Arial" w:hAnsi="Arial" w:cs="Arial"/>
        </w:rPr>
      </w:pPr>
      <w:r w:rsidRPr="007D56F9">
        <w:rPr>
          <w:rFonts w:ascii="Arial" w:hAnsi="Arial" w:cs="Arial"/>
        </w:rPr>
        <w:t>HR can also invest in user-friendly onboarding processes for digital systems. For example, combining e-learning with in-person shadowing, or offering structured tech induction for new employees, can reduce early frustration. HR analytics is another contemporary practice that supports decision-making; by analysing patterns in grievances, turnover, or sick leave, HR can identify systemic issues linked to digital workloads and intervene proactively.</w:t>
      </w:r>
    </w:p>
    <w:p w14:paraId="5D8A8001" w14:textId="03B68192" w:rsidR="007D56F9" w:rsidRPr="005923AA" w:rsidRDefault="007D56F9" w:rsidP="005923AA">
      <w:pPr>
        <w:pStyle w:val="p3"/>
        <w:spacing w:line="360" w:lineRule="auto"/>
        <w:jc w:val="both"/>
        <w:rPr>
          <w:rStyle w:val="s1"/>
          <w:rFonts w:ascii="Arial" w:hAnsi="Arial" w:cs="Arial"/>
        </w:rPr>
      </w:pPr>
      <w:r w:rsidRPr="007D56F9">
        <w:rPr>
          <w:rFonts w:ascii="Arial" w:hAnsi="Arial" w:cs="Arial"/>
        </w:rPr>
        <w:t>Finally, adopting a continuous learning culture ensures that digital development is not perceived as an occasional burden but an integrated part of professional growth. Certificates, digital badges, and recognition for completing modules can motivate employees to engage more positively with new tools.</w:t>
      </w:r>
    </w:p>
    <w:p w14:paraId="255D9C4D" w14:textId="77777777" w:rsidR="007D56F9" w:rsidRPr="007D56F9" w:rsidRDefault="007D56F9" w:rsidP="007D56F9">
      <w:pPr>
        <w:pStyle w:val="2"/>
        <w:spacing w:line="360" w:lineRule="auto"/>
        <w:jc w:val="both"/>
        <w:rPr>
          <w:rFonts w:ascii="Arial" w:hAnsi="Arial" w:cs="Arial"/>
          <w:sz w:val="24"/>
          <w:szCs w:val="24"/>
        </w:rPr>
      </w:pPr>
      <w:bookmarkStart w:id="9" w:name="_Toc216785070"/>
      <w:r w:rsidRPr="007D56F9">
        <w:rPr>
          <w:rFonts w:ascii="Arial" w:hAnsi="Arial" w:cs="Arial"/>
          <w:sz w:val="24"/>
          <w:szCs w:val="24"/>
        </w:rPr>
        <w:t>3.3. HR Practices for Flexible Working Arrangements</w:t>
      </w:r>
      <w:bookmarkEnd w:id="9"/>
    </w:p>
    <w:p w14:paraId="67D5B6B3" w14:textId="77777777" w:rsidR="007D56F9" w:rsidRPr="007D56F9" w:rsidRDefault="007D56F9" w:rsidP="007D56F9">
      <w:pPr>
        <w:pStyle w:val="p3"/>
        <w:spacing w:line="360" w:lineRule="auto"/>
        <w:jc w:val="both"/>
        <w:rPr>
          <w:rFonts w:ascii="Arial" w:hAnsi="Arial" w:cs="Arial"/>
        </w:rPr>
      </w:pPr>
      <w:r w:rsidRPr="007D56F9">
        <w:rPr>
          <w:rFonts w:ascii="Arial" w:hAnsi="Arial" w:cs="Arial"/>
        </w:rPr>
        <w:t>Flexible working requires structured HR practices that prioritise fairness, consistency, and operational feasibility. HR must first establish a clear flexible-working policy that aligns with UK legislation while recognising the limitations of hospitality roles. For corporate teams, hybrid working policies should define eligibility, expectations, communication protocols, and performance indicators.</w:t>
      </w:r>
    </w:p>
    <w:p w14:paraId="765A6085" w14:textId="77777777" w:rsidR="007D56F9" w:rsidRPr="007D56F9" w:rsidRDefault="007D56F9" w:rsidP="007D56F9">
      <w:pPr>
        <w:pStyle w:val="p3"/>
        <w:spacing w:line="360" w:lineRule="auto"/>
        <w:jc w:val="both"/>
        <w:rPr>
          <w:rFonts w:ascii="Arial" w:hAnsi="Arial" w:cs="Arial"/>
        </w:rPr>
      </w:pPr>
      <w:r w:rsidRPr="007D56F9">
        <w:rPr>
          <w:rFonts w:ascii="Arial" w:hAnsi="Arial" w:cs="Arial"/>
        </w:rPr>
        <w:t>For frontline departments, HR can implement rotational flexibility practices, such as predictable scheduling, shift-swapping systems, and advance rota planning. Tools such as digital rota platforms can reduce last-minute changes and improve transparency. Additionally, a shift-bidding system can empower employees to select preferred shifts where possible, improving motivation and perceived fairness.</w:t>
      </w:r>
    </w:p>
    <w:p w14:paraId="0435D711" w14:textId="77777777" w:rsidR="007D56F9" w:rsidRPr="007D56F9" w:rsidRDefault="007D56F9" w:rsidP="007D56F9">
      <w:pPr>
        <w:pStyle w:val="p2"/>
        <w:spacing w:line="360" w:lineRule="auto"/>
        <w:jc w:val="both"/>
        <w:rPr>
          <w:rFonts w:ascii="Arial" w:hAnsi="Arial" w:cs="Arial"/>
        </w:rPr>
      </w:pPr>
    </w:p>
    <w:p w14:paraId="20884753" w14:textId="77777777" w:rsidR="007D56F9" w:rsidRPr="007D56F9" w:rsidRDefault="007D56F9" w:rsidP="007D56F9">
      <w:pPr>
        <w:pStyle w:val="p3"/>
        <w:spacing w:line="360" w:lineRule="auto"/>
        <w:jc w:val="both"/>
        <w:rPr>
          <w:rFonts w:ascii="Arial" w:hAnsi="Arial" w:cs="Arial"/>
        </w:rPr>
      </w:pPr>
      <w:r w:rsidRPr="007D56F9">
        <w:rPr>
          <w:rFonts w:ascii="Arial" w:hAnsi="Arial" w:cs="Arial"/>
        </w:rPr>
        <w:lastRenderedPageBreak/>
        <w:t>Output-based performance management is another contemporary HR practice, especially for corporate roles. Instead of evaluating employees based on physical presence, managers can assess results and deliverables, which supports a more flexible and trust-based culture.</w:t>
      </w:r>
    </w:p>
    <w:p w14:paraId="4E734D34" w14:textId="77777777" w:rsidR="007D56F9" w:rsidRPr="007D56F9" w:rsidRDefault="007D56F9" w:rsidP="007D56F9">
      <w:pPr>
        <w:pStyle w:val="p3"/>
        <w:spacing w:line="360" w:lineRule="auto"/>
        <w:jc w:val="both"/>
        <w:rPr>
          <w:rFonts w:ascii="Arial" w:hAnsi="Arial" w:cs="Arial"/>
        </w:rPr>
      </w:pPr>
      <w:r w:rsidRPr="007D56F9">
        <w:rPr>
          <w:rFonts w:ascii="Arial" w:hAnsi="Arial" w:cs="Arial"/>
        </w:rPr>
        <w:t>Wellbeing initiatives are also essential. Fatigue management policies, access to mental health support, Employee Assistance Programmes, and departmental wellbeing champions can help reduce burnout and increase resilience.</w:t>
      </w:r>
    </w:p>
    <w:p w14:paraId="2E6674D7" w14:textId="37CFC4D3" w:rsidR="007D56F9" w:rsidRPr="007D56F9" w:rsidRDefault="007D56F9" w:rsidP="007D56F9">
      <w:pPr>
        <w:pStyle w:val="p3"/>
        <w:spacing w:line="360" w:lineRule="auto"/>
        <w:jc w:val="both"/>
        <w:rPr>
          <w:rFonts w:ascii="Arial" w:hAnsi="Arial" w:cs="Arial"/>
        </w:rPr>
      </w:pPr>
      <w:r w:rsidRPr="007D56F9">
        <w:rPr>
          <w:rFonts w:ascii="Arial" w:hAnsi="Arial" w:cs="Arial"/>
        </w:rPr>
        <w:t>Additionally, managers must receive formal training in handling flexible-working requests. This ensures decisions are consistent, legally compliant, and perceived as fair. Modern HR also emphasises team-building rituals</w:t>
      </w:r>
      <w:r w:rsidR="005923AA">
        <w:rPr>
          <w:rFonts w:ascii="Arial" w:hAnsi="Arial" w:cs="Arial"/>
        </w:rPr>
        <w:t xml:space="preserve"> </w:t>
      </w:r>
      <w:r w:rsidRPr="007D56F9">
        <w:rPr>
          <w:rFonts w:ascii="Arial" w:hAnsi="Arial" w:cs="Arial"/>
        </w:rPr>
        <w:t>both in-person and virtual</w:t>
      </w:r>
      <w:r w:rsidR="005923AA">
        <w:rPr>
          <w:rFonts w:ascii="Arial" w:hAnsi="Arial" w:cs="Arial"/>
        </w:rPr>
        <w:t xml:space="preserve"> </w:t>
      </w:r>
      <w:r w:rsidRPr="007D56F9">
        <w:rPr>
          <w:rFonts w:ascii="Arial" w:hAnsi="Arial" w:cs="Arial"/>
        </w:rPr>
        <w:t>to maintain cohesion across hybrid teams.</w:t>
      </w:r>
    </w:p>
    <w:p w14:paraId="44A4EAB4" w14:textId="77777777" w:rsidR="007D56F9" w:rsidRPr="007D56F9" w:rsidRDefault="007D56F9" w:rsidP="007D56F9">
      <w:pPr>
        <w:pStyle w:val="p3"/>
        <w:spacing w:line="360" w:lineRule="auto"/>
        <w:jc w:val="both"/>
        <w:rPr>
          <w:rFonts w:ascii="Arial" w:hAnsi="Arial" w:cs="Arial"/>
        </w:rPr>
      </w:pPr>
      <w:r w:rsidRPr="007D56F9">
        <w:rPr>
          <w:rFonts w:ascii="Arial" w:hAnsi="Arial" w:cs="Arial"/>
        </w:rPr>
        <w:t>Together, these HR practices can significantly reduce grievances and support a more equitable, transparent, and balanced working environment at Park Plaza London Waterloo.</w:t>
      </w:r>
    </w:p>
    <w:p w14:paraId="303A09B4" w14:textId="6F308973" w:rsidR="007D56F9" w:rsidRPr="00552735" w:rsidRDefault="007D56F9" w:rsidP="005923AA">
      <w:pPr>
        <w:pStyle w:val="1"/>
      </w:pPr>
      <w:bookmarkStart w:id="10" w:name="_Toc216785071"/>
      <w:r w:rsidRPr="005923AA">
        <w:t>4. A Critical Evaluation of How Departmental Managers Can Ensure Contemporary HR Practices Are Implemented as a Matter of Urgency</w:t>
      </w:r>
      <w:bookmarkEnd w:id="10"/>
    </w:p>
    <w:p w14:paraId="7DD68746" w14:textId="6C7748F0" w:rsidR="007D56F9" w:rsidRPr="007D56F9" w:rsidRDefault="007D56F9" w:rsidP="007D56F9">
      <w:pPr>
        <w:spacing w:before="100" w:beforeAutospacing="1" w:after="100" w:afterAutospacing="1" w:line="360" w:lineRule="auto"/>
        <w:jc w:val="both"/>
        <w:rPr>
          <w:rFonts w:eastAsia="Times New Roman" w:cs="Arial"/>
          <w:kern w:val="0"/>
          <w14:ligatures w14:val="none"/>
        </w:rPr>
      </w:pPr>
      <w:r w:rsidRPr="007D56F9">
        <w:rPr>
          <w:rFonts w:eastAsia="Times New Roman" w:cs="Arial"/>
          <w:kern w:val="0"/>
          <w14:ligatures w14:val="none"/>
        </w:rPr>
        <w:t>Departmental managers at Park Plaza London Waterloo play a pivotal role in ensuring that contemporary HR practices are not only formally introduced but implemented effectively and urgently. While HR can design policies and frameworks, it is line managers who translate these practices into daily operational behaviours. In a high-pressure hospitality environment, the success of business transformation, digital adoption, and flexible working arrangements depends heavily on managerial capability, leadership style, and accountability.</w:t>
      </w:r>
    </w:p>
    <w:p w14:paraId="2A10808B" w14:textId="77777777" w:rsidR="007D56F9" w:rsidRPr="007D56F9" w:rsidRDefault="007D56F9" w:rsidP="007D56F9">
      <w:pPr>
        <w:spacing w:before="100" w:beforeAutospacing="1" w:after="100" w:afterAutospacing="1" w:line="360" w:lineRule="auto"/>
        <w:jc w:val="both"/>
        <w:rPr>
          <w:rFonts w:eastAsia="Times New Roman" w:cs="Arial"/>
          <w:kern w:val="0"/>
          <w14:ligatures w14:val="none"/>
        </w:rPr>
      </w:pPr>
      <w:r w:rsidRPr="007D56F9">
        <w:rPr>
          <w:rFonts w:eastAsia="Times New Roman" w:cs="Arial"/>
          <w:kern w:val="0"/>
          <w14:ligatures w14:val="none"/>
        </w:rPr>
        <w:t xml:space="preserve">One of the most critical enablers of urgent implementation is leadership behaviour. Managers must adopt a transformational and inclusive leadership approach that </w:t>
      </w:r>
      <w:r w:rsidRPr="007D56F9">
        <w:rPr>
          <w:rFonts w:eastAsia="Times New Roman" w:cs="Arial"/>
          <w:kern w:val="0"/>
          <w14:ligatures w14:val="none"/>
        </w:rPr>
        <w:lastRenderedPageBreak/>
        <w:t>encourages engagement, trust, and adaptability during periods of change. Transformational leadership allows managers to articulate a clear vision for change, motivate employees, and address resistance constructively. Inclusive leadership is particularly relevant at Park Plaza due to its diverse workforce; managers must ensure that all employees feel heard, respected, and supported regardless of role, seniority, or cultural background. When employees perceive leadership as fair and empathetic, resistance to new practices decreases, and grievances are less likely to escalate.</w:t>
      </w:r>
    </w:p>
    <w:p w14:paraId="26DBA1C0" w14:textId="0D9B9AA1" w:rsidR="007D56F9" w:rsidRPr="007D56F9" w:rsidRDefault="007D56F9" w:rsidP="007D56F9">
      <w:pPr>
        <w:spacing w:before="100" w:beforeAutospacing="1" w:after="100" w:afterAutospacing="1" w:line="360" w:lineRule="auto"/>
        <w:jc w:val="both"/>
        <w:rPr>
          <w:rFonts w:eastAsia="Times New Roman" w:cs="Arial"/>
          <w:kern w:val="0"/>
          <w14:ligatures w14:val="none"/>
        </w:rPr>
      </w:pPr>
      <w:r w:rsidRPr="007D56F9">
        <w:rPr>
          <w:rFonts w:eastAsia="Times New Roman" w:cs="Arial"/>
          <w:kern w:val="0"/>
          <w14:ligatures w14:val="none"/>
        </w:rPr>
        <w:t xml:space="preserve">Operational communication is another key managerial responsibility. Managers must prioritise transparent and consistent communication through daily briefings, pre-shift meetings, and team updates. During business transformation, uncertainty is often a major driver of dissatisfaction. Clear explanations of why changes are occurring, how they will affect employees, and what support is available can significantly reduce anxiety and misinformation. Managers who fail to communicate effectively risk creating confusion and distrust, which can undermine even </w:t>
      </w:r>
      <w:r w:rsidR="005923AA" w:rsidRPr="007D56F9">
        <w:rPr>
          <w:rFonts w:eastAsia="Times New Roman" w:cs="Arial"/>
          <w:kern w:val="0"/>
          <w14:ligatures w14:val="none"/>
        </w:rPr>
        <w:t>well</w:t>
      </w:r>
      <w:r w:rsidR="005923AA">
        <w:rPr>
          <w:rFonts w:eastAsia="Times New Roman" w:cs="Arial"/>
          <w:kern w:val="0"/>
          <w14:ligatures w14:val="none"/>
        </w:rPr>
        <w:t>-designed</w:t>
      </w:r>
      <w:r w:rsidRPr="007D56F9">
        <w:rPr>
          <w:rFonts w:eastAsia="Times New Roman" w:cs="Arial"/>
          <w:kern w:val="0"/>
          <w14:ligatures w14:val="none"/>
        </w:rPr>
        <w:t xml:space="preserve"> HR initiatives.</w:t>
      </w:r>
    </w:p>
    <w:p w14:paraId="6B7E7D4E" w14:textId="3D5EF6B7" w:rsidR="007D56F9" w:rsidRPr="007D56F9" w:rsidRDefault="007D56F9" w:rsidP="007D56F9">
      <w:pPr>
        <w:spacing w:before="100" w:beforeAutospacing="1" w:after="100" w:afterAutospacing="1" w:line="360" w:lineRule="auto"/>
        <w:jc w:val="both"/>
        <w:rPr>
          <w:rFonts w:eastAsia="Times New Roman" w:cs="Arial"/>
          <w:kern w:val="0"/>
          <w14:ligatures w14:val="none"/>
        </w:rPr>
      </w:pPr>
      <w:r w:rsidRPr="007D56F9">
        <w:rPr>
          <w:rFonts w:eastAsia="Times New Roman" w:cs="Arial"/>
          <w:kern w:val="0"/>
          <w14:ligatures w14:val="none"/>
        </w:rPr>
        <w:t xml:space="preserve">The urgent implementation of digital HR practices also requires managers to act as facilitators rather than enforcers. Many </w:t>
      </w:r>
      <w:r w:rsidR="005923AA" w:rsidRPr="007D56F9">
        <w:rPr>
          <w:rFonts w:eastAsia="Times New Roman" w:cs="Arial"/>
          <w:kern w:val="0"/>
          <w14:ligatures w14:val="none"/>
        </w:rPr>
        <w:t>employees</w:t>
      </w:r>
      <w:r w:rsidRPr="007D56F9">
        <w:rPr>
          <w:rFonts w:eastAsia="Times New Roman" w:cs="Arial"/>
          <w:kern w:val="0"/>
          <w14:ligatures w14:val="none"/>
        </w:rPr>
        <w:t xml:space="preserve"> experience anxiety when confronted with new technologies, particularly if digital competence varies across the workforce. Managers must actively support digital adoption by encouraging participation in training, allocating time for learning, and modelling positive attitudes toward technology. Practical actions such as pairing digitally confident employees with those requiring additional support can accelerate learning and reduce frustration. Managers who rely solely on mandatory e-learning without ongoing support risk deepening resistance and disengagement.</w:t>
      </w:r>
    </w:p>
    <w:p w14:paraId="2643325E" w14:textId="77777777" w:rsidR="007D56F9" w:rsidRPr="007D56F9" w:rsidRDefault="007D56F9" w:rsidP="007D56F9">
      <w:pPr>
        <w:spacing w:before="100" w:beforeAutospacing="1" w:after="100" w:afterAutospacing="1" w:line="360" w:lineRule="auto"/>
        <w:jc w:val="both"/>
        <w:rPr>
          <w:rFonts w:eastAsia="Times New Roman" w:cs="Arial"/>
          <w:kern w:val="0"/>
          <w14:ligatures w14:val="none"/>
        </w:rPr>
      </w:pPr>
      <w:r w:rsidRPr="007D56F9">
        <w:rPr>
          <w:rFonts w:eastAsia="Times New Roman" w:cs="Arial"/>
          <w:kern w:val="0"/>
          <w14:ligatures w14:val="none"/>
        </w:rPr>
        <w:t xml:space="preserve">Flexible working arrangements further highlight the importance of managerial judgement and consistency. Managers must ensure that flexible working policies are applied fairly across departments and individuals. Inconsistency in approving shift swaps, leave requests, or hybrid working arrangements can quickly lead to perceptions of favouritism and inequality. To mitigate this risk, managers should use objective criteria when making decisions and document outcomes to ensure transparency. Regular one-to-one meetings </w:t>
      </w:r>
      <w:r w:rsidRPr="007D56F9">
        <w:rPr>
          <w:rFonts w:eastAsia="Times New Roman" w:cs="Arial"/>
          <w:kern w:val="0"/>
          <w14:ligatures w14:val="none"/>
        </w:rPr>
        <w:lastRenderedPageBreak/>
        <w:t>provide a valuable platform for discussing workload, wellbeing, and work-life balance, allowing issues to be addressed proactively rather than reactively through grievances.</w:t>
      </w:r>
    </w:p>
    <w:p w14:paraId="663366D3" w14:textId="77777777" w:rsidR="007D56F9" w:rsidRPr="007D56F9" w:rsidRDefault="007D56F9" w:rsidP="007D56F9">
      <w:pPr>
        <w:spacing w:before="100" w:beforeAutospacing="1" w:after="100" w:afterAutospacing="1" w:line="360" w:lineRule="auto"/>
        <w:jc w:val="both"/>
        <w:rPr>
          <w:rFonts w:eastAsia="Times New Roman" w:cs="Arial"/>
          <w:kern w:val="0"/>
          <w14:ligatures w14:val="none"/>
        </w:rPr>
      </w:pPr>
      <w:r w:rsidRPr="007D56F9">
        <w:rPr>
          <w:rFonts w:eastAsia="Times New Roman" w:cs="Arial"/>
          <w:kern w:val="0"/>
          <w14:ligatures w14:val="none"/>
        </w:rPr>
        <w:t>However, several barriers may hinder urgent implementation. These include heavy operational workloads, limited time for managerial training, resistance to change among long-serving employees, and uneven digital competence among managers themselves. To overcome these challenges, Park Plaza must ensure strong senior management support, targeted training for line managers, and clear accountability mechanisms. Providing managers with access to HR data, such as grievance trends and absence rates, enables evidence-based decision-making and early intervention.</w:t>
      </w:r>
    </w:p>
    <w:p w14:paraId="655309C3" w14:textId="616C82AA" w:rsidR="00552735" w:rsidRPr="007D56F9" w:rsidRDefault="007D56F9" w:rsidP="007D56F9">
      <w:pPr>
        <w:spacing w:before="100" w:beforeAutospacing="1" w:after="100" w:afterAutospacing="1" w:line="360" w:lineRule="auto"/>
        <w:jc w:val="both"/>
        <w:rPr>
          <w:rFonts w:eastAsia="Times New Roman" w:cs="Arial"/>
          <w:kern w:val="0"/>
          <w14:ligatures w14:val="none"/>
        </w:rPr>
      </w:pPr>
      <w:r w:rsidRPr="007D56F9">
        <w:rPr>
          <w:rFonts w:eastAsia="Times New Roman" w:cs="Arial"/>
          <w:kern w:val="0"/>
          <w14:ligatures w14:val="none"/>
        </w:rPr>
        <w:t>In conclusion, departmental managers are central to the rapid and effective implementation of contemporary HR practices at Park Plaza London Waterloo. Through adaptive leadership, transparent communication, consistent decision-making, and active support of employees, managers can reduce grievances, stabilise operations, and foster a more resilient and engaged workforce during periods of organisational change.</w:t>
      </w:r>
    </w:p>
    <w:p w14:paraId="37D9AC3A" w14:textId="77777777" w:rsidR="007D56F9" w:rsidRPr="007D56F9" w:rsidRDefault="007D56F9" w:rsidP="005923AA">
      <w:pPr>
        <w:pStyle w:val="1"/>
      </w:pPr>
      <w:bookmarkStart w:id="11" w:name="_Toc216785072"/>
      <w:r w:rsidRPr="007D56F9">
        <w:t>Conclusion</w:t>
      </w:r>
      <w:bookmarkEnd w:id="11"/>
    </w:p>
    <w:p w14:paraId="6F7DB465" w14:textId="77777777" w:rsidR="007D56F9" w:rsidRPr="007D56F9" w:rsidRDefault="007D56F9" w:rsidP="007D56F9">
      <w:pPr>
        <w:pStyle w:val="p1"/>
        <w:spacing w:line="360" w:lineRule="auto"/>
        <w:jc w:val="both"/>
        <w:rPr>
          <w:rFonts w:ascii="Arial" w:hAnsi="Arial" w:cs="Arial"/>
        </w:rPr>
      </w:pPr>
      <w:r w:rsidRPr="007D56F9">
        <w:rPr>
          <w:rFonts w:ascii="Arial" w:hAnsi="Arial" w:cs="Arial"/>
        </w:rPr>
        <w:t>This report has critically examined the challenges faced by Park Plaza London Waterloo during a period of significant organisational change. As a newly appointed HR professional, the volume and nature of employee grievances highlighted how business transformation, digital technological advancements, and evolving flexible working arrangements have created operational and cultural tensions within the hotel. Business restructuring, increased role demands, rapid digitalisation, and unequal access to flexibility have collectively contributed to employee dissatisfaction, stress, and perceptions of unfairness.</w:t>
      </w:r>
    </w:p>
    <w:p w14:paraId="40D3E15C" w14:textId="77777777" w:rsidR="007D56F9" w:rsidRPr="007D56F9" w:rsidRDefault="007D56F9" w:rsidP="007D56F9">
      <w:pPr>
        <w:pStyle w:val="p1"/>
        <w:spacing w:line="360" w:lineRule="auto"/>
        <w:jc w:val="both"/>
        <w:rPr>
          <w:rFonts w:ascii="Arial" w:hAnsi="Arial" w:cs="Arial"/>
        </w:rPr>
      </w:pPr>
      <w:r w:rsidRPr="007D56F9">
        <w:rPr>
          <w:rFonts w:ascii="Arial" w:hAnsi="Arial" w:cs="Arial"/>
        </w:rPr>
        <w:t xml:space="preserve">The analysis demonstrated that while these changes are strategically necessary to maintain competitiveness in the London hospitality market, their impact on employees must be carefully managed. Contemporary HR practices such as structured change management, digital skills development, transparent communication, and equitable </w:t>
      </w:r>
      <w:r w:rsidRPr="007D56F9">
        <w:rPr>
          <w:rFonts w:ascii="Arial" w:hAnsi="Arial" w:cs="Arial"/>
        </w:rPr>
        <w:lastRenderedPageBreak/>
        <w:t>flexible working frameworks provide effective mechanisms for addressing these issues. However, the success of these practices ultimately depends on the capability and commitment of departmental managers to implement them consistently and empathetically. Without strong managerial leadership and accountability, even well-designed HR initiatives risk failing to reduce grievances or improve employee engagement.</w:t>
      </w:r>
    </w:p>
    <w:p w14:paraId="1BFE4A0A" w14:textId="77777777" w:rsidR="007D56F9" w:rsidRPr="007D56F9" w:rsidRDefault="007D56F9" w:rsidP="007D56F9">
      <w:pPr>
        <w:pStyle w:val="p1"/>
        <w:spacing w:line="360" w:lineRule="auto"/>
        <w:jc w:val="both"/>
        <w:rPr>
          <w:rFonts w:ascii="Arial" w:hAnsi="Arial" w:cs="Arial"/>
        </w:rPr>
      </w:pPr>
      <w:r w:rsidRPr="007D56F9">
        <w:rPr>
          <w:rFonts w:ascii="Arial" w:hAnsi="Arial" w:cs="Arial"/>
        </w:rPr>
        <w:t>Overall, the findings emphasise that addressing grievances at Park Plaza London Waterloo requires an integrated approach in which HR strategy, managerial behaviour, and employee wellbeing are closely aligned. Proactive intervention is essential to stabilise operations, support staff morale, and protect service quality in a high-pressure hospitality environment.</w:t>
      </w:r>
    </w:p>
    <w:p w14:paraId="69739BE6" w14:textId="77777777" w:rsidR="007D56F9" w:rsidRPr="007D56F9" w:rsidRDefault="007D56F9" w:rsidP="005923AA">
      <w:pPr>
        <w:pStyle w:val="1"/>
      </w:pPr>
      <w:bookmarkStart w:id="12" w:name="_Toc216785073"/>
      <w:r w:rsidRPr="007D56F9">
        <w:t>Recommendations</w:t>
      </w:r>
      <w:bookmarkEnd w:id="12"/>
    </w:p>
    <w:p w14:paraId="2F4D2F2E" w14:textId="77777777" w:rsidR="007D56F9" w:rsidRPr="007D56F9" w:rsidRDefault="007D56F9" w:rsidP="007D56F9">
      <w:pPr>
        <w:pStyle w:val="p1"/>
        <w:spacing w:line="360" w:lineRule="auto"/>
        <w:jc w:val="both"/>
        <w:rPr>
          <w:rFonts w:ascii="Arial" w:hAnsi="Arial" w:cs="Arial"/>
        </w:rPr>
      </w:pPr>
      <w:r w:rsidRPr="007D56F9">
        <w:rPr>
          <w:rFonts w:ascii="Arial" w:hAnsi="Arial" w:cs="Arial"/>
        </w:rPr>
        <w:t>Based on the findings of this report, the following recommendations are proposed:</w:t>
      </w:r>
    </w:p>
    <w:p w14:paraId="3F17BEE5" w14:textId="77777777" w:rsidR="007D56F9" w:rsidRPr="007D56F9" w:rsidRDefault="007D56F9" w:rsidP="007D56F9">
      <w:pPr>
        <w:pStyle w:val="p1"/>
        <w:numPr>
          <w:ilvl w:val="0"/>
          <w:numId w:val="2"/>
        </w:numPr>
        <w:spacing w:line="360" w:lineRule="auto"/>
        <w:jc w:val="both"/>
        <w:rPr>
          <w:rFonts w:ascii="Arial" w:hAnsi="Arial" w:cs="Arial"/>
        </w:rPr>
      </w:pPr>
      <w:r w:rsidRPr="005923AA">
        <w:rPr>
          <w:rStyle w:val="s1"/>
          <w:rFonts w:ascii="Arial" w:eastAsiaTheme="majorEastAsia" w:hAnsi="Arial" w:cs="Arial"/>
        </w:rPr>
        <w:t>Immediate managerial training</w:t>
      </w:r>
      <w:r w:rsidRPr="007D56F9">
        <w:rPr>
          <w:rFonts w:ascii="Arial" w:hAnsi="Arial" w:cs="Arial"/>
        </w:rPr>
        <w:t xml:space="preserve"> should be introduced, focusing on change leadership, digital competence, conflict resolution, and fair decision-making in flexible working requests.</w:t>
      </w:r>
    </w:p>
    <w:p w14:paraId="0D03201A" w14:textId="77777777" w:rsidR="007D56F9" w:rsidRPr="005923AA" w:rsidRDefault="007D56F9" w:rsidP="007D56F9">
      <w:pPr>
        <w:pStyle w:val="p1"/>
        <w:numPr>
          <w:ilvl w:val="0"/>
          <w:numId w:val="2"/>
        </w:numPr>
        <w:spacing w:line="360" w:lineRule="auto"/>
        <w:jc w:val="both"/>
        <w:rPr>
          <w:rFonts w:ascii="Arial" w:hAnsi="Arial" w:cs="Arial"/>
        </w:rPr>
      </w:pPr>
      <w:r w:rsidRPr="005923AA">
        <w:rPr>
          <w:rStyle w:val="s1"/>
          <w:rFonts w:ascii="Arial" w:eastAsiaTheme="majorEastAsia" w:hAnsi="Arial" w:cs="Arial"/>
        </w:rPr>
        <w:t>A formal review of workloads and role clarity</w:t>
      </w:r>
      <w:r w:rsidRPr="005923AA">
        <w:rPr>
          <w:rFonts w:ascii="Arial" w:hAnsi="Arial" w:cs="Arial"/>
        </w:rPr>
        <w:t xml:space="preserve"> should be conducted to ensure that job expectations align with staffing levels and employee capabilities.</w:t>
      </w:r>
    </w:p>
    <w:p w14:paraId="4BF32ECE" w14:textId="77777777" w:rsidR="007D56F9" w:rsidRPr="005923AA" w:rsidRDefault="007D56F9" w:rsidP="007D56F9">
      <w:pPr>
        <w:pStyle w:val="p1"/>
        <w:numPr>
          <w:ilvl w:val="0"/>
          <w:numId w:val="2"/>
        </w:numPr>
        <w:spacing w:line="360" w:lineRule="auto"/>
        <w:jc w:val="both"/>
        <w:rPr>
          <w:rFonts w:ascii="Arial" w:hAnsi="Arial" w:cs="Arial"/>
        </w:rPr>
      </w:pPr>
      <w:r w:rsidRPr="005923AA">
        <w:rPr>
          <w:rStyle w:val="s1"/>
          <w:rFonts w:ascii="Arial" w:eastAsiaTheme="majorEastAsia" w:hAnsi="Arial" w:cs="Arial"/>
        </w:rPr>
        <w:t>Digital onboarding and continuous learning programmes</w:t>
      </w:r>
      <w:r w:rsidRPr="005923AA">
        <w:rPr>
          <w:rFonts w:ascii="Arial" w:hAnsi="Arial" w:cs="Arial"/>
        </w:rPr>
        <w:t xml:space="preserve"> should be strengthened to support employees with varying levels of digital literacy.</w:t>
      </w:r>
    </w:p>
    <w:p w14:paraId="4B5778DD" w14:textId="77777777" w:rsidR="007D56F9" w:rsidRPr="005923AA" w:rsidRDefault="007D56F9" w:rsidP="007D56F9">
      <w:pPr>
        <w:pStyle w:val="p1"/>
        <w:numPr>
          <w:ilvl w:val="0"/>
          <w:numId w:val="2"/>
        </w:numPr>
        <w:spacing w:line="360" w:lineRule="auto"/>
        <w:jc w:val="both"/>
        <w:rPr>
          <w:rFonts w:ascii="Arial" w:hAnsi="Arial" w:cs="Arial"/>
        </w:rPr>
      </w:pPr>
      <w:r w:rsidRPr="005923AA">
        <w:rPr>
          <w:rStyle w:val="s1"/>
          <w:rFonts w:ascii="Arial" w:eastAsiaTheme="majorEastAsia" w:hAnsi="Arial" w:cs="Arial"/>
        </w:rPr>
        <w:t>Clear and consistent flexible working and rota-planning policies</w:t>
      </w:r>
      <w:r w:rsidRPr="005923AA">
        <w:rPr>
          <w:rFonts w:ascii="Arial" w:hAnsi="Arial" w:cs="Arial"/>
        </w:rPr>
        <w:t xml:space="preserve"> should be implemented and monitored to ensure fairness across departments.</w:t>
      </w:r>
    </w:p>
    <w:p w14:paraId="75C4A2EE" w14:textId="77777777" w:rsidR="007D56F9" w:rsidRPr="007D56F9" w:rsidRDefault="007D56F9" w:rsidP="007D56F9">
      <w:pPr>
        <w:pStyle w:val="p1"/>
        <w:numPr>
          <w:ilvl w:val="0"/>
          <w:numId w:val="2"/>
        </w:numPr>
        <w:spacing w:line="360" w:lineRule="auto"/>
        <w:jc w:val="both"/>
        <w:rPr>
          <w:rFonts w:ascii="Arial" w:hAnsi="Arial" w:cs="Arial"/>
        </w:rPr>
      </w:pPr>
      <w:r w:rsidRPr="005923AA">
        <w:rPr>
          <w:rStyle w:val="s1"/>
          <w:rFonts w:ascii="Arial" w:eastAsiaTheme="majorEastAsia" w:hAnsi="Arial" w:cs="Arial"/>
        </w:rPr>
        <w:t>Regular monitoring of grievance trends and wellbeing indicators</w:t>
      </w:r>
      <w:r w:rsidRPr="005923AA">
        <w:rPr>
          <w:rFonts w:ascii="Arial" w:hAnsi="Arial" w:cs="Arial"/>
        </w:rPr>
        <w:t xml:space="preserve"> should be used to identify emerging issues and enable early HR intervention</w:t>
      </w:r>
      <w:r w:rsidRPr="007D56F9">
        <w:rPr>
          <w:rFonts w:ascii="Arial" w:hAnsi="Arial" w:cs="Arial"/>
        </w:rPr>
        <w:t>.</w:t>
      </w:r>
    </w:p>
    <w:p w14:paraId="327B28A2" w14:textId="77777777" w:rsidR="007D56F9" w:rsidRPr="007D56F9" w:rsidRDefault="007D56F9" w:rsidP="007D56F9">
      <w:pPr>
        <w:pStyle w:val="p1"/>
        <w:spacing w:line="360" w:lineRule="auto"/>
        <w:jc w:val="both"/>
        <w:rPr>
          <w:rFonts w:ascii="Arial" w:hAnsi="Arial" w:cs="Arial"/>
        </w:rPr>
      </w:pPr>
      <w:r w:rsidRPr="007D56F9">
        <w:rPr>
          <w:rFonts w:ascii="Arial" w:hAnsi="Arial" w:cs="Arial"/>
        </w:rPr>
        <w:t>Implementing these recommendations will support a more resilient, engaged, and productive workforce at Park Plaza London Waterloo while reducing grievances and enhancing organisational performance.</w:t>
      </w:r>
    </w:p>
    <w:p w14:paraId="020C0D46" w14:textId="6CEA02CA" w:rsidR="007D56F9" w:rsidRDefault="005923AA" w:rsidP="005923AA">
      <w:pPr>
        <w:pStyle w:val="1"/>
        <w:rPr>
          <w:rFonts w:eastAsia="Times New Roman"/>
        </w:rPr>
      </w:pPr>
      <w:bookmarkStart w:id="13" w:name="_Toc216785074"/>
      <w:r>
        <w:rPr>
          <w:rFonts w:eastAsia="Times New Roman"/>
        </w:rPr>
        <w:t>References:</w:t>
      </w:r>
      <w:bookmarkEnd w:id="13"/>
    </w:p>
    <w:p w14:paraId="29B101DD" w14:textId="77777777" w:rsidR="005923AA" w:rsidRDefault="005923AA" w:rsidP="005923AA"/>
    <w:p w14:paraId="6F89F7FB" w14:textId="4289481F" w:rsidR="005923AA" w:rsidRDefault="005923AA" w:rsidP="005923AA">
      <w:pPr>
        <w:pStyle w:val="p1"/>
        <w:numPr>
          <w:ilvl w:val="0"/>
          <w:numId w:val="3"/>
        </w:numPr>
        <w:spacing w:line="360" w:lineRule="auto"/>
      </w:pPr>
      <w:r>
        <w:t xml:space="preserve">CIPD flexible working scientific summary (PDF): Flexible working, teleworking and diversity. Available at: </w:t>
      </w:r>
      <w:hyperlink r:id="rId7" w:history="1">
        <w:r w:rsidRPr="005923AA">
          <w:rPr>
            <w:rStyle w:val="ae"/>
          </w:rPr>
          <w:t>https://www.cipd.org/globalassets/media/knowledge/knowledge-hub/evidence-reviews/flexible-working-telework-diversity-scientific-summary-final-290321_tcm18-92874.pdf</w:t>
        </w:r>
      </w:hyperlink>
      <w:r>
        <w:t xml:space="preserve"> (Accessed: 02 December 2025). </w:t>
      </w:r>
    </w:p>
    <w:p w14:paraId="4769CB45" w14:textId="2B1C1623" w:rsidR="005923AA" w:rsidRDefault="005923AA" w:rsidP="005923AA">
      <w:pPr>
        <w:pStyle w:val="p1"/>
        <w:numPr>
          <w:ilvl w:val="0"/>
          <w:numId w:val="3"/>
        </w:numPr>
        <w:spacing w:line="360" w:lineRule="auto"/>
      </w:pPr>
      <w:r>
        <w:t xml:space="preserve">Kotter, J.P. (2012) </w:t>
      </w:r>
      <w:r>
        <w:rPr>
          <w:i/>
          <w:iCs/>
        </w:rPr>
        <w:t>Leading Change</w:t>
      </w:r>
      <w:r>
        <w:t>. Boston, MA: Harvard Business School Press.</w:t>
      </w:r>
    </w:p>
    <w:p w14:paraId="08408B36" w14:textId="77777777" w:rsidR="005923AA" w:rsidRDefault="005923AA" w:rsidP="005923AA">
      <w:pPr>
        <w:pStyle w:val="p1"/>
        <w:numPr>
          <w:ilvl w:val="0"/>
          <w:numId w:val="3"/>
        </w:numPr>
        <w:spacing w:line="360" w:lineRule="auto"/>
      </w:pPr>
      <w:r>
        <w:t xml:space="preserve">Lewin, K. (1951) </w:t>
      </w:r>
      <w:r>
        <w:rPr>
          <w:i/>
          <w:iCs/>
        </w:rPr>
        <w:t>Field Theory in Social Science</w:t>
      </w:r>
      <w:r>
        <w:t>. New York: Harper &amp; Row.</w:t>
      </w:r>
    </w:p>
    <w:p w14:paraId="5FAA39C4" w14:textId="77777777" w:rsidR="005923AA" w:rsidRDefault="005923AA" w:rsidP="005923AA">
      <w:pPr>
        <w:pStyle w:val="p1"/>
        <w:numPr>
          <w:ilvl w:val="0"/>
          <w:numId w:val="3"/>
        </w:numPr>
        <w:spacing w:line="360" w:lineRule="auto"/>
      </w:pPr>
      <w:r>
        <w:t xml:space="preserve">Purcell, J. and Hutchinson, S. (2007) ‘Front-line managers as agents in the HRM–performance causal chain’, </w:t>
      </w:r>
      <w:r>
        <w:rPr>
          <w:i/>
          <w:iCs/>
        </w:rPr>
        <w:t>Human Resource Management Journal</w:t>
      </w:r>
      <w:r>
        <w:t>, 17(1), pp. 3–20.</w:t>
      </w:r>
    </w:p>
    <w:p w14:paraId="02305975" w14:textId="096EF25A" w:rsidR="005923AA" w:rsidRDefault="005923AA" w:rsidP="005923AA">
      <w:pPr>
        <w:pStyle w:val="p1"/>
        <w:numPr>
          <w:ilvl w:val="0"/>
          <w:numId w:val="3"/>
        </w:numPr>
        <w:spacing w:line="360" w:lineRule="auto"/>
      </w:pPr>
      <w:r w:rsidRPr="005923AA">
        <w:t xml:space="preserve">The Flexible Working (Amendment) Regulations 2023, SI 2023/1328. Available at: </w:t>
      </w:r>
      <w:hyperlink r:id="rId8" w:history="1">
        <w:r w:rsidRPr="005923AA">
          <w:rPr>
            <w:rStyle w:val="ae"/>
          </w:rPr>
          <w:t>https://www.legislation.gov.uk/uksi/2023/1328</w:t>
        </w:r>
      </w:hyperlink>
      <w:r w:rsidRPr="005923AA">
        <w:t xml:space="preserve"> (Accessed: 16 December 2025) </w:t>
      </w:r>
    </w:p>
    <w:p w14:paraId="06D4CFC1" w14:textId="390B5107" w:rsidR="005923AA" w:rsidRDefault="005923AA" w:rsidP="005923AA">
      <w:pPr>
        <w:pStyle w:val="p1"/>
        <w:numPr>
          <w:ilvl w:val="0"/>
          <w:numId w:val="3"/>
        </w:numPr>
        <w:spacing w:line="360" w:lineRule="auto"/>
      </w:pPr>
      <w:r>
        <w:t xml:space="preserve">Vial, G. (2019) ‘Understanding digital transformation: A review and a research agenda’, </w:t>
      </w:r>
      <w:r>
        <w:rPr>
          <w:i/>
          <w:iCs/>
        </w:rPr>
        <w:t>Journal of Strategic Information Systems</w:t>
      </w:r>
      <w:r>
        <w:t>, 28(2), pp. 118–144.</w:t>
      </w:r>
    </w:p>
    <w:p w14:paraId="1301EE4E" w14:textId="77777777" w:rsidR="005923AA" w:rsidRDefault="005923AA" w:rsidP="005923AA">
      <w:pPr>
        <w:pStyle w:val="p1"/>
        <w:numPr>
          <w:ilvl w:val="0"/>
          <w:numId w:val="3"/>
        </w:numPr>
        <w:spacing w:line="360" w:lineRule="auto"/>
      </w:pPr>
      <w:r>
        <w:t xml:space="preserve">Yukl, G. (2013) </w:t>
      </w:r>
      <w:r>
        <w:rPr>
          <w:i/>
          <w:iCs/>
        </w:rPr>
        <w:t>Leadership in Organizations</w:t>
      </w:r>
      <w:r>
        <w:t>. 8th edn. Harlow: Pearson Education.</w:t>
      </w:r>
    </w:p>
    <w:p w14:paraId="7437B638" w14:textId="77777777" w:rsidR="005923AA" w:rsidRPr="005923AA" w:rsidRDefault="005923AA" w:rsidP="005923AA"/>
    <w:p w14:paraId="4BBE96B3" w14:textId="77777777" w:rsidR="00552735" w:rsidRPr="00552735" w:rsidRDefault="00552735" w:rsidP="00552735">
      <w:pPr>
        <w:spacing w:before="100" w:beforeAutospacing="1" w:after="100" w:afterAutospacing="1" w:line="360" w:lineRule="auto"/>
        <w:jc w:val="both"/>
        <w:rPr>
          <w:rFonts w:eastAsia="Times New Roman" w:cs="Arial"/>
          <w:kern w:val="0"/>
          <w14:ligatures w14:val="none"/>
        </w:rPr>
      </w:pPr>
    </w:p>
    <w:p w14:paraId="250A2E8E" w14:textId="77777777" w:rsidR="00CD7ACF" w:rsidRDefault="00CD7ACF"/>
    <w:sectPr w:rsidR="00CD7A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E29F6"/>
    <w:multiLevelType w:val="multilevel"/>
    <w:tmpl w:val="5D027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A93BDE"/>
    <w:multiLevelType w:val="hybridMultilevel"/>
    <w:tmpl w:val="FB2E9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D91874"/>
    <w:multiLevelType w:val="multilevel"/>
    <w:tmpl w:val="9482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9056583">
    <w:abstractNumId w:val="0"/>
  </w:num>
  <w:num w:numId="2" w16cid:durableId="546339239">
    <w:abstractNumId w:val="2"/>
  </w:num>
  <w:num w:numId="3" w16cid:durableId="1646206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735"/>
    <w:rsid w:val="000750FE"/>
    <w:rsid w:val="00117E6C"/>
    <w:rsid w:val="001D00C6"/>
    <w:rsid w:val="00552735"/>
    <w:rsid w:val="00567B90"/>
    <w:rsid w:val="005923AA"/>
    <w:rsid w:val="007D56F9"/>
    <w:rsid w:val="008D22C6"/>
    <w:rsid w:val="00991D62"/>
    <w:rsid w:val="00A359E5"/>
    <w:rsid w:val="00A50016"/>
    <w:rsid w:val="00A96FE1"/>
    <w:rsid w:val="00BB0278"/>
    <w:rsid w:val="00C85046"/>
    <w:rsid w:val="00CD7ACF"/>
    <w:rsid w:val="00D2004B"/>
    <w:rsid w:val="00E65460"/>
    <w:rsid w:val="00E867D3"/>
    <w:rsid w:val="00EB3445"/>
    <w:rsid w:val="00EC273A"/>
    <w:rsid w:val="00FA1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64FD9"/>
  <w15:chartTrackingRefBased/>
  <w15:docId w15:val="{149C765A-C09A-7B43-8351-739B56B64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7ACF"/>
    <w:rPr>
      <w:rFonts w:ascii="Arial" w:hAnsi="Arial"/>
    </w:rPr>
  </w:style>
  <w:style w:type="paragraph" w:styleId="1">
    <w:name w:val="heading 1"/>
    <w:basedOn w:val="a"/>
    <w:next w:val="a"/>
    <w:link w:val="10"/>
    <w:uiPriority w:val="9"/>
    <w:qFormat/>
    <w:rsid w:val="005527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5527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55273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4">
    <w:name w:val="heading 4"/>
    <w:basedOn w:val="a"/>
    <w:next w:val="a"/>
    <w:link w:val="40"/>
    <w:uiPriority w:val="9"/>
    <w:unhideWhenUsed/>
    <w:qFormat/>
    <w:rsid w:val="0055273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552735"/>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5527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552735"/>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552735"/>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552735"/>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552735"/>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rsid w:val="00552735"/>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rsid w:val="00552735"/>
    <w:rPr>
      <w:rFonts w:eastAsiaTheme="majorEastAsia" w:cstheme="majorBidi"/>
      <w:color w:val="0F4761" w:themeColor="accent1" w:themeShade="BF"/>
      <w:sz w:val="28"/>
      <w:szCs w:val="28"/>
    </w:rPr>
  </w:style>
  <w:style w:type="character" w:customStyle="1" w:styleId="40">
    <w:name w:val="Заглавие 4 Знак"/>
    <w:basedOn w:val="a0"/>
    <w:link w:val="4"/>
    <w:uiPriority w:val="9"/>
    <w:rsid w:val="00552735"/>
    <w:rPr>
      <w:rFonts w:eastAsiaTheme="majorEastAsia" w:cstheme="majorBidi"/>
      <w:i/>
      <w:iCs/>
      <w:color w:val="0F4761" w:themeColor="accent1" w:themeShade="BF"/>
    </w:rPr>
  </w:style>
  <w:style w:type="character" w:customStyle="1" w:styleId="50">
    <w:name w:val="Заглавие 5 Знак"/>
    <w:basedOn w:val="a0"/>
    <w:link w:val="5"/>
    <w:uiPriority w:val="9"/>
    <w:semiHidden/>
    <w:rsid w:val="00552735"/>
    <w:rPr>
      <w:rFonts w:eastAsiaTheme="majorEastAsia" w:cstheme="majorBidi"/>
      <w:color w:val="0F4761" w:themeColor="accent1" w:themeShade="BF"/>
    </w:rPr>
  </w:style>
  <w:style w:type="character" w:customStyle="1" w:styleId="60">
    <w:name w:val="Заглавие 6 Знак"/>
    <w:basedOn w:val="a0"/>
    <w:link w:val="6"/>
    <w:uiPriority w:val="9"/>
    <w:semiHidden/>
    <w:rsid w:val="00552735"/>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552735"/>
    <w:rPr>
      <w:rFonts w:eastAsiaTheme="majorEastAsia" w:cstheme="majorBidi"/>
      <w:color w:val="595959" w:themeColor="text1" w:themeTint="A6"/>
    </w:rPr>
  </w:style>
  <w:style w:type="character" w:customStyle="1" w:styleId="80">
    <w:name w:val="Заглавие 8 Знак"/>
    <w:basedOn w:val="a0"/>
    <w:link w:val="8"/>
    <w:uiPriority w:val="9"/>
    <w:semiHidden/>
    <w:rsid w:val="00552735"/>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552735"/>
    <w:rPr>
      <w:rFonts w:eastAsiaTheme="majorEastAsia" w:cstheme="majorBidi"/>
      <w:color w:val="272727" w:themeColor="text1" w:themeTint="D8"/>
    </w:rPr>
  </w:style>
  <w:style w:type="paragraph" w:styleId="a3">
    <w:name w:val="Title"/>
    <w:basedOn w:val="a"/>
    <w:next w:val="a"/>
    <w:link w:val="a4"/>
    <w:uiPriority w:val="10"/>
    <w:qFormat/>
    <w:rsid w:val="005527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55273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5273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Подзаглавие Знак"/>
    <w:basedOn w:val="a0"/>
    <w:link w:val="a5"/>
    <w:uiPriority w:val="11"/>
    <w:rsid w:val="00552735"/>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552735"/>
    <w:pPr>
      <w:spacing w:before="160"/>
      <w:jc w:val="center"/>
    </w:pPr>
    <w:rPr>
      <w:i/>
      <w:iCs/>
      <w:color w:val="404040" w:themeColor="text1" w:themeTint="BF"/>
    </w:rPr>
  </w:style>
  <w:style w:type="character" w:customStyle="1" w:styleId="a8">
    <w:name w:val="Цитат Знак"/>
    <w:basedOn w:val="a0"/>
    <w:link w:val="a7"/>
    <w:uiPriority w:val="29"/>
    <w:rsid w:val="00552735"/>
    <w:rPr>
      <w:rFonts w:ascii="Arial" w:hAnsi="Arial"/>
      <w:i/>
      <w:iCs/>
      <w:color w:val="404040" w:themeColor="text1" w:themeTint="BF"/>
    </w:rPr>
  </w:style>
  <w:style w:type="paragraph" w:styleId="a9">
    <w:name w:val="List Paragraph"/>
    <w:basedOn w:val="a"/>
    <w:uiPriority w:val="34"/>
    <w:qFormat/>
    <w:rsid w:val="00552735"/>
    <w:pPr>
      <w:ind w:left="720"/>
      <w:contextualSpacing/>
    </w:pPr>
  </w:style>
  <w:style w:type="character" w:styleId="aa">
    <w:name w:val="Intense Emphasis"/>
    <w:basedOn w:val="a0"/>
    <w:uiPriority w:val="21"/>
    <w:qFormat/>
    <w:rsid w:val="00552735"/>
    <w:rPr>
      <w:i/>
      <w:iCs/>
      <w:color w:val="0F4761" w:themeColor="accent1" w:themeShade="BF"/>
    </w:rPr>
  </w:style>
  <w:style w:type="paragraph" w:styleId="ab">
    <w:name w:val="Intense Quote"/>
    <w:basedOn w:val="a"/>
    <w:next w:val="a"/>
    <w:link w:val="ac"/>
    <w:uiPriority w:val="30"/>
    <w:qFormat/>
    <w:rsid w:val="005527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Интензивно цитиране Знак"/>
    <w:basedOn w:val="a0"/>
    <w:link w:val="ab"/>
    <w:uiPriority w:val="30"/>
    <w:rsid w:val="00552735"/>
    <w:rPr>
      <w:rFonts w:ascii="Arial" w:hAnsi="Arial"/>
      <w:i/>
      <w:iCs/>
      <w:color w:val="0F4761" w:themeColor="accent1" w:themeShade="BF"/>
    </w:rPr>
  </w:style>
  <w:style w:type="character" w:styleId="ad">
    <w:name w:val="Intense Reference"/>
    <w:basedOn w:val="a0"/>
    <w:uiPriority w:val="32"/>
    <w:qFormat/>
    <w:rsid w:val="00552735"/>
    <w:rPr>
      <w:b/>
      <w:bCs/>
      <w:smallCaps/>
      <w:color w:val="0F4761" w:themeColor="accent1" w:themeShade="BF"/>
      <w:spacing w:val="5"/>
    </w:rPr>
  </w:style>
  <w:style w:type="paragraph" w:customStyle="1" w:styleId="p2">
    <w:name w:val="p2"/>
    <w:basedOn w:val="a"/>
    <w:rsid w:val="00552735"/>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3">
    <w:name w:val="p3"/>
    <w:basedOn w:val="a"/>
    <w:rsid w:val="00552735"/>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4">
    <w:name w:val="p4"/>
    <w:basedOn w:val="a"/>
    <w:rsid w:val="00552735"/>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1">
    <w:name w:val="p1"/>
    <w:basedOn w:val="a"/>
    <w:rsid w:val="007D56F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1">
    <w:name w:val="s1"/>
    <w:basedOn w:val="a0"/>
    <w:rsid w:val="007D56F9"/>
  </w:style>
  <w:style w:type="character" w:styleId="ae">
    <w:name w:val="Hyperlink"/>
    <w:basedOn w:val="a0"/>
    <w:uiPriority w:val="99"/>
    <w:unhideWhenUsed/>
    <w:rsid w:val="005923AA"/>
    <w:rPr>
      <w:color w:val="467886" w:themeColor="hyperlink"/>
      <w:u w:val="single"/>
    </w:rPr>
  </w:style>
  <w:style w:type="character" w:styleId="af">
    <w:name w:val="Unresolved Mention"/>
    <w:basedOn w:val="a0"/>
    <w:uiPriority w:val="99"/>
    <w:semiHidden/>
    <w:unhideWhenUsed/>
    <w:rsid w:val="005923AA"/>
    <w:rPr>
      <w:color w:val="605E5C"/>
      <w:shd w:val="clear" w:color="auto" w:fill="E1DFDD"/>
    </w:rPr>
  </w:style>
  <w:style w:type="character" w:styleId="af0">
    <w:name w:val="FollowedHyperlink"/>
    <w:basedOn w:val="a0"/>
    <w:uiPriority w:val="99"/>
    <w:semiHidden/>
    <w:unhideWhenUsed/>
    <w:rsid w:val="005923AA"/>
    <w:rPr>
      <w:color w:val="96607D" w:themeColor="followedHyperlink"/>
      <w:u w:val="single"/>
    </w:rPr>
  </w:style>
  <w:style w:type="paragraph" w:styleId="af1">
    <w:name w:val="TOC Heading"/>
    <w:basedOn w:val="1"/>
    <w:next w:val="a"/>
    <w:uiPriority w:val="39"/>
    <w:unhideWhenUsed/>
    <w:qFormat/>
    <w:rsid w:val="005923AA"/>
    <w:pPr>
      <w:spacing w:before="480" w:after="0" w:line="276" w:lineRule="auto"/>
      <w:outlineLvl w:val="9"/>
    </w:pPr>
    <w:rPr>
      <w:b/>
      <w:bCs/>
      <w:kern w:val="0"/>
      <w:sz w:val="28"/>
      <w:szCs w:val="28"/>
      <w14:ligatures w14:val="none"/>
    </w:rPr>
  </w:style>
  <w:style w:type="paragraph" w:styleId="11">
    <w:name w:val="toc 1"/>
    <w:basedOn w:val="a"/>
    <w:next w:val="a"/>
    <w:autoRedefine/>
    <w:uiPriority w:val="39"/>
    <w:unhideWhenUsed/>
    <w:rsid w:val="005923AA"/>
    <w:pPr>
      <w:spacing w:before="120" w:after="0"/>
    </w:pPr>
    <w:rPr>
      <w:rFonts w:asciiTheme="minorHAnsi" w:hAnsiTheme="minorHAnsi"/>
      <w:b/>
      <w:bCs/>
      <w:i/>
      <w:iCs/>
    </w:rPr>
  </w:style>
  <w:style w:type="paragraph" w:styleId="31">
    <w:name w:val="toc 3"/>
    <w:basedOn w:val="a"/>
    <w:next w:val="a"/>
    <w:autoRedefine/>
    <w:uiPriority w:val="39"/>
    <w:unhideWhenUsed/>
    <w:rsid w:val="005923AA"/>
    <w:pPr>
      <w:spacing w:after="0"/>
      <w:ind w:left="480"/>
    </w:pPr>
    <w:rPr>
      <w:rFonts w:asciiTheme="minorHAnsi" w:hAnsiTheme="minorHAnsi"/>
      <w:sz w:val="20"/>
      <w:szCs w:val="20"/>
    </w:rPr>
  </w:style>
  <w:style w:type="paragraph" w:styleId="21">
    <w:name w:val="toc 2"/>
    <w:basedOn w:val="a"/>
    <w:next w:val="a"/>
    <w:autoRedefine/>
    <w:uiPriority w:val="39"/>
    <w:unhideWhenUsed/>
    <w:rsid w:val="005923AA"/>
    <w:pPr>
      <w:spacing w:before="120" w:after="0"/>
      <w:ind w:left="240"/>
    </w:pPr>
    <w:rPr>
      <w:rFonts w:asciiTheme="minorHAnsi" w:hAnsiTheme="minorHAnsi"/>
      <w:b/>
      <w:bCs/>
      <w:sz w:val="22"/>
      <w:szCs w:val="22"/>
    </w:rPr>
  </w:style>
  <w:style w:type="paragraph" w:styleId="41">
    <w:name w:val="toc 4"/>
    <w:basedOn w:val="a"/>
    <w:next w:val="a"/>
    <w:autoRedefine/>
    <w:uiPriority w:val="39"/>
    <w:semiHidden/>
    <w:unhideWhenUsed/>
    <w:rsid w:val="005923AA"/>
    <w:pPr>
      <w:spacing w:after="0"/>
      <w:ind w:left="720"/>
    </w:pPr>
    <w:rPr>
      <w:rFonts w:asciiTheme="minorHAnsi" w:hAnsiTheme="minorHAnsi"/>
      <w:sz w:val="20"/>
      <w:szCs w:val="20"/>
    </w:rPr>
  </w:style>
  <w:style w:type="paragraph" w:styleId="51">
    <w:name w:val="toc 5"/>
    <w:basedOn w:val="a"/>
    <w:next w:val="a"/>
    <w:autoRedefine/>
    <w:uiPriority w:val="39"/>
    <w:semiHidden/>
    <w:unhideWhenUsed/>
    <w:rsid w:val="005923AA"/>
    <w:pPr>
      <w:spacing w:after="0"/>
      <w:ind w:left="960"/>
    </w:pPr>
    <w:rPr>
      <w:rFonts w:asciiTheme="minorHAnsi" w:hAnsiTheme="minorHAnsi"/>
      <w:sz w:val="20"/>
      <w:szCs w:val="20"/>
    </w:rPr>
  </w:style>
  <w:style w:type="paragraph" w:styleId="61">
    <w:name w:val="toc 6"/>
    <w:basedOn w:val="a"/>
    <w:next w:val="a"/>
    <w:autoRedefine/>
    <w:uiPriority w:val="39"/>
    <w:semiHidden/>
    <w:unhideWhenUsed/>
    <w:rsid w:val="005923AA"/>
    <w:pPr>
      <w:spacing w:after="0"/>
      <w:ind w:left="1200"/>
    </w:pPr>
    <w:rPr>
      <w:rFonts w:asciiTheme="minorHAnsi" w:hAnsiTheme="minorHAnsi"/>
      <w:sz w:val="20"/>
      <w:szCs w:val="20"/>
    </w:rPr>
  </w:style>
  <w:style w:type="paragraph" w:styleId="71">
    <w:name w:val="toc 7"/>
    <w:basedOn w:val="a"/>
    <w:next w:val="a"/>
    <w:autoRedefine/>
    <w:uiPriority w:val="39"/>
    <w:semiHidden/>
    <w:unhideWhenUsed/>
    <w:rsid w:val="005923AA"/>
    <w:pPr>
      <w:spacing w:after="0"/>
      <w:ind w:left="1440"/>
    </w:pPr>
    <w:rPr>
      <w:rFonts w:asciiTheme="minorHAnsi" w:hAnsiTheme="minorHAnsi"/>
      <w:sz w:val="20"/>
      <w:szCs w:val="20"/>
    </w:rPr>
  </w:style>
  <w:style w:type="paragraph" w:styleId="81">
    <w:name w:val="toc 8"/>
    <w:basedOn w:val="a"/>
    <w:next w:val="a"/>
    <w:autoRedefine/>
    <w:uiPriority w:val="39"/>
    <w:semiHidden/>
    <w:unhideWhenUsed/>
    <w:rsid w:val="005923AA"/>
    <w:pPr>
      <w:spacing w:after="0"/>
      <w:ind w:left="1680"/>
    </w:pPr>
    <w:rPr>
      <w:rFonts w:asciiTheme="minorHAnsi" w:hAnsiTheme="minorHAnsi"/>
      <w:sz w:val="20"/>
      <w:szCs w:val="20"/>
    </w:rPr>
  </w:style>
  <w:style w:type="paragraph" w:styleId="91">
    <w:name w:val="toc 9"/>
    <w:basedOn w:val="a"/>
    <w:next w:val="a"/>
    <w:autoRedefine/>
    <w:uiPriority w:val="39"/>
    <w:semiHidden/>
    <w:unhideWhenUsed/>
    <w:rsid w:val="005923AA"/>
    <w:pPr>
      <w:spacing w:after="0"/>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23/1328" TargetMode="External" /><Relationship Id="rId3" Type="http://schemas.openxmlformats.org/officeDocument/2006/relationships/styles" Target="styles.xml" /><Relationship Id="rId7" Type="http://schemas.openxmlformats.org/officeDocument/2006/relationships/hyperlink" Target="https://www.cipd.org/globalassets/media/knowledge/knowledge-hub/evidence-reviews/flexible-working-telework-diversity-scientific-summary-final-290321_tcm18-92874.pdf"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2979C-250F-D340-98D2-6EC226F65B1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3026</Words>
  <Characters>17250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Ivan Hristoforov Ivanov (2413302)</cp:lastModifiedBy>
  <cp:revision>2</cp:revision>
  <dcterms:created xsi:type="dcterms:W3CDTF">2025-12-16T12:08:00Z</dcterms:created>
  <dcterms:modified xsi:type="dcterms:W3CDTF">2025-12-16T12:08:00Z</dcterms:modified>
</cp:coreProperties>
</file>