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er"/>
        <w:tabs>
          <w:tab w:val="clear" w:pos="4153"/>
          <w:tab w:val="clear" w:pos="8306"/>
        </w:tabs>
        <w:jc w:val="right"/>
        <w:rPr>
          <w:rFonts w:ascii="Arial" w:cs="Arial" w:hAnsi="Arial" w:eastAsia="Arial"/>
          <w:b w:val="1"/>
          <w:bCs w:val="1"/>
          <w:sz w:val="28"/>
          <w:szCs w:val="28"/>
        </w:rPr>
      </w:pPr>
      <w:r>
        <w:rPr>
          <w:rFonts w:ascii="Arial" w:hAnsi="Arial"/>
        </w:rPr>
        <w:drawing xmlns:a="http://schemas.openxmlformats.org/drawingml/2006/main">
          <wp:anchor distT="57150" distB="57150" distL="57150" distR="57150" simplePos="0" relativeHeight="251659264" behindDoc="0" locked="0" layoutInCell="1" allowOverlap="1">
            <wp:simplePos x="0" y="0"/>
            <wp:positionH relativeFrom="column">
              <wp:posOffset>0</wp:posOffset>
            </wp:positionH>
            <wp:positionV relativeFrom="line">
              <wp:posOffset>0</wp:posOffset>
            </wp:positionV>
            <wp:extent cx="1809750" cy="723900"/>
            <wp:effectExtent l="0" t="0" r="0" b="0"/>
            <wp:wrapSquare wrapText="bothSides" distL="57150" distR="57150" distT="57150" distB="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4">
                      <a:extLst/>
                    </a:blip>
                    <a:stretch>
                      <a:fillRect/>
                    </a:stretch>
                  </pic:blipFill>
                  <pic:spPr>
                    <a:xfrm>
                      <a:off x="0" y="0"/>
                      <a:ext cx="1809750" cy="723900"/>
                    </a:xfrm>
                    <a:prstGeom prst="rect">
                      <a:avLst/>
                    </a:prstGeom>
                    <a:ln w="12700" cap="flat">
                      <a:noFill/>
                      <a:miter lim="400000"/>
                    </a:ln>
                    <a:effectLst/>
                  </pic:spPr>
                </pic:pic>
              </a:graphicData>
            </a:graphic>
          </wp:anchor>
        </w:drawing>
      </w:r>
      <w:r>
        <w:rPr>
          <w:rFonts w:ascii="Arial" w:hAnsi="Arial"/>
          <w:rtl w:val="0"/>
          <w:lang w:val="en-US"/>
        </w:rPr>
        <w:t xml:space="preserve"> </w:t>
        <w:br w:type="textWrapping"/>
      </w:r>
      <w:r>
        <w:rPr>
          <w:rFonts w:ascii="Arial" w:hAnsi="Arial"/>
          <w:b w:val="1"/>
          <w:bCs w:val="1"/>
          <w:sz w:val="28"/>
          <w:szCs w:val="28"/>
          <w:rtl w:val="0"/>
          <w:lang w:val="en-US"/>
        </w:rPr>
        <w:t>APPENDIX GA36b</w:t>
      </w:r>
    </w:p>
    <w:p>
      <w:pPr>
        <w:pStyle w:val="Body"/>
        <w:rPr>
          <w:rFonts w:ascii="Arial" w:cs="Arial" w:hAnsi="Arial" w:eastAsia="Arial"/>
        </w:rPr>
      </w:pPr>
    </w:p>
    <w:tbl>
      <w:tblPr>
        <w:tblW w:w="9922" w:type="dxa"/>
        <w:jc w:val="left"/>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22"/>
      </w:tblGrid>
      <w:tr>
        <w:tblPrEx>
          <w:shd w:val="clear" w:color="auto" w:fill="ced7e7"/>
        </w:tblPrEx>
        <w:trPr>
          <w:trHeight w:val="457" w:hRule="atLeast"/>
        </w:trPr>
        <w:tc>
          <w:tcPr>
            <w:tcW w:type="dxa" w:w="99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heading 4"/>
            </w:pPr>
            <w:r>
              <w:rPr>
                <w:rFonts w:ascii="Arial" w:hAnsi="Arial"/>
                <w:b w:val="1"/>
                <w:bCs w:val="1"/>
                <w:shd w:val="nil" w:color="auto" w:fill="auto"/>
                <w:rtl w:val="0"/>
                <w:lang w:val="en-US"/>
              </w:rPr>
              <w:t xml:space="preserve">LEVEL 4 ASSESSMENT SPECIFICATION </w:t>
            </w:r>
          </w:p>
        </w:tc>
      </w:tr>
    </w:tbl>
    <w:p>
      <w:pPr>
        <w:pStyle w:val="Body"/>
        <w:widowControl w:val="0"/>
        <w:ind w:left="392" w:hanging="392"/>
        <w:rPr>
          <w:rFonts w:ascii="Arial" w:cs="Arial" w:hAnsi="Arial" w:eastAsia="Arial"/>
        </w:rPr>
      </w:pPr>
    </w:p>
    <w:p>
      <w:pPr>
        <w:pStyle w:val="Body"/>
        <w:jc w:val="center"/>
        <w:rPr>
          <w:rFonts w:ascii="Arial" w:cs="Arial" w:hAnsi="Arial" w:eastAsia="Arial"/>
          <w:b w:val="1"/>
          <w:bCs w:val="1"/>
          <w:i w:val="1"/>
          <w:iCs w:val="1"/>
          <w:sz w:val="32"/>
          <w:szCs w:val="32"/>
        </w:rPr>
      </w:pPr>
    </w:p>
    <w:tbl>
      <w:tblPr>
        <w:tblW w:w="9922" w:type="dxa"/>
        <w:jc w:val="center"/>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93"/>
        <w:gridCol w:w="3293"/>
        <w:gridCol w:w="2267"/>
        <w:gridCol w:w="2269"/>
      </w:tblGrid>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Student name: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hint="default"/>
                <w:b w:val="1"/>
                <w:bCs w:val="1"/>
                <w:sz w:val="22"/>
                <w:szCs w:val="22"/>
                <w:shd w:val="nil" w:color="auto" w:fill="auto"/>
                <w:rtl w:val="0"/>
              </w:rPr>
              <w:t>     </w:t>
            </w:r>
            <w:r>
              <w:rPr>
                <w:rFonts w:ascii="Arial" w:hAnsi="Arial"/>
                <w:b w:val="1"/>
                <w:bCs w:val="1"/>
                <w:sz w:val="22"/>
                <w:szCs w:val="22"/>
                <w:shd w:val="nil" w:color="auto" w:fill="auto"/>
                <w:rtl w:val="0"/>
                <w:lang w:val="en-US"/>
              </w:rPr>
              <w:t>Jack Starkey</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Student ID number:</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20" w:after="120" w:line="240" w:lineRule="auto"/>
              <w:ind w:left="0" w:right="0" w:firstLine="0"/>
              <w:jc w:val="both"/>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2000916</w:t>
            </w:r>
          </w:p>
        </w:tc>
      </w:tr>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Programme: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BA Physical Education / BA Outdoor Adventure Education.</w:t>
            </w:r>
          </w:p>
        </w:tc>
      </w:tr>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Module: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Facilitating Adventurous Activities</w:t>
            </w:r>
          </w:p>
        </w:tc>
      </w:tr>
      <w:tr>
        <w:tblPrEx>
          <w:shd w:val="clear" w:color="auto" w:fill="ced7e7"/>
        </w:tblPrEx>
        <w:trPr>
          <w:trHeight w:val="72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Module code: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BMOE4003</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Heading 2"/>
            </w:pPr>
            <w:r>
              <w:rPr>
                <w:rFonts w:ascii="Arial" w:hAnsi="Arial"/>
                <w:sz w:val="22"/>
                <w:szCs w:val="22"/>
                <w:shd w:val="nil" w:color="auto" w:fill="auto"/>
                <w:rtl w:val="0"/>
                <w:lang w:val="en-US"/>
              </w:rPr>
              <w:t>Contribution to Overall Module Assessment (%):</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50%</w:t>
            </w:r>
          </w:p>
        </w:tc>
      </w:tr>
      <w:tr>
        <w:tblPrEx>
          <w:shd w:val="clear" w:color="auto" w:fill="ced7e7"/>
        </w:tblPrEx>
        <w:trPr>
          <w:trHeight w:val="60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Lecturer:</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 xml:space="preserve">Jon Haylock &amp; </w:t>
            </w:r>
          </w:p>
          <w:p>
            <w:pPr>
              <w:pStyle w:val="Body"/>
              <w:bidi w:val="0"/>
              <w:spacing w:before="120" w:after="120"/>
              <w:ind w:left="0" w:right="0" w:firstLine="0"/>
              <w:jc w:val="both"/>
              <w:rPr>
                <w:rtl w:val="0"/>
              </w:rPr>
            </w:pPr>
            <w:r>
              <w:rPr>
                <w:rFonts w:ascii="Arial" w:hAnsi="Arial"/>
                <w:b w:val="1"/>
                <w:bCs w:val="1"/>
                <w:sz w:val="22"/>
                <w:szCs w:val="22"/>
                <w:shd w:val="nil" w:color="auto" w:fill="auto"/>
                <w:rtl w:val="0"/>
                <w:lang w:val="en-US"/>
              </w:rPr>
              <w:t>Heddwen Davies</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Internal Verifier:</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line="360" w:lineRule="auto"/>
            </w:pPr>
            <w:r>
              <w:rPr>
                <w:rFonts w:ascii="Arial" w:hAnsi="Arial"/>
                <w:b w:val="1"/>
                <w:bCs w:val="1"/>
                <w:sz w:val="22"/>
                <w:szCs w:val="22"/>
                <w:shd w:val="nil" w:color="auto" w:fill="auto"/>
                <w:rtl w:val="0"/>
                <w:lang w:val="en-US"/>
              </w:rPr>
              <w:t>Jon Haylock &amp; Heddwen Davies</w:t>
            </w:r>
          </w:p>
        </w:tc>
      </w:tr>
      <w:tr>
        <w:tblPrEx>
          <w:shd w:val="clear" w:color="auto" w:fill="ced7e7"/>
        </w:tblPrEx>
        <w:trPr>
          <w:trHeight w:val="120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Assignment Title: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ixed"/>
              <w:ind w:left="0" w:firstLine="0"/>
            </w:pPr>
            <w:r>
              <w:rPr>
                <w:rFonts w:ascii="Arial" w:hAnsi="Arial"/>
                <w:sz w:val="22"/>
                <w:szCs w:val="22"/>
                <w:shd w:val="nil" w:color="auto" w:fill="auto"/>
                <w:rtl w:val="0"/>
                <w:lang w:val="en-US"/>
              </w:rPr>
              <w:t>Evaluate how adventurous activities contribute to the development of children</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s physical literacy.</w:t>
            </w:r>
            <w:r>
              <w:rPr>
                <w:rFonts w:ascii="Arial" w:cs="Arial" w:hAnsi="Arial" w:eastAsia="Arial"/>
                <w:sz w:val="22"/>
                <w:szCs w:val="22"/>
                <w:shd w:val="nil" w:color="auto" w:fill="auto"/>
              </w:rPr>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Word count (or equivalent):</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1,500 words</w:t>
            </w:r>
          </w:p>
          <w:p>
            <w:pPr>
              <w:pStyle w:val="Body"/>
              <w:bidi w:val="0"/>
              <w:spacing w:before="120" w:after="120"/>
              <w:ind w:left="0" w:right="0" w:firstLine="0"/>
              <w:jc w:val="both"/>
              <w:rPr>
                <w:rtl w:val="0"/>
              </w:rPr>
            </w:pPr>
            <w:r>
              <w:rPr>
                <w:rFonts w:ascii="Arial" w:hAnsi="Arial"/>
                <w:b w:val="1"/>
                <w:bCs w:val="1"/>
                <w:sz w:val="22"/>
                <w:szCs w:val="22"/>
                <w:shd w:val="nil" w:color="auto" w:fill="auto"/>
                <w:rtl w:val="0"/>
                <w:lang w:val="en-US"/>
              </w:rPr>
              <w:t xml:space="preserve"> </w:t>
            </w:r>
          </w:p>
        </w:tc>
      </w:tr>
      <w:tr>
        <w:tblPrEx>
          <w:shd w:val="clear" w:color="auto" w:fill="ced7e7"/>
        </w:tblPrEx>
        <w:trPr>
          <w:trHeight w:val="72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Submission deadline: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3pm turnitin</w:t>
            </w:r>
          </w:p>
          <w:p>
            <w:pPr>
              <w:pStyle w:val="Body"/>
              <w:bidi w:val="0"/>
              <w:spacing w:before="120" w:after="120"/>
              <w:ind w:left="0" w:right="0" w:firstLine="0"/>
              <w:jc w:val="both"/>
              <w:rPr>
                <w:rtl w:val="0"/>
              </w:rPr>
            </w:pPr>
            <w:r>
              <w:rPr>
                <w:rFonts w:ascii="Arial" w:hAnsi="Arial"/>
                <w:b w:val="1"/>
                <w:bCs w:val="1"/>
                <w:sz w:val="22"/>
                <w:szCs w:val="22"/>
                <w:shd w:val="nil" w:color="auto" w:fill="auto"/>
                <w:rtl w:val="0"/>
                <w:lang w:val="en-US"/>
              </w:rPr>
              <w:t>26</w:t>
            </w:r>
            <w:r>
              <w:rPr>
                <w:rFonts w:ascii="Arial" w:hAnsi="Arial"/>
                <w:b w:val="1"/>
                <w:bCs w:val="1"/>
                <w:sz w:val="22"/>
                <w:szCs w:val="22"/>
                <w:shd w:val="nil" w:color="auto" w:fill="auto"/>
                <w:vertAlign w:val="superscript"/>
                <w:rtl w:val="0"/>
                <w:lang w:val="en-US"/>
              </w:rPr>
              <w:t>th</w:t>
            </w:r>
            <w:r>
              <w:rPr>
                <w:rFonts w:ascii="Arial" w:hAnsi="Arial"/>
                <w:b w:val="1"/>
                <w:bCs w:val="1"/>
                <w:sz w:val="22"/>
                <w:szCs w:val="22"/>
                <w:shd w:val="nil" w:color="auto" w:fill="auto"/>
                <w:rtl w:val="0"/>
                <w:lang w:val="en-US"/>
              </w:rPr>
              <w:t xml:space="preserve"> March, 2021</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Return date of provisional marks &amp; written feedback:</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3pm Turnitin</w:t>
            </w:r>
          </w:p>
          <w:p>
            <w:pPr>
              <w:pStyle w:val="Body"/>
              <w:bidi w:val="0"/>
              <w:spacing w:before="120" w:after="120"/>
              <w:ind w:left="0" w:right="0" w:firstLine="0"/>
              <w:jc w:val="left"/>
              <w:rPr>
                <w:rtl w:val="0"/>
              </w:rPr>
            </w:pPr>
            <w:r>
              <w:rPr>
                <w:rFonts w:ascii="Arial" w:hAnsi="Arial"/>
                <w:b w:val="1"/>
                <w:bCs w:val="1"/>
                <w:sz w:val="22"/>
                <w:szCs w:val="22"/>
                <w:shd w:val="nil" w:color="auto" w:fill="auto"/>
                <w:rtl w:val="0"/>
                <w:lang w:val="en-US"/>
              </w:rPr>
              <w:t>23</w:t>
            </w:r>
            <w:r>
              <w:rPr>
                <w:rFonts w:ascii="Arial" w:hAnsi="Arial"/>
                <w:b w:val="1"/>
                <w:bCs w:val="1"/>
                <w:sz w:val="22"/>
                <w:szCs w:val="22"/>
                <w:shd w:val="nil" w:color="auto" w:fill="auto"/>
                <w:vertAlign w:val="superscript"/>
                <w:rtl w:val="0"/>
                <w:lang w:val="en-US"/>
              </w:rPr>
              <w:t>rd</w:t>
            </w:r>
            <w:r>
              <w:rPr>
                <w:rFonts w:ascii="Arial" w:hAnsi="Arial"/>
                <w:b w:val="1"/>
                <w:bCs w:val="1"/>
                <w:sz w:val="22"/>
                <w:szCs w:val="22"/>
                <w:shd w:val="nil" w:color="auto" w:fill="auto"/>
                <w:rtl w:val="0"/>
                <w:lang w:val="en-US"/>
              </w:rPr>
              <w:t xml:space="preserve"> April, 2021</w:t>
            </w:r>
          </w:p>
        </w:tc>
      </w:tr>
      <w:tr>
        <w:tblPrEx>
          <w:shd w:val="clear" w:color="auto" w:fill="ced7e7"/>
        </w:tblPrEx>
        <w:trPr>
          <w:trHeight w:val="240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Submission method:</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shd w:val="nil" w:color="auto" w:fill="auto"/>
              </w:rPr>
            </w:pPr>
            <w:r>
              <w:rPr>
                <w:rFonts w:ascii="Arial" w:hAnsi="Arial"/>
                <w:sz w:val="22"/>
                <w:szCs w:val="22"/>
                <w:shd w:val="nil" w:color="auto" w:fill="auto"/>
                <w:rtl w:val="0"/>
                <w:lang w:val="en-US"/>
              </w:rPr>
              <w:t>All written assessments, where practical and possible, must be submitted via Turnitin unless otherwise instructed by the Lecturer. (Please DO NOT put this assessment specification into Turnitin or it will match many similarities with other students</w:t>
            </w:r>
            <w:r>
              <w:rPr>
                <w:rFonts w:ascii="Arial" w:hAnsi="Arial" w:hint="default"/>
                <w:sz w:val="22"/>
                <w:szCs w:val="22"/>
                <w:shd w:val="nil" w:color="auto" w:fill="auto"/>
                <w:rtl w:val="0"/>
                <w:lang w:val="en-US"/>
              </w:rPr>
              <w:t xml:space="preserve">’ </w:t>
            </w:r>
            <w:r>
              <w:rPr>
                <w:rFonts w:ascii="Arial" w:hAnsi="Arial"/>
                <w:sz w:val="22"/>
                <w:szCs w:val="22"/>
                <w:shd w:val="nil" w:color="auto" w:fill="auto"/>
                <w:rtl w:val="0"/>
                <w:lang w:val="en-US"/>
              </w:rPr>
              <w:t>submissions.)</w:t>
            </w:r>
          </w:p>
          <w:p>
            <w:pPr>
              <w:pStyle w:val="Body"/>
              <w:bidi w:val="0"/>
              <w:spacing w:before="120" w:after="120"/>
              <w:ind w:left="0" w:right="0" w:firstLine="0"/>
              <w:jc w:val="both"/>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 xml:space="preserve">Alternative submission method (if applicable): </w:t>
            </w:r>
          </w:p>
          <w:p>
            <w:pPr>
              <w:pStyle w:val="Body"/>
              <w:bidi w:val="0"/>
              <w:spacing w:before="120" w:after="120"/>
              <w:ind w:left="0" w:right="0" w:firstLine="0"/>
              <w:jc w:val="both"/>
              <w:rPr>
                <w:rtl w:val="0"/>
              </w:rPr>
            </w:pPr>
            <w:r>
              <w:rPr>
                <w:rFonts w:ascii="Arial" w:hAnsi="Arial"/>
                <w:b w:val="1"/>
                <w:bCs w:val="1"/>
                <w:sz w:val="22"/>
                <w:szCs w:val="22"/>
                <w:shd w:val="nil" w:color="auto" w:fill="auto"/>
                <w:rtl w:val="0"/>
                <w:lang w:val="en-US"/>
              </w:rPr>
              <w:t xml:space="preserve">Late submission of the assessment will result in a late penalty mark.  </w:t>
            </w:r>
            <w:r>
              <w:rPr>
                <w:rFonts w:ascii="Arial" w:hAnsi="Arial"/>
                <w:b w:val="0"/>
                <w:bCs w:val="0"/>
                <w:sz w:val="22"/>
                <w:szCs w:val="22"/>
                <w:shd w:val="nil" w:color="auto" w:fill="auto"/>
                <w:rtl w:val="0"/>
                <w:lang w:val="en-US"/>
              </w:rPr>
              <w:t>Penalties for late submission: Up to one week late, maximum mark of 40%.  Over one week late, 0%.  Only the Extenuating Circumstances Panel may approve a change to submission dates.</w:t>
            </w:r>
          </w:p>
        </w:tc>
      </w:tr>
      <w:tr>
        <w:tblPrEx>
          <w:shd w:val="clear" w:color="auto" w:fill="ced7e7"/>
        </w:tblPrEx>
        <w:trPr>
          <w:trHeight w:val="96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pPr>
            <w:r>
              <w:rPr>
                <w:rFonts w:ascii="Arial" w:hAnsi="Arial"/>
                <w:b w:val="1"/>
                <w:bCs w:val="1"/>
                <w:sz w:val="22"/>
                <w:szCs w:val="22"/>
                <w:shd w:val="nil" w:color="auto" w:fill="auto"/>
                <w:rtl w:val="0"/>
                <w:lang w:val="en-US"/>
              </w:rPr>
              <w:t>Academic honesty / referencing:</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sz w:val="22"/>
                <w:szCs w:val="22"/>
                <w:shd w:val="nil" w:color="auto" w:fill="auto"/>
                <w:rtl w:val="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pStyle w:val="Body"/>
        <w:widowControl w:val="0"/>
        <w:ind w:left="392" w:hanging="392"/>
        <w:jc w:val="center"/>
        <w:rPr>
          <w:rFonts w:ascii="Arial" w:cs="Arial" w:hAnsi="Arial" w:eastAsia="Arial"/>
          <w:b w:val="1"/>
          <w:bCs w:val="1"/>
          <w:i w:val="1"/>
          <w:iCs w:val="1"/>
          <w:sz w:val="32"/>
          <w:szCs w:val="32"/>
        </w:rPr>
      </w:pPr>
    </w:p>
    <w:p>
      <w:pPr>
        <w:pStyle w:val="Body"/>
        <w:rPr>
          <w:rFonts w:ascii="Arial" w:cs="Arial" w:hAnsi="Arial" w:eastAsia="Arial"/>
          <w:sz w:val="32"/>
          <w:szCs w:val="32"/>
        </w:rPr>
      </w:pPr>
    </w:p>
    <w:p>
      <w:pPr>
        <w:pStyle w:val="Body"/>
      </w:pPr>
      <w:r>
        <w:rPr>
          <w:rFonts w:ascii="Arial Unicode MS" w:cs="Arial Unicode MS" w:hAnsi="Arial Unicode MS" w:eastAsia="Arial Unicode MS"/>
          <w:b w:val="0"/>
          <w:bCs w:val="0"/>
          <w:i w:val="0"/>
          <w:iCs w:val="0"/>
          <w:sz w:val="22"/>
          <w:szCs w:val="22"/>
        </w:rPr>
        <w:br w:type="page"/>
      </w:r>
    </w:p>
    <w:p>
      <w:pPr>
        <w:pStyle w:val="Body"/>
        <w:jc w:val="both"/>
        <w:rPr>
          <w:rFonts w:ascii="Arial" w:cs="Arial" w:hAnsi="Arial" w:eastAsia="Arial"/>
          <w:sz w:val="22"/>
          <w:szCs w:val="22"/>
        </w:rPr>
      </w:pPr>
    </w:p>
    <w:tbl>
      <w:tblPr>
        <w:tblW w:w="10444"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44"/>
      </w:tblGrid>
      <w:tr>
        <w:tblPrEx>
          <w:shd w:val="clear" w:color="auto" w:fill="ced7e7"/>
        </w:tblPrEx>
        <w:trPr>
          <w:trHeight w:val="457"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pPr>
            <w:r>
              <w:rPr>
                <w:rFonts w:ascii="Arial" w:hAnsi="Arial"/>
                <w:b w:val="1"/>
                <w:bCs w:val="1"/>
                <w:caps w:val="1"/>
                <w:sz w:val="40"/>
                <w:szCs w:val="40"/>
                <w:shd w:val="nil" w:color="auto" w:fill="auto"/>
                <w:rtl w:val="0"/>
                <w:lang w:val="en-US"/>
              </w:rPr>
              <w:t xml:space="preserve">     Student FEEDBACK FORM</w:t>
            </w:r>
          </w:p>
        </w:tc>
      </w:tr>
    </w:tbl>
    <w:p>
      <w:pPr>
        <w:pStyle w:val="Body"/>
        <w:widowControl w:val="0"/>
        <w:jc w:val="center"/>
        <w:rPr>
          <w:rFonts w:ascii="Arial" w:cs="Arial" w:hAnsi="Arial" w:eastAsia="Arial"/>
          <w:sz w:val="22"/>
          <w:szCs w:val="22"/>
        </w:rPr>
      </w:pPr>
    </w:p>
    <w:p>
      <w:pPr>
        <w:pStyle w:val="Body"/>
        <w:rPr>
          <w:rFonts w:ascii="Arial" w:cs="Arial" w:hAnsi="Arial" w:eastAsia="Arial"/>
        </w:rPr>
      </w:pPr>
    </w:p>
    <w:p>
      <w:pPr>
        <w:pStyle w:val="Body Text1"/>
        <w:tabs>
          <w:tab w:val="clear" w:pos="720"/>
          <w:tab w:val="clear" w:pos="1440"/>
        </w:tabs>
        <w:jc w:val="both"/>
        <w:rPr>
          <w:rFonts w:ascii="Arial" w:cs="Arial" w:hAnsi="Arial" w:eastAsia="Arial"/>
          <w:sz w:val="20"/>
          <w:szCs w:val="20"/>
        </w:rPr>
      </w:pPr>
      <w:r>
        <w:rPr>
          <w:rFonts w:ascii="Arial" w:hAnsi="Arial"/>
          <w:sz w:val="20"/>
          <w:szCs w:val="20"/>
          <w:rtl w:val="0"/>
          <w:lang w:val="en-US"/>
        </w:rPr>
        <w:t xml:space="preserve">This section details the </w:t>
      </w:r>
      <w:r>
        <w:rPr>
          <w:rFonts w:ascii="Arial" w:hAnsi="Arial"/>
          <w:i w:val="1"/>
          <w:iCs w:val="1"/>
          <w:sz w:val="20"/>
          <w:szCs w:val="20"/>
          <w:rtl w:val="0"/>
          <w:lang w:val="en-US"/>
        </w:rPr>
        <w:t>extent</w:t>
      </w:r>
      <w:r>
        <w:rPr>
          <w:rFonts w:ascii="Arial" w:hAnsi="Arial"/>
          <w:sz w:val="20"/>
          <w:szCs w:val="20"/>
          <w:rtl w:val="0"/>
          <w:lang w:val="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pPr>
        <w:pStyle w:val="Body"/>
        <w:rPr>
          <w:rFonts w:ascii="Arial" w:cs="Arial" w:hAnsi="Arial" w:eastAsia="Arial"/>
          <w:b w:val="1"/>
          <w:bCs w:val="1"/>
          <w:sz w:val="22"/>
          <w:szCs w:val="22"/>
        </w:rPr>
      </w:pPr>
    </w:p>
    <w:tbl>
      <w:tblPr>
        <w:tblW w:w="1044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708"/>
        <w:gridCol w:w="869"/>
        <w:gridCol w:w="867"/>
      </w:tblGrid>
      <w:tr>
        <w:tblPrEx>
          <w:shd w:val="clear" w:color="auto" w:fill="ced7e7"/>
        </w:tblPrEx>
        <w:trPr>
          <w:trHeight w:val="852"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 xml:space="preserve">Generic Assessment Criteria </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14"/>
              <w:bottom w:type="dxa" w:w="80"/>
              <w:right w:type="dxa" w:w="193"/>
            </w:tcMar>
            <w:vAlign w:val="top"/>
          </w:tcPr>
          <w:p>
            <w:pPr>
              <w:pStyle w:val="Body"/>
              <w:ind w:left="34" w:right="113" w:firstLine="0"/>
              <w:jc w:val="center"/>
            </w:pPr>
            <w:r>
              <w:rPr>
                <w:rFonts w:ascii="Arial" w:hAnsi="Arial"/>
                <w:b w:val="1"/>
                <w:bCs w:val="1"/>
                <w:sz w:val="18"/>
                <w:szCs w:val="18"/>
                <w:shd w:val="nil" w:color="auto" w:fill="auto"/>
                <w:rtl w:val="0"/>
                <w:lang w:val="en-US"/>
              </w:rPr>
              <w:t>Marks available</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93"/>
              <w:bottom w:type="dxa" w:w="80"/>
              <w:right w:type="dxa" w:w="193"/>
            </w:tcMar>
            <w:vAlign w:val="center"/>
          </w:tcPr>
          <w:p>
            <w:pPr>
              <w:pStyle w:val="Body"/>
              <w:ind w:left="113" w:right="113" w:firstLine="0"/>
              <w:jc w:val="center"/>
              <w:rPr>
                <w:rFonts w:ascii="Arial" w:cs="Arial" w:hAnsi="Arial" w:eastAsia="Arial"/>
                <w:b w:val="1"/>
                <w:bCs w:val="1"/>
                <w:sz w:val="18"/>
                <w:szCs w:val="18"/>
                <w:shd w:val="nil" w:color="auto" w:fill="auto"/>
              </w:rPr>
            </w:pPr>
            <w:r>
              <w:rPr>
                <w:rFonts w:ascii="Arial" w:hAnsi="Arial"/>
                <w:b w:val="1"/>
                <w:bCs w:val="1"/>
                <w:sz w:val="18"/>
                <w:szCs w:val="18"/>
                <w:shd w:val="nil" w:color="auto" w:fill="auto"/>
                <w:rtl w:val="0"/>
                <w:lang w:val="en-US"/>
              </w:rPr>
              <w:t xml:space="preserve">Marks </w:t>
            </w:r>
          </w:p>
          <w:p>
            <w:pPr>
              <w:pStyle w:val="Body"/>
              <w:bidi w:val="0"/>
              <w:ind w:left="113" w:right="113" w:firstLine="0"/>
              <w:jc w:val="center"/>
              <w:rPr>
                <w:rtl w:val="0"/>
              </w:rPr>
            </w:pPr>
            <w:r>
              <w:rPr>
                <w:rFonts w:ascii="Arial" w:hAnsi="Arial"/>
                <w:b w:val="1"/>
                <w:bCs w:val="1"/>
                <w:sz w:val="18"/>
                <w:szCs w:val="18"/>
                <w:shd w:val="nil" w:color="auto" w:fill="auto"/>
                <w:rtl w:val="0"/>
                <w:lang w:val="en-US"/>
              </w:rPr>
              <w:t>awarded</w:t>
            </w: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rPr>
                <w:rFonts w:ascii="Arial" w:cs="Arial" w:hAnsi="Arial" w:eastAsia="Arial"/>
                <w:b w:val="1"/>
                <w:bCs w:val="1"/>
                <w:sz w:val="16"/>
                <w:szCs w:val="16"/>
                <w:shd w:val="nil" w:color="auto" w:fill="auto"/>
              </w:rPr>
            </w:pPr>
            <w:r>
              <w:rPr>
                <w:rFonts w:ascii="Arial" w:hAnsi="Arial"/>
                <w:b w:val="1"/>
                <w:bCs w:val="1"/>
                <w:sz w:val="20"/>
                <w:szCs w:val="20"/>
                <w:shd w:val="nil" w:color="auto" w:fill="auto"/>
                <w:rtl w:val="0"/>
                <w:lang w:val="en-US"/>
              </w:rPr>
              <w:t>1. Engagement with Literature Skills</w:t>
            </w:r>
          </w:p>
          <w:p>
            <w:pPr>
              <w:pStyle w:val="Body"/>
              <w:bidi w:val="0"/>
              <w:spacing w:after="120"/>
              <w:ind w:left="0" w:right="0" w:firstLine="0"/>
              <w:jc w:val="left"/>
              <w:rPr>
                <w:rtl w:val="0"/>
              </w:rPr>
            </w:pPr>
            <w:r>
              <w:rPr>
                <w:rFonts w:ascii="Arial" w:hAnsi="Arial"/>
                <w:sz w:val="14"/>
                <w:szCs w:val="14"/>
                <w:shd w:val="nil" w:color="auto" w:fill="auto"/>
                <w:rtl w:val="0"/>
                <w:lang w:val="en-US"/>
              </w:rPr>
              <w:t>.</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Arial" w:hAnsi="Arial"/>
                <w:sz w:val="32"/>
                <w:szCs w:val="32"/>
                <w:shd w:val="nil" w:color="auto" w:fill="auto"/>
                <w:rtl w:val="0"/>
                <w:lang w:val="en-US"/>
              </w:rPr>
              <w:t>30</w:t>
            </w: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hd w:val="nil" w:color="auto" w:fill="auto"/>
                <w:rtl w:val="0"/>
                <w:lang w:val="en-US"/>
              </w:rPr>
              <w:t>2. Knowledge and Understanding Skills</w:t>
            </w:r>
            <w:r>
              <w:rPr>
                <w:rFonts w:ascii="Arial" w:cs="Arial" w:hAnsi="Arial" w:eastAsia="Arial"/>
                <w:b w:val="1"/>
                <w:bCs w:val="1"/>
                <w:shd w:val="nil" w:color="auto" w:fill="auto"/>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Arial" w:hAnsi="Arial"/>
                <w:sz w:val="32"/>
                <w:szCs w:val="32"/>
                <w:shd w:val="nil" w:color="auto" w:fill="auto"/>
                <w:rtl w:val="0"/>
                <w:lang w:val="en-US"/>
              </w:rPr>
              <w:t>20</w:t>
            </w: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shd w:val="nil" w:color="auto" w:fill="auto"/>
                <w:rtl w:val="0"/>
                <w:lang w:val="en-US"/>
              </w:rPr>
              <w:t>3. Cognitive and Intellectual Skills</w:t>
            </w:r>
            <w:r>
              <w:rPr>
                <w:rFonts w:ascii="Arial" w:cs="Arial" w:hAnsi="Arial" w:eastAsia="Arial"/>
                <w:b w:val="1"/>
                <w:bCs w:val="1"/>
                <w:sz w:val="16"/>
                <w:szCs w:val="16"/>
                <w:shd w:val="nil" w:color="auto" w:fill="auto"/>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Arial" w:hAnsi="Arial"/>
                <w:sz w:val="32"/>
                <w:szCs w:val="32"/>
                <w:shd w:val="nil" w:color="auto" w:fill="auto"/>
                <w:rtl w:val="0"/>
                <w:lang w:val="en-US"/>
              </w:rPr>
              <w:t>20</w:t>
            </w: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shd w:val="nil" w:color="auto" w:fill="auto"/>
                <w:rtl w:val="0"/>
                <w:lang w:val="en-US"/>
              </w:rPr>
              <w:t>4. Practical Application Skills</w:t>
            </w:r>
            <w:r>
              <w:rPr>
                <w:rFonts w:ascii="Arial" w:cs="Arial" w:hAnsi="Arial" w:eastAsia="Arial"/>
                <w:b w:val="1"/>
                <w:bCs w:val="1"/>
                <w:sz w:val="16"/>
                <w:szCs w:val="16"/>
                <w:shd w:val="nil" w:color="auto" w:fill="auto"/>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4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Arial" w:hAnsi="Arial"/>
                <w:sz w:val="32"/>
                <w:szCs w:val="32"/>
                <w:shd w:val="nil" w:color="auto" w:fill="auto"/>
                <w:rtl w:val="0"/>
                <w:lang w:val="en-US"/>
              </w:rPr>
              <w:t>10</w:t>
            </w: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shd w:val="nil" w:color="auto" w:fill="auto"/>
                <w:rtl w:val="0"/>
                <w:lang w:val="en-US"/>
              </w:rPr>
              <w:t>5. Transferable Skills for Life and Professional Practice</w:t>
            </w:r>
            <w:r>
              <w:rPr>
                <w:rFonts w:ascii="Arial" w:cs="Arial" w:hAnsi="Arial" w:eastAsia="Arial"/>
                <w:b w:val="1"/>
                <w:bCs w:val="1"/>
                <w:sz w:val="16"/>
                <w:szCs w:val="16"/>
                <w:shd w:val="nil" w:color="auto" w:fill="auto"/>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55"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Arial" w:hAnsi="Arial"/>
                <w:sz w:val="32"/>
                <w:szCs w:val="32"/>
                <w:shd w:val="nil" w:color="auto" w:fill="auto"/>
                <w:rtl w:val="0"/>
                <w:lang w:val="en-US"/>
              </w:rPr>
              <w:t>20</w:t>
            </w: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w:widowControl w:val="0"/>
        <w:rPr>
          <w:rFonts w:ascii="Arial" w:cs="Arial" w:hAnsi="Arial" w:eastAsia="Arial"/>
          <w:b w:val="1"/>
          <w:bCs w:val="1"/>
          <w:sz w:val="22"/>
          <w:szCs w:val="22"/>
        </w:rPr>
      </w:pPr>
    </w:p>
    <w:p>
      <w:pPr>
        <w:pStyle w:val="Body"/>
        <w:ind w:right="531"/>
        <w:rPr>
          <w:rFonts w:ascii="Arial" w:cs="Arial" w:hAnsi="Arial" w:eastAsia="Arial"/>
          <w:b w:val="1"/>
          <w:bCs w:val="1"/>
          <w:sz w:val="16"/>
          <w:szCs w:val="16"/>
        </w:rPr>
      </w:pPr>
    </w:p>
    <w:tbl>
      <w:tblPr>
        <w:tblW w:w="1066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062"/>
        <w:gridCol w:w="2903"/>
        <w:gridCol w:w="641"/>
        <w:gridCol w:w="1060"/>
      </w:tblGrid>
      <w:tr>
        <w:tblPrEx>
          <w:shd w:val="clear" w:color="auto" w:fill="ced7e7"/>
        </w:tblPrEx>
        <w:trPr>
          <w:trHeight w:val="365" w:hRule="atLeast"/>
        </w:trPr>
        <w:tc>
          <w:tcPr>
            <w:tcW w:type="dxa" w:w="606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 xml:space="preserve">Assessment Mark </w:t>
            </w:r>
            <w:r>
              <w:rPr>
                <w:rFonts w:ascii="Arial" w:hAnsi="Arial"/>
                <w:sz w:val="22"/>
                <w:szCs w:val="22"/>
                <w:shd w:val="nil" w:color="auto" w:fill="auto"/>
                <w:rtl w:val="0"/>
                <w:lang w:val="en-US"/>
              </w:rPr>
              <w:t>(</w:t>
            </w:r>
            <w:r>
              <w:rPr>
                <w:rFonts w:ascii="Arial" w:hAnsi="Arial"/>
                <w:sz w:val="16"/>
                <w:szCs w:val="16"/>
                <w:shd w:val="nil" w:color="auto" w:fill="auto"/>
                <w:rtl w:val="0"/>
                <w:lang w:val="en-US"/>
              </w:rPr>
              <w:t>Assessment marks are subject to ratification at the Exam Board.  These comments and marks are to give feedback on module work and are for guidance only until they are confirmed. )</w:t>
            </w:r>
          </w:p>
        </w:tc>
        <w:tc>
          <w:tcPr>
            <w:tcW w:type="dxa" w:w="354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bottom"/>
          </w:tcPr>
          <w:p>
            <w:pPr>
              <w:pStyle w:val="Body"/>
            </w:pPr>
            <w:r>
              <w:rPr>
                <w:rFonts w:ascii="Arial" w:hAnsi="Arial"/>
                <w:b w:val="1"/>
                <w:bCs w:val="1"/>
                <w:sz w:val="16"/>
                <w:szCs w:val="16"/>
                <w:shd w:val="nil" w:color="auto" w:fill="auto"/>
                <w:rtl w:val="0"/>
                <w:lang w:val="en-US"/>
              </w:rPr>
              <w:t>Late Submission Penalties (tick if appropriate)</w:t>
            </w:r>
          </w:p>
        </w:tc>
        <w:tc>
          <w:tcPr>
            <w:tcW w:type="dxa" w:w="106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right"/>
            </w:pPr>
            <w:r>
              <w:rPr>
                <w:rFonts w:ascii="Arial" w:hAnsi="Arial"/>
                <w:b w:val="1"/>
                <w:bCs w:val="1"/>
                <w:shd w:val="nil" w:color="auto" w:fill="auto"/>
                <w:rtl w:val="0"/>
                <w:lang w:val="en-US"/>
              </w:rPr>
              <w:t>%</w:t>
            </w:r>
          </w:p>
        </w:tc>
      </w:tr>
      <w:tr>
        <w:tblPrEx>
          <w:shd w:val="clear" w:color="auto" w:fill="ced7e7"/>
        </w:tblPrEx>
        <w:trPr>
          <w:trHeight w:val="185"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w:hAnsi="Arial"/>
                <w:b w:val="0"/>
                <w:bCs w:val="0"/>
                <w:sz w:val="16"/>
                <w:szCs w:val="16"/>
                <w:shd w:val="nil" w:color="auto" w:fill="auto"/>
                <w:rtl w:val="0"/>
                <w:lang w:val="en-US"/>
              </w:rPr>
              <w:t>Up to 1 week late (</w:t>
            </w:r>
            <w:r>
              <w:rPr>
                <w:rFonts w:ascii="Arial" w:hAnsi="Arial"/>
                <w:b w:val="0"/>
                <w:bCs w:val="0"/>
                <w:sz w:val="12"/>
                <w:szCs w:val="12"/>
                <w:shd w:val="nil" w:color="auto" w:fill="auto"/>
                <w:rtl w:val="0"/>
                <w:lang w:val="en-US"/>
              </w:rPr>
              <w:t>40% Max)</w:t>
            </w:r>
          </w:p>
        </w:tc>
        <w:tc>
          <w:tcPr>
            <w:tcW w:type="dxa" w:w="6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w:rPr>
          <w:rFonts w:ascii="Arial" w:cs="Arial" w:hAnsi="Arial" w:eastAsia="Arial"/>
          <w:b w:val="1"/>
          <w:bCs w:val="1"/>
        </w:rPr>
      </w:pPr>
    </w:p>
    <w:p>
      <w:pPr>
        <w:pStyle w:val="Body"/>
        <w:rPr>
          <w:rFonts w:ascii="Arial" w:cs="Arial" w:hAnsi="Arial" w:eastAsia="Arial"/>
          <w:b w:val="1"/>
          <w:bCs w:val="1"/>
        </w:rPr>
      </w:pPr>
    </w:p>
    <w:p>
      <w:pPr>
        <w:pStyle w:val="Body"/>
        <w:rPr>
          <w:rFonts w:ascii="Arial" w:cs="Arial" w:hAnsi="Arial" w:eastAsia="Arial"/>
          <w:b w:val="1"/>
          <w:bCs w:val="1"/>
        </w:rPr>
      </w:pPr>
    </w:p>
    <w:p>
      <w:pPr>
        <w:pStyle w:val="Body"/>
        <w:rPr>
          <w:rFonts w:ascii="Arial" w:cs="Arial" w:hAnsi="Arial" w:eastAsia="Arial"/>
          <w:b w:val="1"/>
          <w:bCs w:val="1"/>
        </w:rPr>
      </w:pPr>
    </w:p>
    <w:p>
      <w:pPr>
        <w:pStyle w:val="Body"/>
        <w:rPr>
          <w:rFonts w:ascii="Arial" w:cs="Arial" w:hAnsi="Arial" w:eastAsia="Arial"/>
          <w:b w:val="1"/>
          <w:bCs w:val="1"/>
        </w:rPr>
      </w:pPr>
    </w:p>
    <w:p>
      <w:pPr>
        <w:pStyle w:val="Body"/>
        <w:rPr>
          <w:rFonts w:ascii="Arial" w:cs="Arial" w:hAnsi="Arial" w:eastAsia="Arial"/>
          <w:b w:val="1"/>
          <w:bCs w:val="1"/>
        </w:rPr>
      </w:pPr>
    </w:p>
    <w:p>
      <w:pPr>
        <w:pStyle w:val="Body"/>
        <w:rPr>
          <w:rFonts w:ascii="Arial" w:cs="Arial" w:hAnsi="Arial" w:eastAsia="Arial"/>
          <w:b w:val="1"/>
          <w:bCs w:val="1"/>
        </w:rPr>
      </w:pPr>
    </w:p>
    <w:p>
      <w:pPr>
        <w:pStyle w:val="Body"/>
        <w:rPr>
          <w:rFonts w:ascii="Arial" w:cs="Arial" w:hAnsi="Arial" w:eastAsia="Arial"/>
          <w:b w:val="1"/>
          <w:bCs w:val="1"/>
        </w:rPr>
      </w:pPr>
    </w:p>
    <w:p>
      <w:pPr>
        <w:pStyle w:val="heading 4"/>
        <w:keepNext w:val="0"/>
        <w:spacing w:before="0" w:after="0" w:line="360" w:lineRule="auto"/>
        <w:jc w:val="both"/>
        <w:outlineLvl w:val="9"/>
        <w:rPr>
          <w:rFonts w:ascii="Times New Roman" w:cs="Times New Roman" w:hAnsi="Times New Roman" w:eastAsia="Times New Roman"/>
          <w:sz w:val="24"/>
          <w:szCs w:val="24"/>
          <w14:textOutline w14:w="12700" w14:cap="flat">
            <w14:noFill/>
            <w14:miter w14:lim="400000"/>
          </w14:textOutline>
        </w:rPr>
      </w:pPr>
      <w:r>
        <w:rPr>
          <w:rFonts w:ascii="Times New Roman" w:hAnsi="Times New Roman"/>
          <w:sz w:val="24"/>
          <w:szCs w:val="24"/>
          <w:rtl w:val="0"/>
          <w:lang w:val="en-US"/>
          <w14:textOutline w14:w="12700" w14:cap="flat">
            <w14:noFill/>
            <w14:miter w14:lim="400000"/>
          </w14:textOutline>
        </w:rPr>
        <w:t>This essay will intend to evaluate the effectiveness and contribution adventurous activities provide towards the development of children</w:t>
      </w:r>
      <w:r>
        <w:rPr>
          <w:rFonts w:ascii="Times New Roman" w:hAnsi="Times New Roman" w:hint="default"/>
          <w:sz w:val="24"/>
          <w:szCs w:val="24"/>
          <w:rtl w:val="0"/>
          <w:lang w:val="en-US"/>
          <w14:textOutline w14:w="12700" w14:cap="flat">
            <w14:noFill/>
            <w14:miter w14:lim="400000"/>
          </w14:textOutline>
        </w:rPr>
        <w:t>’</w:t>
      </w:r>
      <w:r>
        <w:rPr>
          <w:rFonts w:ascii="Times New Roman" w:hAnsi="Times New Roman"/>
          <w:sz w:val="24"/>
          <w:szCs w:val="24"/>
          <w:rtl w:val="0"/>
          <w:lang w:val="en-US"/>
          <w14:textOutline w14:w="12700" w14:cap="flat">
            <w14:noFill/>
            <w14:miter w14:lim="400000"/>
          </w14:textOutline>
        </w:rPr>
        <w:t>s physical literacy. There has been research on whether adventurous activities in education provide a potentially valuable experience (Dismore and Bailey, 2005). Dismore and Bailey (2005) researched this topic and the findings from this research were able to prove the importance of including adventurous activities in education, the research showed the signs of social development and a Childs intellectual development being addressed. Within this essay, one of the points that will be covered will include how the environment and the affordances of the environment can push towards improving a child's physical literacy. What is meant by this is how do children begin to use their knowledge and understanding of things within the environment to be creative with how an animal may use the environment they are in (</w:t>
      </w:r>
      <w:r>
        <w:rPr>
          <w:rFonts w:ascii="Times New Roman" w:hAnsi="Times New Roman"/>
          <w:sz w:val="24"/>
          <w:szCs w:val="24"/>
          <w:rtl w:val="0"/>
          <w:lang w:val="es-ES_tradnl"/>
          <w14:textOutline w14:w="12700" w14:cap="flat">
            <w14:noFill/>
            <w14:miter w14:lim="400000"/>
          </w14:textOutline>
        </w:rPr>
        <w:t>Chemero,</w:t>
      </w:r>
      <w:r>
        <w:rPr>
          <w:rFonts w:ascii="Times New Roman" w:hAnsi="Times New Roman"/>
          <w:sz w:val="24"/>
          <w:szCs w:val="24"/>
          <w:rtl w:val="0"/>
          <w:lang w:val="en-US"/>
          <w14:textOutline w14:w="12700" w14:cap="flat">
            <w14:noFill/>
            <w14:miter w14:lim="400000"/>
          </w14:textOutline>
        </w:rPr>
        <w:t xml:space="preserve"> 2003). From this, the essay will begin to make reference to how facilitators within adventurous activities can impact the understanding of an area of learning through the use of teaching styles or the use of theories based on behaviorism and constructivism and the impact this can cause on the development of physical literacy along with how the curriculum links (Hardman, 2011).</w:t>
      </w:r>
    </w:p>
    <w:p>
      <w:pPr>
        <w:pStyle w:val="heading 4"/>
        <w:keepNext w:val="0"/>
        <w:spacing w:before="0" w:after="0" w:line="360" w:lineRule="auto"/>
        <w:jc w:val="both"/>
        <w:outlineLvl w:val="9"/>
        <w:rPr>
          <w:sz w:val="24"/>
          <w:szCs w:val="24"/>
          <w:lang w:val="en-US"/>
          <w14:textOutline w14:w="12700" w14:cap="flat">
            <w14:noFill/>
            <w14:miter w14:lim="400000"/>
          </w14:textOutline>
        </w:rPr>
      </w:pPr>
    </w:p>
    <w:p>
      <w:pPr>
        <w:pStyle w:val="heading 4"/>
        <w:keepNext w:val="0"/>
        <w:spacing w:before="0" w:after="0" w:line="360" w:lineRule="auto"/>
        <w:jc w:val="both"/>
        <w:outlineLvl w:val="9"/>
        <w:rPr>
          <w:rFonts w:ascii="Times New Roman" w:cs="Times New Roman" w:hAnsi="Times New Roman" w:eastAsia="Times New Roman"/>
          <w:sz w:val="24"/>
          <w:szCs w:val="24"/>
          <w14:textOutline w14:w="12700" w14:cap="flat">
            <w14:noFill/>
            <w14:miter w14:lim="400000"/>
          </w14:textOutline>
        </w:rPr>
      </w:pPr>
      <w:r>
        <w:rPr>
          <w:rFonts w:ascii="Times New Roman" w:hAnsi="Times New Roman"/>
          <w:sz w:val="24"/>
          <w:szCs w:val="24"/>
          <w:rtl w:val="0"/>
          <w:lang w:val="en-US"/>
          <w14:textOutline w14:w="12700" w14:cap="flat">
            <w14:noFill/>
            <w14:miter w14:lim="400000"/>
          </w14:textOutline>
        </w:rPr>
        <w:t>To begin with, it is important to discuss the concept of physical literacy and why it is important for educators to push to develop this concept within children's education, especially within outdoor education. The main concept of physical literacy is for individuals to improve their knowledge and develop motivation towards keeping to physical activity during their lifetime through the understanding of physical competence (Whitehead, 2010; Pot, Whitehead, and Durden-Myers, 2018). It is important to understand that physical literacy is not just about being physically competent, it allows for a starting foundation towards improving and learning new skills such as critical thinking, problem-solving, and the development of fundamental movement skills (</w:t>
      </w:r>
      <w:r>
        <w:rPr>
          <w:rFonts w:ascii="Times New Roman" w:hAnsi="Times New Roman"/>
          <w:sz w:val="24"/>
          <w:szCs w:val="24"/>
          <w:rtl w:val="0"/>
          <w:lang w:val="nl-NL"/>
          <w14:textOutline w14:w="12700" w14:cap="flat">
            <w14:noFill/>
            <w14:miter w14:lim="400000"/>
          </w14:textOutline>
        </w:rPr>
        <w:t>Mandigo</w:t>
      </w:r>
      <w:r>
        <w:rPr>
          <w:rFonts w:ascii="Times New Roman" w:hAnsi="Times New Roman"/>
          <w:sz w:val="24"/>
          <w:szCs w:val="24"/>
          <w:rtl w:val="0"/>
          <w:lang w:val="en-US"/>
          <w14:textOutline w14:w="12700" w14:cap="flat">
            <w14:noFill/>
            <w14:miter w14:lim="400000"/>
          </w14:textOutline>
        </w:rPr>
        <w:t xml:space="preserve">, </w:t>
      </w:r>
      <w:r>
        <w:rPr>
          <w:rFonts w:ascii="Times New Roman" w:hAnsi="Times New Roman"/>
          <w:i w:val="1"/>
          <w:iCs w:val="1"/>
          <w:sz w:val="24"/>
          <w:szCs w:val="24"/>
          <w:rtl w:val="0"/>
          <w:lang w:val="en-US"/>
          <w14:textOutline w14:w="12700" w14:cap="flat">
            <w14:noFill/>
            <w14:miter w14:lim="400000"/>
          </w14:textOutline>
        </w:rPr>
        <w:t xml:space="preserve">et al, </w:t>
      </w:r>
      <w:r>
        <w:rPr>
          <w:rFonts w:ascii="Times New Roman" w:hAnsi="Times New Roman"/>
          <w:sz w:val="24"/>
          <w:szCs w:val="24"/>
          <w:rtl w:val="0"/>
          <w:lang w:val="en-US"/>
          <w14:textOutline w14:w="12700" w14:cap="flat">
            <w14:noFill/>
            <w14:miter w14:lim="400000"/>
          </w14:textOutline>
        </w:rPr>
        <w:t>2009). Whitehead (2010) looked into the elements that made outdoor education a valuable asset towards children</w:t>
      </w:r>
      <w:r>
        <w:rPr>
          <w:rFonts w:ascii="Times New Roman" w:hAnsi="Times New Roman" w:hint="default"/>
          <w:sz w:val="24"/>
          <w:szCs w:val="24"/>
          <w:rtl w:val="0"/>
          <w:lang w:val="en-US"/>
          <w14:textOutline w14:w="12700" w14:cap="flat">
            <w14:noFill/>
            <w14:miter w14:lim="400000"/>
          </w14:textOutline>
        </w:rPr>
        <w:t>’</w:t>
      </w:r>
      <w:r>
        <w:rPr>
          <w:rFonts w:ascii="Times New Roman" w:hAnsi="Times New Roman"/>
          <w:sz w:val="24"/>
          <w:szCs w:val="24"/>
          <w:rtl w:val="0"/>
          <w:lang w:val="en-US"/>
          <w14:textOutline w14:w="12700" w14:cap="flat">
            <w14:noFill/>
            <w14:miter w14:lim="400000"/>
          </w14:textOutline>
        </w:rPr>
        <w:t>s education and how exploring large outdoor spaces built on the children</w:t>
      </w:r>
      <w:r>
        <w:rPr>
          <w:rFonts w:ascii="Times New Roman" w:hAnsi="Times New Roman" w:hint="default"/>
          <w:sz w:val="24"/>
          <w:szCs w:val="24"/>
          <w:rtl w:val="0"/>
          <w:lang w:val="en-US"/>
          <w14:textOutline w14:w="12700" w14:cap="flat">
            <w14:noFill/>
            <w14:miter w14:lim="400000"/>
          </w14:textOutline>
        </w:rPr>
        <w:t>’</w:t>
      </w:r>
      <w:r>
        <w:rPr>
          <w:rFonts w:ascii="Times New Roman" w:hAnsi="Times New Roman"/>
          <w:sz w:val="24"/>
          <w:szCs w:val="24"/>
          <w:rtl w:val="0"/>
          <w:lang w:val="en-US"/>
          <w14:textOutline w14:w="12700" w14:cap="flat">
            <w14:noFill/>
            <w14:miter w14:lim="400000"/>
          </w14:textOutline>
        </w:rPr>
        <w:t>s development towards physical literacy. It was shown that children when given the freedom of exploring outdoor areas such as woodlands, playgrounds, or fields, not only began to show development through the physical competency they were shown but other valuable skills such as listening and showing the interaction children were found within the environment (Whitehead, 2010).</w:t>
      </w:r>
    </w:p>
    <w:p>
      <w:pPr>
        <w:pStyle w:val="heading 4"/>
        <w:keepNext w:val="0"/>
        <w:spacing w:before="0" w:after="0" w:line="360" w:lineRule="auto"/>
        <w:jc w:val="both"/>
        <w:outlineLvl w:val="9"/>
        <w:rPr>
          <w:sz w:val="24"/>
          <w:szCs w:val="24"/>
          <w:lang w:val="en-US"/>
          <w14:textOutline w14:w="12700" w14:cap="flat">
            <w14:noFill/>
            <w14:miter w14:lim="400000"/>
          </w14:textOutline>
        </w:rPr>
      </w:pPr>
    </w:p>
    <w:p>
      <w:pPr>
        <w:pStyle w:val="heading 4"/>
        <w:keepNext w:val="0"/>
        <w:spacing w:before="0" w:after="0" w:line="360" w:lineRule="auto"/>
        <w:jc w:val="both"/>
        <w:outlineLvl w:val="9"/>
        <w:rPr>
          <w:rFonts w:ascii="Times New Roman" w:cs="Times New Roman" w:hAnsi="Times New Roman" w:eastAsia="Times New Roman"/>
          <w:sz w:val="24"/>
          <w:szCs w:val="24"/>
          <w14:textOutline w14:w="12700" w14:cap="flat">
            <w14:noFill/>
            <w14:miter w14:lim="400000"/>
          </w14:textOutline>
        </w:rPr>
      </w:pPr>
      <w:r>
        <w:rPr>
          <w:rFonts w:ascii="Times New Roman" w:hAnsi="Times New Roman"/>
          <w:sz w:val="24"/>
          <w:szCs w:val="24"/>
          <w:rtl w:val="0"/>
          <w:lang w:val="en-US"/>
          <w14:textOutline w14:w="12700" w14:cap="flat">
            <w14:noFill/>
            <w14:miter w14:lim="400000"/>
          </w14:textOutline>
        </w:rPr>
        <w:t>Carrying on from the topic of how children interact within the environment can show the result of developing physical literacy through affordances and foundational movement that is improving through the exploration of outdoor education (Gibson, 2014). Outdoor education is becoming increasingly popular across the world because of the versatile opportunities it provides children with whilst they take part (Fiskum and Jacobsen, 2013). Fiskum (2003) began to touch on how children preferred the freedom to explore natural environments such as woodland areas and open fields compared to man-made areas like playgrounds due to the lack of affordances available. The affordances available to children in natural landscapes are much wider and varied which have allowed children to begin perceiving these affordances as opportunities to interact foundational movements to their physical literacy (Fiskum and Jacobsen, 2013; Fj</w:t>
      </w:r>
      <w:r>
        <w:rPr>
          <w:rFonts w:ascii="Times New Roman" w:hAnsi="Times New Roman" w:hint="default"/>
          <w:sz w:val="24"/>
          <w:szCs w:val="24"/>
          <w:rtl w:val="0"/>
          <w:lang w:val="da-DK"/>
          <w14:textOutline w14:w="12700" w14:cap="flat">
            <w14:noFill/>
            <w14:miter w14:lim="400000"/>
          </w14:textOutline>
        </w:rPr>
        <w:t>ø</w:t>
      </w:r>
      <w:r>
        <w:rPr>
          <w:rFonts w:ascii="Times New Roman" w:hAnsi="Times New Roman"/>
          <w:sz w:val="24"/>
          <w:szCs w:val="24"/>
          <w:rtl w:val="0"/>
          <w:lang w:val="da-DK"/>
          <w14:textOutline w14:w="12700" w14:cap="flat">
            <w14:noFill/>
            <w14:miter w14:lim="400000"/>
          </w14:textOutline>
        </w:rPr>
        <w:t>rtoft,</w:t>
      </w:r>
      <w:r>
        <w:rPr>
          <w:rFonts w:ascii="Times New Roman" w:hAnsi="Times New Roman"/>
          <w:sz w:val="24"/>
          <w:szCs w:val="24"/>
          <w:rtl w:val="0"/>
          <w:lang w:val="en-US"/>
          <w14:textOutline w14:w="12700" w14:cap="flat">
            <w14:noFill/>
            <w14:miter w14:lim="400000"/>
          </w14:textOutline>
        </w:rPr>
        <w:t xml:space="preserve"> 2004). For children, these ideas that are perceived may link to using trees as if they are apparatus so they may begin to climb on the swing from the branches or it may be more complex children may see a few sticks and stones as materials for building a fort </w:t>
      </w:r>
      <w:r>
        <w:rPr>
          <w:rFonts w:ascii="Times New Roman" w:hAnsi="Times New Roman"/>
          <w:sz w:val="24"/>
          <w:szCs w:val="24"/>
          <w:rtl w:val="0"/>
          <w:lang w:val="da-DK"/>
          <w14:textOutline w14:w="12700" w14:cap="flat">
            <w14:noFill/>
            <w14:miter w14:lim="400000"/>
          </w14:textOutline>
        </w:rPr>
        <w:t>(Fiskum and Jacobsen, 2013; Fj</w:t>
      </w:r>
      <w:r>
        <w:rPr>
          <w:rFonts w:ascii="Times New Roman" w:hAnsi="Times New Roman" w:hint="default"/>
          <w:sz w:val="24"/>
          <w:szCs w:val="24"/>
          <w:rtl w:val="0"/>
          <w:lang w:val="da-DK"/>
          <w14:textOutline w14:w="12700" w14:cap="flat">
            <w14:noFill/>
            <w14:miter w14:lim="400000"/>
          </w14:textOutline>
        </w:rPr>
        <w:t>ø</w:t>
      </w:r>
      <w:r>
        <w:rPr>
          <w:rFonts w:ascii="Times New Roman" w:hAnsi="Times New Roman"/>
          <w:sz w:val="24"/>
          <w:szCs w:val="24"/>
          <w:rtl w:val="0"/>
          <w:lang w:val="en-US"/>
          <w14:textOutline w14:w="12700" w14:cap="flat">
            <w14:noFill/>
            <w14:miter w14:lim="400000"/>
          </w14:textOutline>
        </w:rPr>
        <w:t>rtoft, 2004). As a result of these perceptions, they provide a great opportunity for the encouragement of building on children</w:t>
      </w:r>
      <w:r>
        <w:rPr>
          <w:rFonts w:ascii="Times New Roman" w:hAnsi="Times New Roman" w:hint="default"/>
          <w:sz w:val="24"/>
          <w:szCs w:val="24"/>
          <w:rtl w:val="0"/>
          <w:lang w:val="en-US"/>
          <w14:textOutline w14:w="12700" w14:cap="flat">
            <w14:noFill/>
            <w14:miter w14:lim="400000"/>
          </w14:textOutline>
        </w:rPr>
        <w:t>’</w:t>
      </w:r>
      <w:r>
        <w:rPr>
          <w:rFonts w:ascii="Times New Roman" w:hAnsi="Times New Roman"/>
          <w:sz w:val="24"/>
          <w:szCs w:val="24"/>
          <w:rtl w:val="0"/>
          <w:lang w:val="en-US"/>
          <w14:textOutline w14:w="12700" w14:cap="flat">
            <w14:noFill/>
            <w14:miter w14:lim="400000"/>
          </w14:textOutline>
        </w:rPr>
        <w:t>s Motor skills through these activities allowing for children to show their confidence through sharing ideas (</w:t>
      </w:r>
      <w:r>
        <w:rPr>
          <w:rFonts w:ascii="Times New Roman" w:hAnsi="Times New Roman"/>
          <w:sz w:val="24"/>
          <w:szCs w:val="24"/>
          <w:rtl w:val="0"/>
          <w:lang w:val="da-DK"/>
          <w14:textOutline w14:w="12700" w14:cap="flat">
            <w14:noFill/>
            <w14:miter w14:lim="400000"/>
          </w14:textOutline>
        </w:rPr>
        <w:t>Pinarks</w:t>
      </w:r>
      <w:r>
        <w:rPr>
          <w:rFonts w:ascii="Times New Roman" w:hAnsi="Times New Roman"/>
          <w:sz w:val="24"/>
          <w:szCs w:val="24"/>
          <w:rtl w:val="0"/>
          <w:lang w:val="en-US"/>
          <w14:textOutline w14:w="12700" w14:cap="flat">
            <w14:noFill/>
            <w14:miter w14:lim="400000"/>
          </w14:textOutline>
        </w:rPr>
        <w:t>i, 2016).</w:t>
      </w:r>
    </w:p>
    <w:p>
      <w:pPr>
        <w:pStyle w:val="heading 4"/>
        <w:keepNext w:val="0"/>
        <w:spacing w:before="0" w:after="0" w:line="360" w:lineRule="auto"/>
        <w:jc w:val="both"/>
        <w:outlineLvl w:val="9"/>
        <w:rPr>
          <w:sz w:val="24"/>
          <w:szCs w:val="24"/>
          <w:lang w:val="en-US"/>
          <w14:textOutline w14:w="12700" w14:cap="flat">
            <w14:noFill/>
            <w14:miter w14:lim="400000"/>
          </w14:textOutline>
        </w:rPr>
      </w:pPr>
    </w:p>
    <w:p>
      <w:pPr>
        <w:pStyle w:val="heading 4"/>
        <w:keepNext w:val="0"/>
        <w:spacing w:before="0" w:after="0" w:line="360" w:lineRule="auto"/>
        <w:jc w:val="both"/>
        <w:outlineLvl w:val="9"/>
        <w:rPr>
          <w:rFonts w:ascii="Times New Roman" w:cs="Times New Roman" w:hAnsi="Times New Roman" w:eastAsia="Times New Roman"/>
          <w:sz w:val="24"/>
          <w:szCs w:val="24"/>
          <w:lang w:val="en-US"/>
          <w14:textOutline w14:w="12700" w14:cap="flat">
            <w14:noFill/>
            <w14:miter w14:lim="400000"/>
          </w14:textOutline>
        </w:rPr>
      </w:pPr>
      <w:r>
        <w:rPr>
          <w:rFonts w:ascii="Times New Roman" w:hAnsi="Times New Roman"/>
          <w:sz w:val="24"/>
          <w:szCs w:val="24"/>
          <w:rtl w:val="0"/>
          <w:lang w:val="en-US"/>
          <w14:textOutline w14:w="12700" w14:cap="flat">
            <w14:noFill/>
            <w14:miter w14:lim="400000"/>
          </w14:textOutline>
        </w:rPr>
        <w:t xml:space="preserve">In regards to the last topic of discussion, it provided ideal opportunities to introduce a discussion focussing on the restrictions in place that have prevented children from having these opportunities within their education to explore outdoor education as an important aspect of physical literacy. For instance, allowing children the opportunity to begin exploring environments or outdoor areas has been questioned by parents due to the risk factor that could lead to harmful scenarios, these are known as </w:t>
      </w:r>
      <w:r>
        <w:rPr>
          <w:rFonts w:ascii="Times New Roman" w:hAnsi="Times New Roman" w:hint="default"/>
          <w:sz w:val="24"/>
          <w:szCs w:val="24"/>
          <w:rtl w:val="0"/>
          <w:lang w:val="en-US"/>
          <w14:textOutline w14:w="12700" w14:cap="flat">
            <w14:noFill/>
            <w14:miter w14:lim="400000"/>
          </w14:textOutline>
        </w:rPr>
        <w:t>‘</w:t>
      </w:r>
      <w:r>
        <w:rPr>
          <w:rFonts w:ascii="Times New Roman" w:hAnsi="Times New Roman"/>
          <w:sz w:val="24"/>
          <w:szCs w:val="24"/>
          <w:rtl w:val="0"/>
          <w:lang w:val="en-US"/>
          <w14:textOutline w14:w="12700" w14:cap="flat">
            <w14:noFill/>
            <w14:miter w14:lim="400000"/>
          </w14:textOutline>
        </w:rPr>
        <w:t>cotton wool kids</w:t>
      </w:r>
      <w:r>
        <w:rPr>
          <w:rFonts w:ascii="Times New Roman" w:hAnsi="Times New Roman" w:hint="default"/>
          <w:sz w:val="24"/>
          <w:szCs w:val="24"/>
          <w:rtl w:val="0"/>
          <w:lang w:val="en-US"/>
          <w14:textOutline w14:w="12700" w14:cap="flat">
            <w14:noFill/>
            <w14:miter w14:lim="400000"/>
          </w14:textOutline>
        </w:rPr>
        <w:t xml:space="preserve">’ </w:t>
      </w:r>
      <w:r>
        <w:rPr>
          <w:rFonts w:ascii="Times New Roman" w:hAnsi="Times New Roman"/>
          <w:sz w:val="24"/>
          <w:szCs w:val="24"/>
          <w:rtl w:val="0"/>
          <w:lang w:val="en-US"/>
          <w14:textOutline w14:w="12700" w14:cap="flat">
            <w14:noFill/>
            <w14:miter w14:lim="400000"/>
          </w14:textOutline>
        </w:rPr>
        <w:t xml:space="preserve">(Cordovil </w:t>
      </w:r>
      <w:r>
        <w:rPr>
          <w:rFonts w:ascii="Times New Roman" w:hAnsi="Times New Roman"/>
          <w:i w:val="1"/>
          <w:iCs w:val="1"/>
          <w:sz w:val="24"/>
          <w:szCs w:val="24"/>
          <w:rtl w:val="0"/>
          <w:lang w:val="en-US"/>
          <w14:textOutline w14:w="12700" w14:cap="flat">
            <w14:noFill/>
            <w14:miter w14:lim="400000"/>
          </w14:textOutline>
        </w:rPr>
        <w:t>et al.</w:t>
      </w:r>
      <w:r>
        <w:rPr>
          <w:rFonts w:ascii="Times New Roman" w:hAnsi="Times New Roman"/>
          <w:sz w:val="24"/>
          <w:szCs w:val="24"/>
          <w:rtl w:val="0"/>
          <w:lang w:val="en-US"/>
          <w14:textOutline w14:w="12700" w14:cap="flat">
            <w14:noFill/>
            <w14:miter w14:lim="400000"/>
          </w14:textOutline>
        </w:rPr>
        <w:t xml:space="preserve"> 2015; Jenkins, 2006).  As Jenkins (2006) discussed that children are beginning to be restricted from the opportunity to learn new skills from outdoor activities and preventing them from continuing their ongoing journey to learn physical literacy through affordances within the environment. The way that children perceive affordances throughout environments is creative due to children being so imaginative it creates a wide range of options to what things provide or furnish within that area (Gibson, 2014). It is not fair to deny children the experiences of outdoor education due to the fear of the risk factor within the subject, by preventing children from taking part parents and educators are restricting valuable skills from being developed (Pot, Whitehead and Durden-Myers, 2018). Schools have begun to try and adapt to parent's desirable needs of making outdoor education a safer place, in order to come to a common agreement allowing children to be entitled to an engaging education (Hyndman and Telford, 2015).</w:t>
      </w:r>
    </w:p>
    <w:p>
      <w:pPr>
        <w:pStyle w:val="heading 4"/>
        <w:keepNext w:val="0"/>
        <w:spacing w:before="0" w:after="0" w:line="360" w:lineRule="auto"/>
        <w:jc w:val="both"/>
        <w:outlineLvl w:val="9"/>
        <w:rPr>
          <w:sz w:val="24"/>
          <w:szCs w:val="24"/>
          <w:lang w:val="en-US"/>
          <w14:textOutline w14:w="12700" w14:cap="flat">
            <w14:noFill/>
            <w14:miter w14:lim="400000"/>
          </w14:textOutline>
        </w:rPr>
      </w:pPr>
    </w:p>
    <w:p>
      <w:pPr>
        <w:pStyle w:val="heading 4"/>
        <w:keepNext w:val="0"/>
        <w:spacing w:before="0" w:after="0" w:line="360" w:lineRule="auto"/>
        <w:jc w:val="both"/>
        <w:outlineLvl w:val="9"/>
        <w:rPr>
          <w:rFonts w:ascii="Times New Roman" w:cs="Times New Roman" w:hAnsi="Times New Roman" w:eastAsia="Times New Roman"/>
          <w:sz w:val="24"/>
          <w:szCs w:val="24"/>
          <w14:textOutline w14:w="12700" w14:cap="flat">
            <w14:noFill/>
            <w14:miter w14:lim="400000"/>
          </w14:textOutline>
        </w:rPr>
      </w:pPr>
      <w:r>
        <w:rPr>
          <w:rFonts w:ascii="Times New Roman" w:hAnsi="Times New Roman"/>
          <w:sz w:val="24"/>
          <w:szCs w:val="24"/>
          <w:rtl w:val="0"/>
          <w:lang w:val="en-US"/>
          <w14:textOutline w14:w="12700" w14:cap="flat">
            <w14:noFill/>
            <w14:miter w14:lim="400000"/>
          </w14:textOutline>
        </w:rPr>
        <w:t>There have been claims that educators should begin to focus on adopting physical literacy into the curriculum for children to become physically literate and understand the meaning of physical literacy (Durden-Myers, Green and Whitehead, 2018). By having physical literacy in the curriculum it will become a key part of children</w:t>
      </w:r>
      <w:r>
        <w:rPr>
          <w:rFonts w:ascii="Times New Roman" w:hAnsi="Times New Roman" w:hint="default"/>
          <w:sz w:val="24"/>
          <w:szCs w:val="24"/>
          <w:rtl w:val="0"/>
          <w:lang w:val="en-US"/>
          <w14:textOutline w14:w="12700" w14:cap="flat">
            <w14:noFill/>
            <w14:miter w14:lim="400000"/>
          </w14:textOutline>
        </w:rPr>
        <w:t>’</w:t>
      </w:r>
      <w:r>
        <w:rPr>
          <w:rFonts w:ascii="Times New Roman" w:hAnsi="Times New Roman"/>
          <w:sz w:val="24"/>
          <w:szCs w:val="24"/>
          <w:rtl w:val="0"/>
          <w:lang w:val="en-US"/>
          <w14:textOutline w14:w="12700" w14:cap="flat">
            <w14:noFill/>
            <w14:miter w14:lim="400000"/>
          </w14:textOutline>
        </w:rPr>
        <w:t>s education but it will require educators to begin looking into the type of teaching approaches that will be of benefit to the students (Durden-Myers, Green and Whitehead, 2018). It is their job as facilitators to provide students with opportunities during lessons, whilst providing guidance and assistance for the students to be able to work towards achieving a task. Focussing on outdoor education and adventurous activities in particular, in order for students to understand physical literacy requires the facilitator to blend different teaching styles into their sessions (</w:t>
      </w:r>
      <w:r>
        <w:rPr>
          <w:rFonts w:ascii="Times New Roman" w:hAnsi="Times New Roman"/>
          <w:sz w:val="24"/>
          <w:szCs w:val="24"/>
          <w:rtl w:val="0"/>
          <w:lang w:val="nl-NL"/>
          <w14:textOutline w14:w="12700" w14:cap="flat">
            <w14:noFill/>
            <w14:miter w14:lim="400000"/>
          </w14:textOutline>
        </w:rPr>
        <w:t xml:space="preserve">Reeve, </w:t>
      </w:r>
      <w:r>
        <w:rPr>
          <w:rFonts w:ascii="Times New Roman" w:hAnsi="Times New Roman"/>
          <w:sz w:val="24"/>
          <w:szCs w:val="24"/>
          <w:rtl w:val="0"/>
          <w:lang w:val="en-US"/>
          <w14:textOutline w14:w="12700" w14:cap="flat">
            <w14:noFill/>
            <w14:miter w14:lim="400000"/>
          </w14:textOutline>
        </w:rPr>
        <w:t>2006). By facilitators blending teaching styles into their approaches, it allows for facilitators to begin formulating ideas on how they can make the sessions relevant to certain aspects of physical literacy, such as becoming physically competent. For instance, a facilitator that is teaching a session on outdoor education can use teaching styles such as guided discovery to ask the students questions about the affordances around them to encourage them into using foundational moments (Allan, Turnnidge and C</w:t>
      </w:r>
      <w:r>
        <w:rPr>
          <w:rFonts w:ascii="Times New Roman" w:hAnsi="Times New Roman" w:hint="default"/>
          <w:sz w:val="24"/>
          <w:szCs w:val="24"/>
          <w:rtl w:val="0"/>
          <w:lang w:val="en-US"/>
          <w14:textOutline w14:w="12700" w14:cap="flat">
            <w14:noFill/>
            <w14:miter w14:lim="400000"/>
          </w14:textOutline>
        </w:rPr>
        <w:t>ô</w:t>
      </w:r>
      <w:r>
        <w:rPr>
          <w:rFonts w:ascii="Times New Roman" w:hAnsi="Times New Roman"/>
          <w:sz w:val="24"/>
          <w:szCs w:val="24"/>
          <w:rtl w:val="0"/>
          <w:lang w:val="en-US"/>
          <w14:textOutline w14:w="12700" w14:cap="flat">
            <w14:noFill/>
            <w14:miter w14:lim="400000"/>
          </w14:textOutline>
        </w:rPr>
        <w:t>t</w:t>
      </w:r>
      <w:r>
        <w:rPr>
          <w:rFonts w:ascii="Times New Roman" w:hAnsi="Times New Roman" w:hint="default"/>
          <w:sz w:val="24"/>
          <w:szCs w:val="24"/>
          <w:rtl w:val="0"/>
          <w:lang w:val="fr-FR"/>
          <w14:textOutline w14:w="12700" w14:cap="flat">
            <w14:noFill/>
            <w14:miter w14:lim="400000"/>
          </w14:textOutline>
        </w:rPr>
        <w:t>é</w:t>
      </w:r>
      <w:r>
        <w:rPr>
          <w:rFonts w:ascii="Times New Roman" w:hAnsi="Times New Roman"/>
          <w:sz w:val="24"/>
          <w:szCs w:val="24"/>
          <w:rtl w:val="0"/>
          <w:lang w:val="en-US"/>
          <w14:textOutline w14:w="12700" w14:cap="flat">
            <w14:noFill/>
            <w14:miter w14:lim="400000"/>
          </w14:textOutline>
        </w:rPr>
        <w:t xml:space="preserve">,  2017; Reynolds and Chiu, 2013). </w:t>
      </w:r>
    </w:p>
    <w:p>
      <w:pPr>
        <w:pStyle w:val="heading 4"/>
        <w:keepNext w:val="0"/>
        <w:spacing w:before="0" w:after="0" w:line="360" w:lineRule="auto"/>
        <w:jc w:val="both"/>
        <w:outlineLvl w:val="9"/>
        <w:rPr>
          <w:sz w:val="24"/>
          <w:szCs w:val="24"/>
          <w:lang w:val="en-US"/>
          <w14:textOutline w14:w="12700" w14:cap="flat">
            <w14:noFill/>
            <w14:miter w14:lim="400000"/>
          </w14:textOutline>
        </w:rPr>
      </w:pPr>
    </w:p>
    <w:p>
      <w:pPr>
        <w:pStyle w:val="heading 4"/>
        <w:keepNext w:val="0"/>
        <w:spacing w:before="0" w:after="0" w:line="360" w:lineRule="auto"/>
        <w:jc w:val="both"/>
        <w:outlineLvl w:val="9"/>
        <w:rPr>
          <w:rFonts w:ascii="Times New Roman" w:cs="Times New Roman" w:hAnsi="Times New Roman" w:eastAsia="Times New Roman"/>
          <w:sz w:val="24"/>
          <w:szCs w:val="24"/>
          <w14:textOutline w14:w="12700" w14:cap="flat">
            <w14:noFill/>
            <w14:miter w14:lim="400000"/>
          </w14:textOutline>
        </w:rPr>
      </w:pPr>
      <w:r>
        <w:rPr>
          <w:rFonts w:ascii="Times New Roman" w:hAnsi="Times New Roman"/>
          <w:sz w:val="24"/>
          <w:szCs w:val="24"/>
          <w:rtl w:val="0"/>
          <w:lang w:val="en-US"/>
          <w14:textOutline w14:w="12700" w14:cap="flat">
            <w14:noFill/>
            <w14:miter w14:lim="400000"/>
          </w14:textOutline>
        </w:rPr>
        <w:t>To conclude this essay and the topic being discussed regarding the contribution that adventurous activities provide towards physical literacy, there is clear evidence to show that physical literacy can be developed through outdoor education (</w:t>
      </w:r>
      <w:r>
        <w:rPr>
          <w:rFonts w:ascii="Times New Roman" w:hAnsi="Times New Roman"/>
          <w:sz w:val="24"/>
          <w:szCs w:val="24"/>
          <w:rtl w:val="0"/>
          <w:lang w:val="nl-NL"/>
          <w14:textOutline w14:w="12700" w14:cap="flat">
            <w14:noFill/>
            <w14:miter w14:lim="400000"/>
          </w14:textOutline>
        </w:rPr>
        <w:t>Roetert and MacDonald, 2015)</w:t>
      </w:r>
      <w:r>
        <w:rPr>
          <w:rFonts w:ascii="Times New Roman" w:hAnsi="Times New Roman"/>
          <w:sz w:val="24"/>
          <w:szCs w:val="24"/>
          <w:rtl w:val="0"/>
          <w:lang w:val="en-US"/>
          <w14:textOutline w14:w="12700" w14:cap="flat">
            <w14:noFill/>
            <w14:miter w14:lim="400000"/>
          </w14:textOutline>
        </w:rPr>
        <w:t>. As Roetert and MacDonald (2015) discussed, the popularity that physical literacy is gaining over the last few years is evidence of how it is a contributing factor to a child</w:t>
      </w:r>
      <w:r>
        <w:rPr>
          <w:rFonts w:ascii="Times New Roman" w:hAnsi="Times New Roman" w:hint="default"/>
          <w:sz w:val="24"/>
          <w:szCs w:val="24"/>
          <w:rtl w:val="0"/>
          <w:lang w:val="en-US"/>
          <w14:textOutline w14:w="12700" w14:cap="flat">
            <w14:noFill/>
            <w14:miter w14:lim="400000"/>
          </w14:textOutline>
        </w:rPr>
        <w:t>’</w:t>
      </w:r>
      <w:r>
        <w:rPr>
          <w:rFonts w:ascii="Times New Roman" w:hAnsi="Times New Roman"/>
          <w:sz w:val="24"/>
          <w:szCs w:val="24"/>
          <w:rtl w:val="0"/>
          <w:lang w:val="en-US"/>
          <w14:textOutline w14:w="12700" w14:cap="flat">
            <w14:noFill/>
            <w14:miter w14:lim="400000"/>
          </w14:textOutline>
        </w:rPr>
        <w:t xml:space="preserve">s journey of becoming physically literate. This being said many factors have been discussed and considered that make outdoor education an unlikely candidate to providing these essential skills. A small portion of parents being against their children taking part in these activities that are deemed dangerous are one of the factors that prevent outdoor education to be fully apart of the curriculum (Cordovil </w:t>
      </w:r>
      <w:r>
        <w:rPr>
          <w:rFonts w:ascii="Times New Roman" w:hAnsi="Times New Roman"/>
          <w:i w:val="1"/>
          <w:iCs w:val="1"/>
          <w:sz w:val="24"/>
          <w:szCs w:val="24"/>
          <w:rtl w:val="0"/>
          <w:lang w:val="en-US"/>
          <w14:textOutline w14:w="12700" w14:cap="flat">
            <w14:noFill/>
            <w14:miter w14:lim="400000"/>
          </w14:textOutline>
        </w:rPr>
        <w:t>et al.</w:t>
      </w:r>
      <w:r>
        <w:rPr>
          <w:rFonts w:ascii="Times New Roman" w:hAnsi="Times New Roman"/>
          <w:sz w:val="24"/>
          <w:szCs w:val="24"/>
          <w:rtl w:val="0"/>
          <w:lang w:val="en-US"/>
          <w14:textOutline w14:w="12700" w14:cap="flat">
            <w14:noFill/>
            <w14:miter w14:lim="400000"/>
          </w14:textOutline>
        </w:rPr>
        <w:t xml:space="preserve"> 2015).  The use of outdoor education to develop physical literacy within children is important and rightfully deserves to be recognized as a contributor to this key development process. Considering the work that Whitehead (2010) discusses, regarding the importance of children learning to be physically literate is important for educators to consider when planning sessions in order for the correct targets to be met. By educators enforcing these positive teaching styles and roles of facilitators, it will help the children to understand the meaning and the importance of physical literacy within lessons and their lives (</w:t>
      </w:r>
      <w:r>
        <w:rPr>
          <w:rFonts w:ascii="Times New Roman" w:hAnsi="Times New Roman"/>
          <w:sz w:val="24"/>
          <w:szCs w:val="24"/>
          <w:rtl w:val="0"/>
          <w:lang w:val="it-IT"/>
          <w14:textOutline w14:w="12700" w14:cap="flat">
            <w14:noFill/>
            <w14:miter w14:lim="400000"/>
          </w14:textOutline>
        </w:rPr>
        <w:t>Jefferies</w:t>
      </w:r>
      <w:r>
        <w:rPr>
          <w:rFonts w:ascii="Times New Roman" w:hAnsi="Times New Roman"/>
          <w:sz w:val="24"/>
          <w:szCs w:val="24"/>
          <w:rtl w:val="0"/>
          <w:lang w:val="en-US"/>
          <w14:textOutline w14:w="12700" w14:cap="flat">
            <w14:noFill/>
            <w14:miter w14:lim="400000"/>
          </w14:textOutline>
        </w:rPr>
        <w:t xml:space="preserve"> </w:t>
      </w:r>
      <w:r>
        <w:rPr>
          <w:rFonts w:ascii="Times New Roman" w:hAnsi="Times New Roman"/>
          <w:i w:val="1"/>
          <w:iCs w:val="1"/>
          <w:sz w:val="24"/>
          <w:szCs w:val="24"/>
          <w:rtl w:val="0"/>
          <w:lang w:val="en-US"/>
          <w14:textOutline w14:w="12700" w14:cap="flat">
            <w14:noFill/>
            <w14:miter w14:lim="400000"/>
          </w14:textOutline>
        </w:rPr>
        <w:t xml:space="preserve">et al. </w:t>
      </w:r>
      <w:r>
        <w:rPr>
          <w:rFonts w:ascii="Times New Roman" w:hAnsi="Times New Roman"/>
          <w:sz w:val="24"/>
          <w:szCs w:val="24"/>
          <w:rtl w:val="0"/>
          <w:lang w:val="en-US"/>
          <w14:textOutline w14:w="12700" w14:cap="flat">
            <w14:noFill/>
            <w14:miter w14:lim="400000"/>
          </w14:textOutline>
        </w:rPr>
        <w:t xml:space="preserve">2019). Jefferies </w:t>
      </w:r>
      <w:r>
        <w:rPr>
          <w:rFonts w:ascii="Times New Roman" w:hAnsi="Times New Roman"/>
          <w:i w:val="1"/>
          <w:iCs w:val="1"/>
          <w:sz w:val="24"/>
          <w:szCs w:val="24"/>
          <w:rtl w:val="0"/>
          <w:lang w:val="en-US"/>
          <w14:textOutline w14:w="12700" w14:cap="flat">
            <w14:noFill/>
            <w14:miter w14:lim="400000"/>
          </w14:textOutline>
        </w:rPr>
        <w:t>et al.</w:t>
      </w:r>
      <w:r>
        <w:rPr>
          <w:rFonts w:ascii="Times New Roman" w:hAnsi="Times New Roman"/>
          <w:sz w:val="24"/>
          <w:szCs w:val="24"/>
          <w:rtl w:val="0"/>
          <w:lang w:val="en-US"/>
          <w14:textOutline w14:w="12700" w14:cap="flat">
            <w14:noFill/>
            <w14:miter w14:lim="400000"/>
          </w14:textOutline>
        </w:rPr>
        <w:t xml:space="preserve"> (2019) discussed the importance of physical literacy as being linked to children's resilience within education which again pushes towards facilitators catering towards different methods so that children remain resilient whilst going through their physical literacy journey. Overall the use of outdoor education within the curriculum is an important aspect to the development of the student's physical literacy while they are in education in order for students to be able to be physically literate throughout their whole lives (Whitehead, 2010). The reasoning for this being an excellent aspect for learning is because of the different skills and foundational movements that can be taught in a variety of ways. Allowing for students to become more confident and physically competent in their own time through the support of the facilitators in control of the lessons (Whitehead, 2010).</w:t>
      </w:r>
    </w:p>
    <w:p>
      <w:pPr>
        <w:pStyle w:val="heading 4"/>
        <w:keepNext w:val="0"/>
        <w:spacing w:before="0" w:after="0"/>
        <w:jc w:val="both"/>
        <w:outlineLvl w:val="9"/>
        <w:rPr>
          <w:sz w:val="24"/>
          <w:szCs w:val="24"/>
          <w:lang w:val="en-US"/>
          <w14:textOutline w14:w="12700" w14:cap="flat">
            <w14:noFill/>
            <w14:miter w14:lim="400000"/>
          </w14:textOutline>
        </w:rPr>
      </w:pPr>
    </w:p>
    <w:p>
      <w:pPr>
        <w:pStyle w:val="heading 4"/>
        <w:keepNext w:val="0"/>
        <w:spacing w:before="0" w:after="0"/>
        <w:jc w:val="both"/>
        <w:outlineLvl w:val="9"/>
        <w:rPr>
          <w:sz w:val="24"/>
          <w:szCs w:val="24"/>
          <w:lang w:val="en-US"/>
          <w14:textOutline w14:w="12700" w14:cap="flat">
            <w14:noFill/>
            <w14:miter w14:lim="400000"/>
          </w14:textOutline>
        </w:rPr>
      </w:pPr>
    </w:p>
    <w:p>
      <w:pPr>
        <w:pStyle w:val="heading 4"/>
        <w:keepNext w:val="0"/>
        <w:spacing w:before="0" w:after="0"/>
        <w:jc w:val="left"/>
        <w:outlineLvl w:val="9"/>
        <w:rPr>
          <w:rFonts w:ascii="Times New Roman" w:cs="Times New Roman" w:hAnsi="Times New Roman" w:eastAsia="Times New Roman"/>
          <w:sz w:val="24"/>
          <w:szCs w:val="24"/>
          <w:lang w:val="en-US"/>
          <w14:textOutline w14:w="12700" w14:cap="flat">
            <w14:noFill/>
            <w14:miter w14:lim="400000"/>
          </w14:textOutline>
        </w:rPr>
      </w:pPr>
      <w:r>
        <w:rPr>
          <w:rFonts w:ascii="Times New Roman" w:hAnsi="Times New Roman"/>
          <w:sz w:val="24"/>
          <w:szCs w:val="24"/>
          <w:rtl w:val="0"/>
          <w:lang w:val="en-US"/>
          <w14:textOutline w14:w="12700" w14:cap="flat">
            <w14:noFill/>
            <w14:miter w14:lim="400000"/>
          </w14:textOutline>
        </w:rPr>
        <w:t>Reference list:</w:t>
      </w:r>
    </w:p>
    <w:p>
      <w:pPr>
        <w:pStyle w:val="heading 4"/>
        <w:keepNext w:val="0"/>
        <w:spacing w:before="0" w:after="0"/>
        <w:jc w:val="left"/>
        <w:outlineLvl w:val="9"/>
        <w:rPr>
          <w:sz w:val="24"/>
          <w:szCs w:val="24"/>
          <w:lang w:val="en-US"/>
          <w14:textOutline w14:w="12700" w14:cap="flat">
            <w14:noFill/>
            <w14:miter w14:lim="400000"/>
          </w14:textOutline>
        </w:rPr>
      </w:pPr>
    </w:p>
    <w:p>
      <w:pPr>
        <w:pStyle w:val="Default"/>
        <w:bidi w:val="0"/>
        <w:spacing w:before="0"/>
        <w:ind w:left="0" w:right="0" w:firstLine="0"/>
        <w:jc w:val="left"/>
        <w:rPr>
          <w:rFonts w:ascii="Times New Roman" w:cs="Times New Roman" w:hAnsi="Times New Roman" w:eastAsia="Times New Roman"/>
          <w:outline w:val="0"/>
          <w:color w:val="222222"/>
          <w:u w:color="222222"/>
          <w:shd w:val="clear" w:color="auto" w:fill="ffffff"/>
          <w:rtl w:val="0"/>
          <w14:textOutline w14:w="12700" w14:cap="flat">
            <w14:noFill/>
            <w14:miter w14:lim="400000"/>
          </w14:textOutline>
          <w14:textFill>
            <w14:solidFill>
              <w14:srgbClr w14:val="222222"/>
            </w14:solidFill>
          </w14:textFill>
        </w:rPr>
      </w:pP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Allan, V., Turnnidge, J. and C</w:t>
      </w:r>
      <w:r>
        <w:rPr>
          <w:rFonts w:ascii="Times New Roman" w:hAnsi="Times New Roman" w:hint="default"/>
          <w:outline w:val="0"/>
          <w:color w:val="222222"/>
          <w:u w:color="222222"/>
          <w:shd w:val="clear" w:color="auto" w:fill="ffffff"/>
          <w:rtl w:val="0"/>
          <w:lang w:val="en-US"/>
          <w14:textOutline w14:w="12700" w14:cap="flat">
            <w14:noFill/>
            <w14:miter w14:lim="400000"/>
          </w14:textOutline>
          <w14:textFill>
            <w14:solidFill>
              <w14:srgbClr w14:val="222222"/>
            </w14:solidFill>
          </w14:textFill>
        </w:rPr>
        <w:t>ô</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t</w:t>
      </w:r>
      <w:r>
        <w:rPr>
          <w:rFonts w:ascii="Times New Roman" w:hAnsi="Times New Roman" w:hint="default"/>
          <w:outline w:val="0"/>
          <w:color w:val="222222"/>
          <w:u w:color="222222"/>
          <w:shd w:val="clear" w:color="auto" w:fill="ffffff"/>
          <w:rtl w:val="0"/>
          <w:lang w:val="fr-FR"/>
          <w14:textOutline w14:w="12700" w14:cap="flat">
            <w14:noFill/>
            <w14:miter w14:lim="400000"/>
          </w14:textOutline>
          <w14:textFill>
            <w14:solidFill>
              <w14:srgbClr w14:val="222222"/>
            </w14:solidFill>
          </w14:textFill>
        </w:rPr>
        <w:t>é</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 J. (2017) Evaluating approaches to physical literacy through the lens of positive youth development. </w:t>
      </w:r>
      <w:r>
        <w:rPr>
          <w:rFonts w:ascii="Times New Roman" w:hAnsi="Times New Roman"/>
          <w:i w:val="1"/>
          <w:iCs w:val="1"/>
          <w:outline w:val="0"/>
          <w:color w:val="222222"/>
          <w:u w:color="222222"/>
          <w:shd w:val="clear" w:color="auto" w:fill="ffffff"/>
          <w:rtl w:val="0"/>
          <w:lang w:val="it-IT"/>
          <w14:textOutline w14:w="12700" w14:cap="flat">
            <w14:noFill/>
            <w14:miter w14:lim="400000"/>
          </w14:textOutline>
          <w14:textFill>
            <w14:solidFill>
              <w14:srgbClr w14:val="222222"/>
            </w14:solidFill>
          </w14:textFill>
        </w:rPr>
        <w:t>Quest</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69</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(4), pp.515-530.</w:t>
      </w:r>
    </w:p>
    <w:p>
      <w:pPr>
        <w:pStyle w:val="heading 4"/>
        <w:keepNext w:val="0"/>
        <w:spacing w:before="0" w:after="0"/>
        <w:jc w:val="left"/>
        <w:outlineLvl w:val="9"/>
        <w:rPr>
          <w:sz w:val="24"/>
          <w:szCs w:val="24"/>
          <w:lang w:val="en-US"/>
          <w14:textOutline w14:w="12700" w14:cap="flat">
            <w14:noFill/>
            <w14:miter w14:lim="400000"/>
          </w14:textOutline>
        </w:rPr>
      </w:pPr>
    </w:p>
    <w:p>
      <w:pPr>
        <w:pStyle w:val="Default"/>
        <w:bidi w:val="0"/>
        <w:spacing w:before="0"/>
        <w:ind w:left="0" w:right="0" w:firstLine="0"/>
        <w:jc w:val="left"/>
        <w:rPr>
          <w:rFonts w:ascii="Times New Roman" w:cs="Times New Roman" w:hAnsi="Times New Roman" w:eastAsia="Times New Roman"/>
          <w:outline w:val="0"/>
          <w:color w:val="222222"/>
          <w:u w:color="222222"/>
          <w:shd w:val="clear" w:color="auto" w:fill="ffffff"/>
          <w:rtl w:val="0"/>
          <w14:textOutline w14:w="12700" w14:cap="flat">
            <w14:noFill/>
            <w14:miter w14:lim="400000"/>
          </w14:textOutline>
          <w14:textFill>
            <w14:solidFill>
              <w14:srgbClr w14:val="222222"/>
            </w14:solidFill>
          </w14:textFill>
        </w:rPr>
      </w:pPr>
      <w:r>
        <w:rPr>
          <w:rFonts w:ascii="Times New Roman" w:hAnsi="Times New Roman"/>
          <w:outline w:val="0"/>
          <w:color w:val="222222"/>
          <w:u w:color="222222"/>
          <w:shd w:val="clear" w:color="auto" w:fill="ffffff"/>
          <w:rtl w:val="0"/>
          <w:lang w:val="es-ES_tradnl"/>
          <w14:textOutline w14:w="12700" w14:cap="flat">
            <w14:noFill/>
            <w14:miter w14:lim="400000"/>
          </w14:textOutline>
          <w14:textFill>
            <w14:solidFill>
              <w14:srgbClr w14:val="222222"/>
            </w14:solidFill>
          </w14:textFill>
        </w:rPr>
        <w:t xml:space="preserve">Chemero, A. </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(2003) An outline of a theory of affordances.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Ecological Psychology</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15</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(2), pp.181-195.</w:t>
      </w:r>
    </w:p>
    <w:p>
      <w:pPr>
        <w:pStyle w:val="Default"/>
        <w:bidi w:val="0"/>
        <w:spacing w:before="0"/>
        <w:ind w:left="0" w:right="0" w:firstLine="0"/>
        <w:jc w:val="left"/>
        <w:rPr>
          <w:rFonts w:ascii="Times New Roman" w:cs="Times New Roman" w:hAnsi="Times New Roman" w:eastAsia="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pPr>
    </w:p>
    <w:p>
      <w:pPr>
        <w:pStyle w:val="Default"/>
        <w:bidi w:val="0"/>
        <w:spacing w:before="0"/>
        <w:ind w:left="0" w:right="0" w:firstLine="0"/>
        <w:jc w:val="left"/>
        <w:rPr>
          <w:rFonts w:ascii="Times New Roman" w:cs="Times New Roman" w:hAnsi="Times New Roman" w:eastAsia="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pP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Cordovil, R.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et al.</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 (2015)  An ecological stance on risk and safe behaviors in children: The role of affordances and emergent behaviors.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New ideas in psychology</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36</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pp.50-59.</w:t>
      </w:r>
    </w:p>
    <w:p>
      <w:pPr>
        <w:pStyle w:val="Default"/>
        <w:bidi w:val="0"/>
        <w:spacing w:before="0"/>
        <w:ind w:left="0" w:right="0" w:firstLine="0"/>
        <w:jc w:val="left"/>
        <w:rPr>
          <w:rFonts w:ascii="Times New Roman" w:cs="Times New Roman" w:hAnsi="Times New Roman" w:eastAsia="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pPr>
    </w:p>
    <w:p>
      <w:pPr>
        <w:pStyle w:val="Default"/>
        <w:bidi w:val="0"/>
        <w:spacing w:before="0"/>
        <w:ind w:left="0" w:right="0" w:firstLine="0"/>
        <w:jc w:val="left"/>
        <w:rPr>
          <w:rFonts w:ascii="Times New Roman" w:cs="Times New Roman" w:hAnsi="Times New Roman" w:eastAsia="Times New Roman"/>
          <w:outline w:val="0"/>
          <w:color w:val="222222"/>
          <w:u w:color="222222"/>
          <w:shd w:val="clear" w:color="auto" w:fill="ffffff"/>
          <w:rtl w:val="0"/>
          <w14:textOutline w14:w="12700" w14:cap="flat">
            <w14:noFill/>
            <w14:miter w14:lim="400000"/>
          </w14:textOutline>
          <w14:textFill>
            <w14:solidFill>
              <w14:srgbClr w14:val="222222"/>
            </w14:solidFill>
          </w14:textFill>
        </w:rPr>
      </w:pP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Dismore, H. and Bailey, R. (2005)</w:t>
      </w:r>
      <w:r>
        <w:rPr>
          <w:rFonts w:ascii="Arial Unicode MS" w:hAnsi="Arial Unicode MS" w:hint="default"/>
          <w:outline w:val="0"/>
          <w:color w:val="222222"/>
          <w:u w:color="222222"/>
          <w:shd w:val="clear" w:color="auto" w:fill="ffffff"/>
          <w:rtl w:val="1"/>
          <w:lang w:val="ar-SA" w:bidi="ar-SA"/>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If only</w:t>
      </w:r>
      <w:r>
        <w:rPr>
          <w:rFonts w:ascii="Times New Roman" w:hAnsi="Times New Roman" w:hint="default"/>
          <w:outline w:val="0"/>
          <w:color w:val="222222"/>
          <w:u w:color="222222"/>
          <w:shd w:val="clear" w:color="auto" w:fill="ffffff"/>
          <w:rtl w:val="0"/>
          <w:lang w:val="en-US"/>
          <w14:textOutline w14:w="12700" w14:cap="flat">
            <w14:noFill/>
            <w14:miter w14:lim="400000"/>
          </w14:textOutline>
          <w14:textFill>
            <w14:solidFill>
              <w14:srgbClr w14:val="222222"/>
            </w14:solidFill>
          </w14:textFill>
        </w:rPr>
        <w:t>”</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 Outdoor and adventurous activities and generalized academic development.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Journal of Adventure Education &amp; Outdoor Learning</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5</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(1), pp.9-19.]</w:t>
      </w:r>
    </w:p>
    <w:p>
      <w:pPr>
        <w:pStyle w:val="Default"/>
        <w:bidi w:val="0"/>
        <w:spacing w:before="0"/>
        <w:ind w:left="0" w:right="0" w:firstLine="0"/>
        <w:jc w:val="left"/>
        <w:rPr>
          <w:rFonts w:ascii="Times New Roman" w:cs="Times New Roman" w:hAnsi="Times New Roman" w:eastAsia="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pPr>
    </w:p>
    <w:p>
      <w:pPr>
        <w:pStyle w:val="Default"/>
        <w:bidi w:val="0"/>
        <w:spacing w:before="0"/>
        <w:ind w:left="0" w:right="0" w:firstLine="0"/>
        <w:jc w:val="left"/>
        <w:rPr>
          <w:rFonts w:ascii="Times New Roman" w:cs="Times New Roman" w:hAnsi="Times New Roman" w:eastAsia="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pP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Durden-Myers, E.J., Green, N.R. and Whitehead, M.E. (2018) Implications for promoting physical literacy.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Journal of Teaching in Physical Education</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37</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(3), pp.262-271.</w:t>
      </w:r>
    </w:p>
    <w:p>
      <w:pPr>
        <w:pStyle w:val="Default"/>
        <w:bidi w:val="0"/>
        <w:spacing w:before="0"/>
        <w:ind w:left="0" w:right="0" w:firstLine="0"/>
        <w:jc w:val="left"/>
        <w:rPr>
          <w:rFonts w:ascii="Times New Roman" w:cs="Times New Roman" w:hAnsi="Times New Roman" w:eastAsia="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pPr>
    </w:p>
    <w:p>
      <w:pPr>
        <w:pStyle w:val="Default"/>
        <w:bidi w:val="0"/>
        <w:spacing w:before="0"/>
        <w:ind w:left="0" w:right="0" w:firstLine="0"/>
        <w:jc w:val="left"/>
        <w:rPr>
          <w:rFonts w:ascii="Times New Roman" w:cs="Times New Roman" w:hAnsi="Times New Roman" w:eastAsia="Times New Roman"/>
          <w:outline w:val="0"/>
          <w:color w:val="222222"/>
          <w:u w:color="222222"/>
          <w:shd w:val="clear" w:color="auto" w:fill="ffffff"/>
          <w:rtl w:val="0"/>
          <w14:textOutline w14:w="12700" w14:cap="flat">
            <w14:noFill/>
            <w14:miter w14:lim="400000"/>
          </w14:textOutline>
          <w14:textFill>
            <w14:solidFill>
              <w14:srgbClr w14:val="222222"/>
            </w14:solidFill>
          </w14:textFill>
        </w:rPr>
      </w:pPr>
      <w:r>
        <w:rPr>
          <w:rFonts w:ascii="Times New Roman" w:hAnsi="Times New Roman"/>
          <w:outline w:val="0"/>
          <w:color w:val="222222"/>
          <w:u w:color="222222"/>
          <w:shd w:val="clear" w:color="auto" w:fill="ffffff"/>
          <w:rtl w:val="0"/>
          <w:lang w:val="da-DK"/>
          <w14:textOutline w14:w="12700" w14:cap="flat">
            <w14:noFill/>
            <w14:miter w14:lim="400000"/>
          </w14:textOutline>
          <w14:textFill>
            <w14:solidFill>
              <w14:srgbClr w14:val="222222"/>
            </w14:solidFill>
          </w14:textFill>
        </w:rPr>
        <w:t>Fiskum, T.A. and Jacobsen, K.</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 (2013) Outdoor education gives fewer demands for action regulation and increased variability of affordances.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Journal of Adventure Education &amp; Outdoor Learning</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13</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(1), pp.76-99.</w:t>
      </w:r>
    </w:p>
    <w:p>
      <w:pPr>
        <w:pStyle w:val="Default"/>
        <w:bidi w:val="0"/>
        <w:spacing w:before="0"/>
        <w:ind w:left="0" w:right="0" w:firstLine="0"/>
        <w:jc w:val="left"/>
        <w:rPr>
          <w:rFonts w:ascii="Times New Roman" w:cs="Times New Roman" w:hAnsi="Times New Roman" w:eastAsia="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pPr>
    </w:p>
    <w:p>
      <w:pPr>
        <w:pStyle w:val="Default"/>
        <w:bidi w:val="0"/>
        <w:spacing w:before="0"/>
        <w:ind w:left="0" w:right="0" w:firstLine="0"/>
        <w:jc w:val="left"/>
        <w:rPr>
          <w:rFonts w:ascii="Times New Roman" w:cs="Times New Roman" w:hAnsi="Times New Roman" w:eastAsia="Times New Roman"/>
          <w:outline w:val="0"/>
          <w:color w:val="222222"/>
          <w:u w:color="222222"/>
          <w:shd w:val="clear" w:color="auto" w:fill="ffffff"/>
          <w:rtl w:val="0"/>
          <w14:textOutline w14:w="12700" w14:cap="flat">
            <w14:noFill/>
            <w14:miter w14:lim="400000"/>
          </w14:textOutline>
          <w14:textFill>
            <w14:solidFill>
              <w14:srgbClr w14:val="222222"/>
            </w14:solidFill>
          </w14:textFill>
        </w:rPr>
      </w:pP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Fj</w:t>
      </w:r>
      <w:r>
        <w:rPr>
          <w:rFonts w:ascii="Times New Roman" w:hAnsi="Times New Roman" w:hint="default"/>
          <w:outline w:val="0"/>
          <w:color w:val="222222"/>
          <w:u w:color="222222"/>
          <w:shd w:val="clear" w:color="auto" w:fill="ffffff"/>
          <w:rtl w:val="0"/>
          <w:lang w:val="da-DK"/>
          <w14:textOutline w14:w="12700" w14:cap="flat">
            <w14:noFill/>
            <w14:miter w14:lim="400000"/>
          </w14:textOutline>
          <w14:textFill>
            <w14:solidFill>
              <w14:srgbClr w14:val="222222"/>
            </w14:solidFill>
          </w14:textFill>
        </w:rPr>
        <w:t>ø</w:t>
      </w:r>
      <w:r>
        <w:rPr>
          <w:rFonts w:ascii="Times New Roman" w:hAnsi="Times New Roman"/>
          <w:outline w:val="0"/>
          <w:color w:val="222222"/>
          <w:u w:color="222222"/>
          <w:shd w:val="clear" w:color="auto" w:fill="ffffff"/>
          <w:rtl w:val="0"/>
          <w:lang w:val="da-DK"/>
          <w14:textOutline w14:w="12700" w14:cap="flat">
            <w14:noFill/>
            <w14:miter w14:lim="400000"/>
          </w14:textOutline>
          <w14:textFill>
            <w14:solidFill>
              <w14:srgbClr w14:val="222222"/>
            </w14:solidFill>
          </w14:textFill>
        </w:rPr>
        <w:t>rtoft, I.</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 (2004) Landscape as playscape: The effects of natural environments on children's play and motor development.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Children Youth and Environments</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14</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(2), pp.21-44.</w:t>
      </w:r>
    </w:p>
    <w:p>
      <w:pPr>
        <w:pStyle w:val="Default"/>
        <w:bidi w:val="0"/>
        <w:spacing w:before="0"/>
        <w:ind w:left="0" w:right="0" w:firstLine="0"/>
        <w:jc w:val="left"/>
        <w:rPr>
          <w:rFonts w:ascii="Times New Roman" w:cs="Times New Roman" w:hAnsi="Times New Roman" w:eastAsia="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pPr>
    </w:p>
    <w:p>
      <w:pPr>
        <w:pStyle w:val="Default"/>
        <w:bidi w:val="0"/>
        <w:spacing w:before="0"/>
        <w:ind w:left="0" w:right="0" w:firstLine="0"/>
        <w:jc w:val="left"/>
        <w:rPr>
          <w:rFonts w:ascii="Times New Roman" w:cs="Times New Roman" w:hAnsi="Times New Roman" w:eastAsia="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pP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Gibson, J.J. (2014)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The ecological approach to visual perception: classic edition</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Psychology Press.</w:t>
      </w:r>
    </w:p>
    <w:p>
      <w:pPr>
        <w:pStyle w:val="Default"/>
        <w:bidi w:val="0"/>
        <w:spacing w:before="0"/>
        <w:ind w:left="0" w:right="0" w:firstLine="0"/>
        <w:jc w:val="left"/>
        <w:rPr>
          <w:rFonts w:ascii="Times New Roman" w:cs="Times New Roman" w:hAnsi="Times New Roman" w:eastAsia="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pPr>
    </w:p>
    <w:p>
      <w:pPr>
        <w:pStyle w:val="Default"/>
        <w:bidi w:val="0"/>
        <w:spacing w:before="0"/>
        <w:ind w:left="0" w:right="0" w:firstLine="0"/>
        <w:jc w:val="left"/>
        <w:rPr>
          <w:rFonts w:ascii="Times New Roman" w:cs="Times New Roman" w:hAnsi="Times New Roman" w:eastAsia="Times New Roman"/>
          <w:outline w:val="0"/>
          <w:color w:val="222222"/>
          <w:u w:color="222222"/>
          <w:shd w:val="clear" w:color="auto" w:fill="ffffff"/>
          <w:rtl w:val="0"/>
          <w14:textOutline w14:w="12700" w14:cap="flat">
            <w14:noFill/>
            <w14:miter w14:lim="400000"/>
          </w14:textOutline>
          <w14:textFill>
            <w14:solidFill>
              <w14:srgbClr w14:val="222222"/>
            </w14:solidFill>
          </w14:textFill>
        </w:rPr>
      </w:pP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Hardman, K. (2011) June. Physical education, movement, and physical literacy in the 21st century: pupils</w:t>
      </w:r>
      <w:r>
        <w:rPr>
          <w:rFonts w:ascii="Arial Unicode MS" w:hAnsi="Arial Unicode MS" w:hint="default"/>
          <w:outline w:val="0"/>
          <w:color w:val="222222"/>
          <w:u w:color="222222"/>
          <w:shd w:val="clear" w:color="auto" w:fill="ffffff"/>
          <w:rtl w:val="1"/>
          <w:lang w:val="ar-SA" w:bidi="ar-SA"/>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competencies, attitudes, and behaviors. In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6th FIEP European congress. Physical education in the 21st century</w:t>
      </w:r>
      <w:r>
        <w:rPr>
          <w:rFonts w:ascii="Times New Roman" w:hAnsi="Times New Roman" w:hint="default"/>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pupils</w:t>
      </w:r>
      <w:r>
        <w:rPr>
          <w:rFonts w:ascii="Arial Unicode MS" w:hAnsi="Arial Unicode MS" w:hint="default"/>
          <w:outline w:val="0"/>
          <w:color w:val="222222"/>
          <w:u w:color="222222"/>
          <w:shd w:val="clear" w:color="auto" w:fill="ffffff"/>
          <w:rtl w:val="1"/>
          <w:lang w:val="ar-SA" w:bidi="ar-SA"/>
          <w14:textOutline w14:w="12700" w14:cap="flat">
            <w14:noFill/>
            <w14:miter w14:lim="400000"/>
          </w14:textOutline>
          <w14:textFill>
            <w14:solidFill>
              <w14:srgbClr w14:val="222222"/>
            </w14:solidFill>
          </w14:textFill>
        </w:rPr>
        <w:t xml:space="preserve">’ </w:t>
      </w:r>
      <w:r>
        <w:rPr>
          <w:rFonts w:ascii="Times New Roman" w:hAnsi="Times New Roman"/>
          <w:i w:val="1"/>
          <w:iCs w:val="1"/>
          <w:outline w:val="0"/>
          <w:color w:val="222222"/>
          <w:u w:color="222222"/>
          <w:shd w:val="clear" w:color="auto" w:fill="ffffff"/>
          <w:rtl w:val="0"/>
          <w:lang w:val="pt-PT"/>
          <w14:textOutline w14:w="12700" w14:cap="flat">
            <w14:noFill/>
            <w14:miter w14:lim="400000"/>
          </w14:textOutline>
          <w14:textFill>
            <w14:solidFill>
              <w14:srgbClr w14:val="222222"/>
            </w14:solidFill>
          </w14:textFill>
        </w:rPr>
        <w:t>competencies. Pore</w:t>
      </w:r>
      <w:r>
        <w:rPr>
          <w:rFonts w:ascii="Times New Roman" w:hAnsi="Times New Roman" w:hint="default"/>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č</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 Croatia</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 (pp. 15-25).</w:t>
      </w:r>
    </w:p>
    <w:p>
      <w:pPr>
        <w:pStyle w:val="Default"/>
        <w:bidi w:val="0"/>
        <w:spacing w:before="0"/>
        <w:ind w:left="0" w:right="0" w:firstLine="0"/>
        <w:jc w:val="left"/>
        <w:rPr>
          <w:rFonts w:ascii="Times New Roman" w:cs="Times New Roman" w:hAnsi="Times New Roman" w:eastAsia="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pPr>
    </w:p>
    <w:p>
      <w:pPr>
        <w:pStyle w:val="Default"/>
        <w:bidi w:val="0"/>
        <w:spacing w:before="0"/>
        <w:ind w:left="0" w:right="0" w:firstLine="0"/>
        <w:jc w:val="left"/>
        <w:rPr>
          <w:rFonts w:ascii="Times New Roman" w:cs="Times New Roman" w:hAnsi="Times New Roman" w:eastAsia="Times New Roman"/>
          <w:outline w:val="0"/>
          <w:color w:val="222222"/>
          <w:u w:color="222222"/>
          <w:shd w:val="clear" w:color="auto" w:fill="ffffff"/>
          <w:rtl w:val="0"/>
          <w14:textOutline w14:w="12700" w14:cap="flat">
            <w14:noFill/>
            <w14:miter w14:lim="400000"/>
          </w14:textOutline>
          <w14:textFill>
            <w14:solidFill>
              <w14:srgbClr w14:val="222222"/>
            </w14:solidFill>
          </w14:textFill>
        </w:rPr>
      </w:pP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Hyndman, B.P. and Telford, A. (2015) Should educators be </w:t>
      </w:r>
      <w:r>
        <w:rPr>
          <w:rFonts w:ascii="Arial Unicode MS" w:hAnsi="Arial Unicode MS" w:hint="default"/>
          <w:outline w:val="0"/>
          <w:color w:val="222222"/>
          <w:u w:color="222222"/>
          <w:shd w:val="clear" w:color="auto" w:fill="ffffff"/>
          <w:rtl w:val="1"/>
          <w:lang w:val="ar-SA" w:bidi="ar-SA"/>
          <w14:textOutline w14:w="12700" w14:cap="flat">
            <w14:noFill/>
            <w14:miter w14:lim="400000"/>
          </w14:textOutline>
          <w14:textFill>
            <w14:solidFill>
              <w14:srgbClr w14:val="222222"/>
            </w14:solidFill>
          </w14:textFill>
        </w:rPr>
        <w:t>‘</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wrapping school playgrounds in cotton wool to encourage physical activity? Exploring primary and secondary students</w:t>
      </w:r>
      <w:r>
        <w:rPr>
          <w:rFonts w:ascii="Arial Unicode MS" w:hAnsi="Arial Unicode MS" w:hint="default"/>
          <w:outline w:val="0"/>
          <w:color w:val="222222"/>
          <w:u w:color="222222"/>
          <w:shd w:val="clear" w:color="auto" w:fill="ffffff"/>
          <w:rtl w:val="1"/>
          <w:lang w:val="ar-SA" w:bidi="ar-SA"/>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voices from the school playground.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Australian Journal of Teacher Education</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40</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(6), p.4.</w:t>
      </w:r>
    </w:p>
    <w:p>
      <w:pPr>
        <w:pStyle w:val="Default"/>
        <w:bidi w:val="0"/>
        <w:spacing w:before="0"/>
        <w:ind w:left="0" w:right="0" w:firstLine="0"/>
        <w:jc w:val="left"/>
        <w:rPr>
          <w:rFonts w:ascii="Times New Roman" w:cs="Times New Roman" w:hAnsi="Times New Roman" w:eastAsia="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pPr>
    </w:p>
    <w:p>
      <w:pPr>
        <w:pStyle w:val="Default"/>
        <w:bidi w:val="0"/>
        <w:spacing w:before="0"/>
        <w:ind w:left="0" w:right="0" w:firstLine="0"/>
        <w:jc w:val="left"/>
        <w:rPr>
          <w:rFonts w:ascii="Times New Roman" w:cs="Times New Roman" w:hAnsi="Times New Roman" w:eastAsia="Times New Roman"/>
          <w:outline w:val="0"/>
          <w:color w:val="222222"/>
          <w:u w:color="222222"/>
          <w:shd w:val="clear" w:color="auto" w:fill="ffffff"/>
          <w:rtl w:val="0"/>
          <w14:textOutline w14:w="12700" w14:cap="flat">
            <w14:noFill/>
            <w14:miter w14:lim="400000"/>
          </w14:textOutline>
          <w14:textFill>
            <w14:solidFill>
              <w14:srgbClr w14:val="222222"/>
            </w14:solidFill>
          </w14:textFill>
        </w:rPr>
      </w:pP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Jenkins, N.E. (2006)</w:t>
      </w:r>
      <w:r>
        <w:rPr>
          <w:rFonts w:ascii="Arial Unicode MS" w:hAnsi="Arial Unicode MS" w:hint="default"/>
          <w:outline w:val="0"/>
          <w:color w:val="222222"/>
          <w:u w:color="222222"/>
          <w:shd w:val="clear" w:color="auto" w:fill="ffffff"/>
          <w:rtl w:val="1"/>
          <w:lang w:val="ar-SA" w:bidi="ar-SA"/>
          <w14:textOutline w14:w="12700" w14:cap="flat">
            <w14:noFill/>
            <w14:miter w14:lim="400000"/>
          </w14:textOutline>
          <w14:textFill>
            <w14:solidFill>
              <w14:srgbClr w14:val="222222"/>
            </w14:solidFill>
          </w14:textFill>
        </w:rPr>
        <w:t xml:space="preserve"> ‘</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You can't wrap them up in cotton wool!</w:t>
      </w:r>
      <w:r>
        <w:rPr>
          <w:rFonts w:ascii="Arial Unicode MS" w:hAnsi="Arial Unicode MS" w:hint="default"/>
          <w:outline w:val="0"/>
          <w:color w:val="222222"/>
          <w:u w:color="222222"/>
          <w:shd w:val="clear" w:color="auto" w:fill="ffffff"/>
          <w:rtl w:val="1"/>
          <w:lang w:val="ar-SA" w:bidi="ar-SA"/>
          <w14:textOutline w14:w="12700" w14:cap="flat">
            <w14:noFill/>
            <w14:miter w14:lim="400000"/>
          </w14:textOutline>
          <w14:textFill>
            <w14:solidFill>
              <w14:srgbClr w14:val="222222"/>
            </w14:solidFill>
          </w14:textFill>
        </w:rPr>
        <w:t>’</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Constructing risk in young people's access to outdoor play.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Health, risk &amp; society</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8</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(4), pp.379-393.</w:t>
      </w:r>
    </w:p>
    <w:p>
      <w:pPr>
        <w:pStyle w:val="Default"/>
        <w:bidi w:val="0"/>
        <w:spacing w:before="0"/>
        <w:ind w:left="0" w:right="0" w:firstLine="0"/>
        <w:jc w:val="left"/>
        <w:rPr>
          <w:rFonts w:ascii="Times New Roman" w:cs="Times New Roman" w:hAnsi="Times New Roman" w:eastAsia="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pPr>
    </w:p>
    <w:p>
      <w:pPr>
        <w:pStyle w:val="Default"/>
        <w:bidi w:val="0"/>
        <w:spacing w:before="0"/>
        <w:ind w:left="0" w:right="0" w:firstLine="0"/>
        <w:jc w:val="left"/>
        <w:rPr>
          <w:rFonts w:ascii="Times New Roman" w:cs="Times New Roman" w:hAnsi="Times New Roman" w:eastAsia="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pP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Jefferies, P.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et al. </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(2019) Physical literacy and resilience in children and youth.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Frontiers in public health</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7</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p.346.</w:t>
      </w:r>
    </w:p>
    <w:p>
      <w:pPr>
        <w:pStyle w:val="Default"/>
        <w:bidi w:val="0"/>
        <w:spacing w:before="0"/>
        <w:ind w:left="0" w:right="0" w:firstLine="0"/>
        <w:jc w:val="left"/>
        <w:rPr>
          <w:rFonts w:ascii="Times New Roman" w:cs="Times New Roman" w:hAnsi="Times New Roman" w:eastAsia="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pPr>
    </w:p>
    <w:p>
      <w:pPr>
        <w:pStyle w:val="Default"/>
        <w:bidi w:val="0"/>
        <w:spacing w:before="0"/>
        <w:ind w:left="0" w:right="0" w:firstLine="0"/>
        <w:jc w:val="left"/>
        <w:rPr>
          <w:rFonts w:ascii="Times New Roman" w:cs="Times New Roman" w:hAnsi="Times New Roman" w:eastAsia="Times New Roman"/>
          <w:outline w:val="0"/>
          <w:color w:val="222222"/>
          <w:u w:color="222222"/>
          <w:shd w:val="clear" w:color="auto" w:fill="ffffff"/>
          <w:rtl w:val="0"/>
          <w14:textOutline w14:w="12700" w14:cap="flat">
            <w14:noFill/>
            <w14:miter w14:lim="400000"/>
          </w14:textOutline>
          <w14:textFill>
            <w14:solidFill>
              <w14:srgbClr w14:val="222222"/>
            </w14:solidFill>
          </w14:textFill>
        </w:rPr>
      </w:pPr>
      <w:r>
        <w:rPr>
          <w:rFonts w:ascii="Times New Roman" w:hAnsi="Times New Roman"/>
          <w:outline w:val="0"/>
          <w:color w:val="222222"/>
          <w:u w:color="222222"/>
          <w:shd w:val="clear" w:color="auto" w:fill="ffffff"/>
          <w:rtl w:val="0"/>
          <w:lang w:val="es-ES_tradnl"/>
          <w14:textOutline w14:w="12700" w14:cap="flat">
            <w14:noFill/>
            <w14:miter w14:lim="400000"/>
          </w14:textOutline>
          <w14:textFill>
            <w14:solidFill>
              <w14:srgbClr w14:val="222222"/>
            </w14:solidFill>
          </w14:textFill>
        </w:rPr>
        <w:t>Mandigo, J.</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et al.</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 (2009) Physical literacy for educators.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Physical and Health Education Journal</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 </w:t>
      </w:r>
      <w:r>
        <w:rPr>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75</w:t>
      </w:r>
      <w:r>
        <w:rPr>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(3), pp.27-30.</w:t>
      </w:r>
    </w:p>
    <w:p>
      <w:pPr>
        <w:pStyle w:val="heading 4"/>
        <w:keepNext w:val="0"/>
        <w:spacing w:before="0" w:after="0"/>
        <w:jc w:val="left"/>
        <w:outlineLvl w:val="9"/>
        <w:rPr>
          <w:sz w:val="24"/>
          <w:szCs w:val="24"/>
          <w:lang w:val="en-US"/>
          <w14:textOutline w14:w="12700" w14:cap="flat">
            <w14:noFill/>
            <w14:miter w14:lim="400000"/>
          </w14:textOutline>
        </w:rPr>
      </w:pPr>
    </w:p>
    <w:p>
      <w:pPr>
        <w:pStyle w:val="heading 4"/>
        <w:keepNext w:val="0"/>
        <w:spacing w:before="0" w:after="0"/>
        <w:jc w:val="left"/>
        <w:outlineLvl w:val="9"/>
        <w:rPr>
          <w:rStyle w:val="None"/>
          <w:rFonts w:ascii="Times New Roman" w:cs="Times New Roman" w:hAnsi="Times New Roman" w:eastAsia="Times New Roman"/>
          <w:sz w:val="24"/>
          <w:szCs w:val="24"/>
          <w:lang w:val="en-US"/>
          <w14:textOutline w14:w="12700" w14:cap="flat">
            <w14:noFill/>
            <w14:miter w14:lim="400000"/>
          </w14:textOutline>
        </w:rPr>
      </w:pPr>
      <w:r>
        <w:rPr>
          <w:rFonts w:ascii="Times New Roman" w:hAnsi="Times New Roman"/>
          <w:sz w:val="24"/>
          <w:szCs w:val="24"/>
          <w:rtl w:val="0"/>
          <w:lang w:val="en-US"/>
          <w14:textOutline w14:w="12700" w14:cap="flat">
            <w14:noFill/>
            <w14:miter w14:lim="400000"/>
          </w14:textOutline>
        </w:rPr>
        <w:t xml:space="preserve">Pinarksi, J. (2016) </w:t>
      </w:r>
      <w:r>
        <w:rPr>
          <w:rFonts w:ascii="Times New Roman" w:hAnsi="Times New Roman"/>
          <w:i w:val="1"/>
          <w:iCs w:val="1"/>
          <w:sz w:val="24"/>
          <w:szCs w:val="24"/>
          <w:rtl w:val="0"/>
          <w:lang w:val="en-US"/>
          <w14:textOutline w14:w="12700" w14:cap="flat">
            <w14:noFill/>
            <w14:miter w14:lim="400000"/>
          </w14:textOutline>
        </w:rPr>
        <w:t>Outdoor schools: finding physical literacy in the forest.</w:t>
      </w:r>
      <w:r>
        <w:rPr>
          <w:rFonts w:ascii="Times New Roman" w:hAnsi="Times New Roman"/>
          <w:sz w:val="24"/>
          <w:szCs w:val="24"/>
          <w:rtl w:val="0"/>
          <w:lang w:val="en-US"/>
          <w14:textOutline w14:w="12700" w14:cap="flat">
            <w14:noFill/>
            <w14:miter w14:lim="400000"/>
          </w14:textOutline>
        </w:rPr>
        <w:t xml:space="preserve">Available at: </w:t>
      </w:r>
      <w:r>
        <w:rPr>
          <w:rStyle w:val="Hyperlink.0"/>
          <w:rFonts w:ascii="Times New Roman" w:cs="Times New Roman" w:hAnsi="Times New Roman" w:eastAsia="Times New Roman"/>
          <w:sz w:val="24"/>
          <w:szCs w:val="24"/>
          <w:u w:val="single"/>
          <w:lang w:val="en-US"/>
          <w14:textOutline w14:w="12700" w14:cap="flat">
            <w14:noFill/>
            <w14:miter w14:lim="400000"/>
          </w14:textOutline>
        </w:rPr>
        <w:fldChar w:fldCharType="begin" w:fldLock="0"/>
      </w:r>
      <w:r>
        <w:rPr>
          <w:rStyle w:val="Hyperlink.0"/>
          <w:rFonts w:ascii="Times New Roman" w:cs="Times New Roman" w:hAnsi="Times New Roman" w:eastAsia="Times New Roman"/>
          <w:sz w:val="24"/>
          <w:szCs w:val="24"/>
          <w:u w:val="single"/>
          <w:lang w:val="en-US"/>
          <w14:textOutline w14:w="12700" w14:cap="flat">
            <w14:noFill/>
            <w14:miter w14:lim="400000"/>
          </w14:textOutline>
        </w:rPr>
        <w:instrText xml:space="preserve"> HYPERLINK "https://activeforlife.com/physical-literacy-in-the-forest/"</w:instrText>
      </w:r>
      <w:r>
        <w:rPr>
          <w:rStyle w:val="Hyperlink.0"/>
          <w:rFonts w:ascii="Times New Roman" w:cs="Times New Roman" w:hAnsi="Times New Roman" w:eastAsia="Times New Roman"/>
          <w:sz w:val="24"/>
          <w:szCs w:val="24"/>
          <w:u w:val="single"/>
          <w:lang w:val="en-US"/>
          <w14:textOutline w14:w="12700" w14:cap="flat">
            <w14:noFill/>
            <w14:miter w14:lim="400000"/>
          </w14:textOutline>
        </w:rPr>
        <w:fldChar w:fldCharType="separate" w:fldLock="0"/>
      </w:r>
      <w:r>
        <w:rPr>
          <w:rStyle w:val="Hyperlink.0"/>
          <w:rFonts w:ascii="Times New Roman" w:hAnsi="Times New Roman"/>
          <w:sz w:val="24"/>
          <w:szCs w:val="24"/>
          <w:u w:val="single"/>
          <w:rtl w:val="0"/>
          <w:lang w:val="en-US"/>
          <w14:textOutline w14:w="12700" w14:cap="flat">
            <w14:noFill/>
            <w14:miter w14:lim="400000"/>
          </w14:textOutline>
        </w:rPr>
        <w:t>https://activeforlife.com/physical-literacy-in-the-forest/</w:t>
      </w:r>
      <w:r>
        <w:rPr>
          <w:rFonts w:ascii="Helvetica Neue" w:cs="Helvetica Neue" w:hAnsi="Helvetica Neue" w:eastAsia="Helvetica Neue"/>
          <w:sz w:val="22"/>
          <w:szCs w:val="22"/>
          <w:lang w:val="en-US"/>
          <w14:textOutline w14:w="12700" w14:cap="flat">
            <w14:noFill/>
            <w14:miter w14:lim="400000"/>
          </w14:textOutline>
        </w:rPr>
        <w:fldChar w:fldCharType="end" w:fldLock="0"/>
      </w:r>
      <w:r>
        <w:rPr>
          <w:rStyle w:val="None"/>
          <w:rFonts w:ascii="Times New Roman" w:hAnsi="Times New Roman"/>
          <w:sz w:val="24"/>
          <w:szCs w:val="24"/>
          <w:rtl w:val="0"/>
          <w:lang w:val="en-US"/>
          <w14:textOutline w14:w="12700" w14:cap="flat">
            <w14:noFill/>
            <w14:miter w14:lim="400000"/>
          </w14:textOutline>
        </w:rPr>
        <w:t xml:space="preserve"> ( Accessed: 12th of March 2021)</w:t>
      </w:r>
    </w:p>
    <w:p>
      <w:pPr>
        <w:pStyle w:val="Default"/>
        <w:bidi w:val="0"/>
        <w:spacing w:before="0"/>
        <w:ind w:left="0" w:right="0" w:firstLine="0"/>
        <w:jc w:val="left"/>
        <w:rPr>
          <w:rStyle w:val="None"/>
          <w:rFonts w:ascii="Times New Roman" w:cs="Times New Roman" w:hAnsi="Times New Roman" w:eastAsia="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pPr>
    </w:p>
    <w:p>
      <w:pPr>
        <w:pStyle w:val="Default"/>
        <w:bidi w:val="0"/>
        <w:spacing w:before="0"/>
        <w:ind w:left="0" w:right="0" w:firstLine="0"/>
        <w:jc w:val="left"/>
        <w:rPr>
          <w:rStyle w:val="None"/>
          <w:rFonts w:ascii="Times New Roman" w:cs="Times New Roman" w:hAnsi="Times New Roman" w:eastAsia="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pPr>
      <w:r>
        <w:rPr>
          <w:rStyle w:val="None"/>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Pot, N., Whitehead, M.E. and Durden-Myers, E.J. (2018) Physical literacy from philosophy to practice. </w:t>
      </w:r>
      <w:r>
        <w:rPr>
          <w:rStyle w:val="None"/>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Journal of Teaching in Physical Education</w:t>
      </w:r>
      <w:r>
        <w:rPr>
          <w:rStyle w:val="None"/>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 </w:t>
      </w:r>
      <w:r>
        <w:rPr>
          <w:rStyle w:val="None"/>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37</w:t>
      </w:r>
      <w:r>
        <w:rPr>
          <w:rStyle w:val="None"/>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(3), pp.246-251.</w:t>
      </w:r>
    </w:p>
    <w:p>
      <w:pPr>
        <w:pStyle w:val="Default"/>
        <w:bidi w:val="0"/>
        <w:spacing w:before="0"/>
        <w:ind w:left="0" w:right="0" w:firstLine="0"/>
        <w:jc w:val="left"/>
        <w:rPr>
          <w:rStyle w:val="None"/>
          <w:rFonts w:ascii="Times New Roman" w:cs="Times New Roman" w:hAnsi="Times New Roman" w:eastAsia="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pPr>
    </w:p>
    <w:p>
      <w:pPr>
        <w:pStyle w:val="Default"/>
        <w:bidi w:val="0"/>
        <w:spacing w:before="0"/>
        <w:ind w:left="0" w:right="0" w:firstLine="0"/>
        <w:jc w:val="left"/>
        <w:rPr>
          <w:rStyle w:val="None"/>
          <w:rFonts w:ascii="Times New Roman" w:cs="Times New Roman" w:hAnsi="Times New Roman" w:eastAsia="Times New Roman"/>
          <w:outline w:val="0"/>
          <w:color w:val="222222"/>
          <w:u w:color="222222"/>
          <w:shd w:val="clear" w:color="auto" w:fill="ffffff"/>
          <w:rtl w:val="0"/>
          <w14:textOutline w14:w="12700" w14:cap="flat">
            <w14:noFill/>
            <w14:miter w14:lim="400000"/>
          </w14:textOutline>
          <w14:textFill>
            <w14:solidFill>
              <w14:srgbClr w14:val="222222"/>
            </w14:solidFill>
          </w14:textFill>
        </w:rPr>
      </w:pPr>
      <w:r>
        <w:rPr>
          <w:rStyle w:val="None"/>
          <w:rFonts w:ascii="Times New Roman" w:hAnsi="Times New Roman"/>
          <w:outline w:val="0"/>
          <w:color w:val="222222"/>
          <w:u w:color="222222"/>
          <w:shd w:val="clear" w:color="auto" w:fill="ffffff"/>
          <w:rtl w:val="0"/>
          <w:lang w:val="nl-NL"/>
          <w14:textOutline w14:w="12700" w14:cap="flat">
            <w14:noFill/>
            <w14:miter w14:lim="400000"/>
          </w14:textOutline>
          <w14:textFill>
            <w14:solidFill>
              <w14:srgbClr w14:val="222222"/>
            </w14:solidFill>
          </w14:textFill>
        </w:rPr>
        <w:t>Reeve, J.</w:t>
      </w:r>
      <w:r>
        <w:rPr>
          <w:rStyle w:val="None"/>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 (2006) Teachers as facilitators: What autonomy-supportive teachers do and why their students benefit. </w:t>
      </w:r>
      <w:r>
        <w:rPr>
          <w:rStyle w:val="None"/>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The elementary school journal</w:t>
      </w:r>
      <w:r>
        <w:rPr>
          <w:rStyle w:val="None"/>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 </w:t>
      </w:r>
      <w:r>
        <w:rPr>
          <w:rStyle w:val="None"/>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106</w:t>
      </w:r>
      <w:r>
        <w:rPr>
          <w:rStyle w:val="None"/>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(3), pp.225-236.</w:t>
      </w:r>
    </w:p>
    <w:p>
      <w:pPr>
        <w:pStyle w:val="Default"/>
        <w:bidi w:val="0"/>
        <w:spacing w:before="0"/>
        <w:ind w:left="0" w:right="0" w:firstLine="0"/>
        <w:jc w:val="left"/>
        <w:rPr>
          <w:rStyle w:val="None"/>
          <w:rFonts w:ascii="Times New Roman" w:cs="Times New Roman" w:hAnsi="Times New Roman" w:eastAsia="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pPr>
    </w:p>
    <w:p>
      <w:pPr>
        <w:pStyle w:val="Default"/>
        <w:bidi w:val="0"/>
        <w:spacing w:before="0"/>
        <w:ind w:left="0" w:right="0" w:firstLine="0"/>
        <w:jc w:val="left"/>
        <w:rPr>
          <w:rStyle w:val="None"/>
          <w:rFonts w:ascii="Times New Roman" w:cs="Times New Roman" w:hAnsi="Times New Roman" w:eastAsia="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pPr>
      <w:r>
        <w:rPr>
          <w:rStyle w:val="None"/>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Reynolds, R. and Chiu, M.M. (2013) Formal and informal context factors as contributors to student engagement in a guided discovery-based program of game design learning. </w:t>
      </w:r>
      <w:r>
        <w:rPr>
          <w:rStyle w:val="None"/>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Learning, Media and Technology</w:t>
      </w:r>
      <w:r>
        <w:rPr>
          <w:rStyle w:val="None"/>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 </w:t>
      </w:r>
      <w:r>
        <w:rPr>
          <w:rStyle w:val="None"/>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38</w:t>
      </w:r>
      <w:r>
        <w:rPr>
          <w:rStyle w:val="None"/>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(4), pp.429-462.</w:t>
      </w:r>
    </w:p>
    <w:p>
      <w:pPr>
        <w:pStyle w:val="Default"/>
        <w:bidi w:val="0"/>
        <w:spacing w:before="0"/>
        <w:ind w:left="0" w:right="0" w:firstLine="0"/>
        <w:jc w:val="left"/>
        <w:rPr>
          <w:rStyle w:val="None"/>
          <w:rFonts w:ascii="Times New Roman" w:cs="Times New Roman" w:hAnsi="Times New Roman" w:eastAsia="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pPr>
    </w:p>
    <w:p>
      <w:pPr>
        <w:pStyle w:val="Default"/>
        <w:bidi w:val="0"/>
        <w:spacing w:before="0"/>
        <w:ind w:left="0" w:right="0" w:firstLine="0"/>
        <w:jc w:val="left"/>
        <w:rPr>
          <w:rStyle w:val="None"/>
          <w:rFonts w:ascii="Times New Roman" w:cs="Times New Roman" w:hAnsi="Times New Roman" w:eastAsia="Times New Roman"/>
          <w:outline w:val="0"/>
          <w:color w:val="222222"/>
          <w:u w:color="222222"/>
          <w:shd w:val="clear" w:color="auto" w:fill="ffffff"/>
          <w:rtl w:val="0"/>
          <w14:textOutline w14:w="12700" w14:cap="flat">
            <w14:noFill/>
            <w14:miter w14:lim="400000"/>
          </w14:textOutline>
          <w14:textFill>
            <w14:solidFill>
              <w14:srgbClr w14:val="222222"/>
            </w14:solidFill>
          </w14:textFill>
        </w:rPr>
      </w:pPr>
      <w:r>
        <w:rPr>
          <w:rStyle w:val="None"/>
          <w:rFonts w:ascii="Times New Roman" w:hAnsi="Times New Roman"/>
          <w:outline w:val="0"/>
          <w:color w:val="222222"/>
          <w:u w:color="222222"/>
          <w:shd w:val="clear" w:color="auto" w:fill="ffffff"/>
          <w:rtl w:val="0"/>
          <w:lang w:val="nl-NL"/>
          <w14:textOutline w14:w="12700" w14:cap="flat">
            <w14:noFill/>
            <w14:miter w14:lim="400000"/>
          </w14:textOutline>
          <w14:textFill>
            <w14:solidFill>
              <w14:srgbClr w14:val="222222"/>
            </w14:solidFill>
          </w14:textFill>
        </w:rPr>
        <w:t>Roetert, E.P. and MacDonald, L.</w:t>
      </w:r>
      <w:r>
        <w:rPr>
          <w:rStyle w:val="None"/>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C. (2015)  Unpacking the physical literacy concept for K-12 physical education: What should we expect the learner to master?. </w:t>
      </w:r>
      <w:r>
        <w:rPr>
          <w:rStyle w:val="None"/>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Journal of Sport and Health Science</w:t>
      </w:r>
      <w:r>
        <w:rPr>
          <w:rStyle w:val="None"/>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 xml:space="preserve">, </w:t>
      </w:r>
      <w:r>
        <w:rPr>
          <w:rStyle w:val="None"/>
          <w:rFonts w:ascii="Times New Roman" w:hAnsi="Times New Roman"/>
          <w:i w:val="1"/>
          <w:iCs w:val="1"/>
          <w:outline w:val="0"/>
          <w:color w:val="222222"/>
          <w:u w:color="222222"/>
          <w:shd w:val="clear" w:color="auto" w:fill="ffffff"/>
          <w:rtl w:val="0"/>
          <w:lang w:val="en-US"/>
          <w14:textOutline w14:w="12700" w14:cap="flat">
            <w14:noFill/>
            <w14:miter w14:lim="400000"/>
          </w14:textOutline>
          <w14:textFill>
            <w14:solidFill>
              <w14:srgbClr w14:val="222222"/>
            </w14:solidFill>
          </w14:textFill>
        </w:rPr>
        <w:t>4</w:t>
      </w:r>
      <w:r>
        <w:rPr>
          <w:rStyle w:val="None"/>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(2), pp.108-112.</w:t>
      </w:r>
    </w:p>
    <w:p>
      <w:pPr>
        <w:pStyle w:val="Default"/>
        <w:bidi w:val="0"/>
        <w:spacing w:before="0"/>
        <w:ind w:left="0" w:right="0" w:firstLine="0"/>
        <w:jc w:val="left"/>
        <w:rPr>
          <w:rStyle w:val="None"/>
          <w:rFonts w:ascii="Times New Roman" w:cs="Times New Roman" w:hAnsi="Times New Roman" w:eastAsia="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pPr>
    </w:p>
    <w:p>
      <w:pPr>
        <w:pStyle w:val="Default"/>
        <w:bidi w:val="0"/>
        <w:spacing w:before="0"/>
        <w:ind w:left="0" w:right="0" w:firstLine="0"/>
        <w:jc w:val="left"/>
        <w:rPr>
          <w:rtl w:val="0"/>
        </w:rPr>
      </w:pPr>
      <w:r>
        <w:rPr>
          <w:rStyle w:val="None"/>
          <w:rFonts w:ascii="Times New Roman" w:hAnsi="Times New Roman"/>
          <w:outline w:val="0"/>
          <w:color w:val="222222"/>
          <w:u w:color="222222"/>
          <w:shd w:val="clear" w:color="auto" w:fill="ffffff"/>
          <w:rtl w:val="0"/>
          <w:lang w:val="en-US"/>
          <w14:textOutline w14:w="12700" w14:cap="flat">
            <w14:noFill/>
            <w14:miter w14:lim="400000"/>
          </w14:textOutline>
          <w14:textFill>
            <w14:solidFill>
              <w14:srgbClr w14:val="222222"/>
            </w14:solidFill>
          </w14:textFill>
        </w:rPr>
        <w:t>Whitehead, M. ed. (2010) Physical literacy: Throughout the life course. Routledge.</w:t>
      </w:r>
    </w:p>
    <w:sectPr>
      <w:headerReference w:type="default" r:id="rId5"/>
      <w:footerReference w:type="default" r:id="rId6"/>
      <w:pgSz w:w="11900" w:h="16840" w:orient="portrait"/>
      <w:pgMar w:top="720" w:right="720" w:bottom="720" w:left="720" w:header="706" w:footer="706"/>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 w:name="CG Times (W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er">
    <w:name w:val="header"/>
    <w:next w:val="head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14:textOutline>
        <w14:noFill/>
      </w14:textOutline>
      <w14:textFill>
        <w14:solidFill>
          <w14:srgbClr w14:val="000000"/>
        </w14:solidFill>
      </w14:textFill>
    </w:rPr>
  </w:style>
  <w:style w:type="paragraph" w:styleId="heading 4">
    <w:name w:val="heading 4"/>
    <w:next w:val="Body"/>
    <w:pPr>
      <w:keepNext w:val="1"/>
      <w:keepLines w:val="0"/>
      <w:pageBreakBefore w:val="0"/>
      <w:widowControl w:val="1"/>
      <w:shd w:val="clear" w:color="auto" w:fill="auto"/>
      <w:suppressAutoHyphens w:val="0"/>
      <w:bidi w:val="0"/>
      <w:spacing w:before="120" w:after="120" w:line="240" w:lineRule="auto"/>
      <w:ind w:left="0" w:right="0" w:firstLine="0"/>
      <w:jc w:val="center"/>
      <w:outlineLvl w:val="2"/>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lang w:val="en-US"/>
      <w14:textFill>
        <w14:solidFill>
          <w14:srgbClr w14:val="000000"/>
        </w14:solidFill>
      </w14:textFill>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both"/>
      <w:outlineLvl w:val="1"/>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fixed">
    <w:name w:val="fixed"/>
    <w:next w:val="fixed"/>
    <w:pPr>
      <w:keepNext w:val="0"/>
      <w:keepLines w:val="0"/>
      <w:pageBreakBefore w:val="0"/>
      <w:widowControl w:val="1"/>
      <w:shd w:val="clear" w:color="auto" w:fill="auto"/>
      <w:tabs>
        <w:tab w:val="left" w:pos="720"/>
        <w:tab w:val="left" w:pos="1440"/>
        <w:tab w:val="left" w:pos="2160"/>
        <w:tab w:val="left" w:pos="2880"/>
      </w:tabs>
      <w:suppressAutoHyphens w:val="0"/>
      <w:bidi w:val="0"/>
      <w:spacing w:before="0" w:after="0" w:line="240" w:lineRule="auto"/>
      <w:ind w:left="3600" w:right="0" w:hanging="3600"/>
      <w:jc w:val="left"/>
      <w:outlineLvl w:val="9"/>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Body Text1">
    <w:name w:val="Body Text1"/>
    <w:next w:val="Body Text1"/>
    <w:pPr>
      <w:keepNext w:val="0"/>
      <w:keepLines w:val="0"/>
      <w:pageBreakBefore w:val="0"/>
      <w:widowControl w:val="1"/>
      <w:shd w:val="clear" w:color="auto" w:fill="auto"/>
      <w:tabs>
        <w:tab w:val="left" w:pos="720"/>
        <w:tab w:val="left" w:pos="1440"/>
      </w:tabs>
      <w:suppressAutoHyphens w:val="0"/>
      <w:bidi w:val="0"/>
      <w:spacing w:before="0" w:after="0" w:line="240" w:lineRule="auto"/>
      <w:ind w:left="0" w:right="0" w:firstLine="0"/>
      <w:jc w:val="left"/>
      <w:outlineLvl w:val="9"/>
    </w:pPr>
    <w:rPr>
      <w:rFonts w:ascii="CG Times (WN)" w:cs="CG Times (WN)" w:hAnsi="CG Times (WN)" w:eastAsia="CG Times (W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rFonts w:ascii="Times New Roman" w:cs="Times New Roman" w:hAnsi="Times New Roman" w:eastAsia="Times New Roman"/>
      <w:sz w:val="24"/>
      <w:szCs w:val="24"/>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