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87C2E" w:rsidRPr="00186394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186394">
        <w:rPr>
          <w:rFonts w:ascii="Times New Roman" w:hAnsi="Times New Roman" w:cs="Times New Roman"/>
          <w:b/>
          <w:sz w:val="28"/>
          <w:szCs w:val="28"/>
        </w:rPr>
        <w:t>ETHICS – EXAMPLE 5 (ANSWER)</w:t>
      </w:r>
      <w:bookmarkStart w:id="0" w:name="_GoBack"/>
      <w:bookmarkEnd w:id="0"/>
    </w:p>
    <w:p w:rsidR="00F87C2E" w:rsidRPr="00186394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87C2E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86394" w:rsidRPr="00186394" w:rsidRDefault="00186394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87C2E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Ethics in accounting is of utmost importance to accounting professionals and those who rely on their services. Accounting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professionals know that people who use their services, especially decision makers using financial statements, expect them to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be highly competent, reliable, and objective. Those who work in the field of accounting must not only be well qualified but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must also possess a high degree of professional integrity. A professional’s good reputation is one of his or her most important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assets.</w:t>
      </w:r>
    </w:p>
    <w:p w:rsidR="00186394" w:rsidRPr="00186394" w:rsidRDefault="00186394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87C2E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There is a very fine line between acceptable accounting practice and management’s deliberate misrepresentation in the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financial statements. The financial statements must meet the following criteria:</w:t>
      </w:r>
    </w:p>
    <w:p w:rsidR="00186394" w:rsidRPr="00186394" w:rsidRDefault="00186394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87C2E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(i) Technical compliance: A transaction must be recorded in accordance with generally accepted accounting principles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(GAAP).</w:t>
      </w:r>
    </w:p>
    <w:p w:rsidR="00186394" w:rsidRPr="00186394" w:rsidRDefault="00186394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87C2E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(ii) Economic substance: The resulting financial statements must represent the economic substance of the event that has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occurred.</w:t>
      </w:r>
    </w:p>
    <w:p w:rsidR="00186394" w:rsidRPr="00186394" w:rsidRDefault="00186394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87C2E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(iii) Full disclosure and transparency: Sufficient disclosure must be made so that the effects of transactions are transparent to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the reader of the financial statements.</w:t>
      </w:r>
    </w:p>
    <w:p w:rsidR="00186394" w:rsidRPr="00186394" w:rsidRDefault="00186394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87C2E" w:rsidRPr="00186394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In the case of River, it could be argued that the first criterion may be met because the transaction is apparently recorded in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technical compliance with FRS, but technical compliance alone is not sufficient. The second criterion is not met because the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transaction as recorded does not reflect the economic substance of the event that has occurred.</w:t>
      </w:r>
    </w:p>
    <w:p w:rsidR="00F87C2E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Accounting plays a critical function in society. Accounting numbers affect human behaviour especially when it affects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compensation, and to deliberately mask the nature of accounting transactions could be deemed to be unethical behaviour.</w:t>
      </w:r>
    </w:p>
    <w:p w:rsidR="00186394" w:rsidRPr="00186394" w:rsidRDefault="00186394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F87C2E" w:rsidRPr="00186394" w:rsidRDefault="00F87C2E" w:rsidP="00F87C2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River was set up with the express purpose of keeping its activi</w:t>
      </w:r>
      <w:r w:rsidR="00186394">
        <w:rPr>
          <w:rFonts w:ascii="Times New Roman" w:hAnsi="Times New Roman" w:cs="Times New Roman"/>
          <w:sz w:val="24"/>
          <w:szCs w:val="24"/>
        </w:rPr>
        <w:t xml:space="preserve">ties off the balance sheet. The </w:t>
      </w:r>
      <w:r w:rsidRPr="00186394">
        <w:rPr>
          <w:rFonts w:ascii="Times New Roman" w:hAnsi="Times New Roman" w:cs="Times New Roman"/>
          <w:sz w:val="24"/>
          <w:szCs w:val="24"/>
        </w:rPr>
        <w:t>Finance Director has an ethical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responsibility to the shareholders of Zambeze and society not to mask the true nature of the transactions with this entity.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Further, if the transaction has been authorised by the Finance Director without the authority or knowledge of the Board of</w:t>
      </w:r>
    </w:p>
    <w:p w:rsidR="00497618" w:rsidRPr="00186394" w:rsidRDefault="00F87C2E" w:rsidP="0018639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86394">
        <w:rPr>
          <w:rFonts w:ascii="Times New Roman" w:hAnsi="Times New Roman" w:cs="Times New Roman"/>
          <w:sz w:val="24"/>
          <w:szCs w:val="24"/>
        </w:rPr>
        <w:t>Directors, then a further ethical issue arises. Showing the transfer of funds as a dividend paid is unethical and possibly illegal</w:t>
      </w:r>
      <w:r w:rsidR="00186394">
        <w:rPr>
          <w:rFonts w:ascii="Times New Roman" w:hAnsi="Times New Roman" w:cs="Times New Roman"/>
          <w:sz w:val="24"/>
          <w:szCs w:val="24"/>
        </w:rPr>
        <w:t xml:space="preserve"> </w:t>
      </w:r>
      <w:r w:rsidRPr="00186394">
        <w:rPr>
          <w:rFonts w:ascii="Times New Roman" w:hAnsi="Times New Roman" w:cs="Times New Roman"/>
          <w:sz w:val="24"/>
          <w:szCs w:val="24"/>
        </w:rPr>
        <w:t>in the jurisdiction. The transfer should not be hidden and River should be consolidated.</w:t>
      </w:r>
    </w:p>
    <w:sectPr w:rsidR="00497618" w:rsidRPr="00186394" w:rsidSect="00D821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F87C2E"/>
    <w:rsid w:val="00186394"/>
    <w:rsid w:val="00A1378D"/>
    <w:rsid w:val="00AF1104"/>
    <w:rsid w:val="00D821D8"/>
    <w:rsid w:val="00F87C2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821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639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350</Words>
  <Characters>1998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2</cp:revision>
  <dcterms:created xsi:type="dcterms:W3CDTF">2015-03-03T11:42:00Z</dcterms:created>
  <dcterms:modified xsi:type="dcterms:W3CDTF">2015-03-04T10:53:00Z</dcterms:modified>
</cp:coreProperties>
</file>