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57E28" w14:textId="77777777" w:rsidR="00392297" w:rsidRDefault="00392297" w:rsidP="00392297">
      <w:pPr>
        <w:spacing w:line="360" w:lineRule="auto"/>
        <w:ind w:left="4320" w:hanging="2880"/>
        <w:rPr>
          <w:rFonts w:ascii="Arial" w:hAnsi="Arial" w:cs="Arial"/>
          <w:b/>
          <w:bCs/>
          <w:color w:val="000000" w:themeColor="text1"/>
        </w:rPr>
      </w:pPr>
      <w:r>
        <w:rPr>
          <w:rFonts w:ascii="Arial" w:hAnsi="Arial" w:cs="Arial"/>
          <w:b/>
          <w:noProof/>
          <w:color w:val="000000" w:themeColor="text1"/>
          <w:lang w:val="en-GB" w:eastAsia="en-GB"/>
        </w:rPr>
        <w:drawing>
          <wp:inline distT="0" distB="0" distL="0" distR="0" wp14:anchorId="58BEAE79" wp14:editId="26383326">
            <wp:extent cx="4143375" cy="1933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14:paraId="3DA599A6" w14:textId="77777777" w:rsidR="00392297" w:rsidRDefault="00392297" w:rsidP="00392297">
      <w:pPr>
        <w:spacing w:line="360" w:lineRule="auto"/>
        <w:ind w:left="4320" w:hanging="2880"/>
        <w:rPr>
          <w:rFonts w:ascii="Arial" w:hAnsi="Arial" w:cs="Arial"/>
          <w:b/>
          <w:bCs/>
          <w:color w:val="000000" w:themeColor="text1"/>
        </w:rPr>
      </w:pPr>
    </w:p>
    <w:p w14:paraId="15045C56" w14:textId="77777777" w:rsidR="00392297" w:rsidRDefault="00392297" w:rsidP="00392297">
      <w:pPr>
        <w:spacing w:line="360" w:lineRule="auto"/>
        <w:ind w:left="4320" w:hanging="2880"/>
        <w:rPr>
          <w:rFonts w:ascii="Arial" w:hAnsi="Arial" w:cs="Arial"/>
          <w:b/>
          <w:bCs/>
          <w:color w:val="000000" w:themeColor="text1"/>
        </w:rPr>
      </w:pPr>
      <w:r>
        <w:rPr>
          <w:rFonts w:ascii="Arial" w:hAnsi="Arial" w:cs="Arial"/>
          <w:b/>
          <w:bCs/>
          <w:color w:val="000000" w:themeColor="text1"/>
        </w:rPr>
        <w:t xml:space="preserve">Assignment Title: </w:t>
      </w:r>
      <w:r>
        <w:rPr>
          <w:rFonts w:ascii="Arial" w:hAnsi="Arial" w:cs="Arial"/>
          <w:b/>
          <w:bCs/>
          <w:color w:val="000000" w:themeColor="text1"/>
        </w:rPr>
        <w:tab/>
      </w:r>
      <w:r w:rsidRPr="00392297">
        <w:rPr>
          <w:rFonts w:ascii="Arial" w:hAnsi="Arial" w:cs="Arial"/>
          <w:b/>
          <w:bCs/>
          <w:color w:val="000000" w:themeColor="text1"/>
        </w:rPr>
        <w:t>Reform of Homicide</w:t>
      </w:r>
    </w:p>
    <w:p w14:paraId="6356F95A" w14:textId="77777777" w:rsidR="00392297" w:rsidRDefault="00392297" w:rsidP="00392297">
      <w:pPr>
        <w:spacing w:line="360" w:lineRule="auto"/>
        <w:ind w:left="4320" w:hanging="2880"/>
        <w:rPr>
          <w:rFonts w:ascii="Arial" w:hAnsi="Arial" w:cs="Arial"/>
          <w:color w:val="000000" w:themeColor="text1"/>
        </w:rPr>
      </w:pPr>
      <w:r>
        <w:rPr>
          <w:rFonts w:ascii="Arial" w:hAnsi="Arial" w:cs="Arial"/>
          <w:b/>
          <w:bCs/>
          <w:color w:val="000000" w:themeColor="text1"/>
        </w:rPr>
        <w:t xml:space="preserve">Module Name: </w:t>
      </w:r>
      <w:r>
        <w:rPr>
          <w:rFonts w:ascii="Arial" w:hAnsi="Arial" w:cs="Arial"/>
          <w:b/>
          <w:bCs/>
          <w:color w:val="000000" w:themeColor="text1"/>
        </w:rPr>
        <w:tab/>
        <w:t>Criminal Law</w:t>
      </w:r>
    </w:p>
    <w:p w14:paraId="1AA8CEAF" w14:textId="77777777" w:rsidR="00392297" w:rsidRDefault="00392297" w:rsidP="00392297">
      <w:pPr>
        <w:spacing w:line="360" w:lineRule="auto"/>
        <w:ind w:left="1440"/>
        <w:rPr>
          <w:rFonts w:ascii="Arial" w:hAnsi="Arial" w:cs="Arial"/>
          <w:color w:val="000000" w:themeColor="text1"/>
        </w:rPr>
      </w:pPr>
      <w:r>
        <w:rPr>
          <w:rFonts w:ascii="Arial" w:hAnsi="Arial" w:cs="Arial"/>
          <w:b/>
          <w:bCs/>
          <w:color w:val="000000" w:themeColor="text1"/>
        </w:rPr>
        <w:t>Module Code:</w:t>
      </w:r>
      <w:r>
        <w:rPr>
          <w:rFonts w:ascii="Arial" w:hAnsi="Arial" w:cs="Arial"/>
          <w:b/>
          <w:bCs/>
          <w:color w:val="000000" w:themeColor="text1"/>
        </w:rPr>
        <w:tab/>
      </w:r>
      <w:r>
        <w:rPr>
          <w:rFonts w:ascii="Arial" w:hAnsi="Arial" w:cs="Arial"/>
          <w:b/>
          <w:bCs/>
          <w:color w:val="000000" w:themeColor="text1"/>
        </w:rPr>
        <w:tab/>
      </w:r>
      <w:r>
        <w:rPr>
          <w:rFonts w:ascii="Arial" w:eastAsia="Arial" w:hAnsi="Arial" w:cs="Arial"/>
          <w:b/>
          <w:sz w:val="22"/>
        </w:rPr>
        <w:t>BMPL4009</w:t>
      </w:r>
    </w:p>
    <w:p w14:paraId="590DD302" w14:textId="77777777" w:rsidR="00392297" w:rsidRDefault="00392297" w:rsidP="00392297">
      <w:pPr>
        <w:spacing w:line="360" w:lineRule="auto"/>
        <w:ind w:left="4320" w:hanging="2880"/>
        <w:rPr>
          <w:rFonts w:ascii="Arial" w:hAnsi="Arial" w:cs="Arial"/>
          <w:color w:val="000000" w:themeColor="text1"/>
        </w:rPr>
      </w:pPr>
      <w:r>
        <w:rPr>
          <w:rFonts w:ascii="Arial" w:hAnsi="Arial" w:cs="Arial"/>
          <w:b/>
          <w:bCs/>
          <w:color w:val="000000" w:themeColor="text1"/>
        </w:rPr>
        <w:t>Program of Study:</w:t>
      </w:r>
      <w:r>
        <w:rPr>
          <w:rFonts w:ascii="Arial" w:hAnsi="Arial" w:cs="Arial"/>
          <w:b/>
          <w:bCs/>
          <w:color w:val="000000" w:themeColor="text1"/>
        </w:rPr>
        <w:tab/>
        <w:t xml:space="preserve">Law Portfolio  </w:t>
      </w:r>
    </w:p>
    <w:p w14:paraId="0264DFDA" w14:textId="77777777" w:rsidR="00392297" w:rsidRDefault="00392297" w:rsidP="00392297">
      <w:pPr>
        <w:spacing w:line="360" w:lineRule="auto"/>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t>Ali Fayyaz</w:t>
      </w:r>
    </w:p>
    <w:p w14:paraId="72EC65CA" w14:textId="77777777" w:rsidR="00392297" w:rsidRDefault="00392297" w:rsidP="00392297">
      <w:pPr>
        <w:spacing w:line="360" w:lineRule="auto"/>
        <w:ind w:left="1440"/>
        <w:rPr>
          <w:rFonts w:ascii="Arial" w:hAnsi="Arial" w:cs="Arial"/>
          <w:color w:val="000000" w:themeColor="text1"/>
        </w:rPr>
      </w:pPr>
      <w:r>
        <w:rPr>
          <w:rFonts w:ascii="Arial" w:hAnsi="Arial" w:cs="Arial"/>
          <w:b/>
          <w:bCs/>
          <w:color w:val="000000" w:themeColor="text1"/>
        </w:rPr>
        <w:t xml:space="preserve">Student ID #: </w:t>
      </w:r>
      <w:r>
        <w:rPr>
          <w:rFonts w:ascii="Arial" w:hAnsi="Arial" w:cs="Arial"/>
          <w:b/>
          <w:bCs/>
          <w:color w:val="000000" w:themeColor="text1"/>
        </w:rPr>
        <w:tab/>
      </w:r>
      <w:r>
        <w:rPr>
          <w:rFonts w:ascii="Arial" w:hAnsi="Arial" w:cs="Arial"/>
          <w:b/>
          <w:bCs/>
          <w:color w:val="000000" w:themeColor="text1"/>
        </w:rPr>
        <w:tab/>
      </w:r>
      <w:r w:rsidR="002214D0">
        <w:rPr>
          <w:rFonts w:ascii="Arial" w:hAnsi="Arial" w:cs="Arial"/>
          <w:b/>
          <w:bCs/>
          <w:color w:val="000000" w:themeColor="text1"/>
          <w:kern w:val="0"/>
          <w14:ligatures w14:val="none"/>
        </w:rPr>
        <w:t>2243570</w:t>
      </w:r>
      <w:r>
        <w:rPr>
          <w:rFonts w:ascii="Arial" w:hAnsi="Arial" w:cs="Arial"/>
          <w:b/>
          <w:bCs/>
          <w:color w:val="000000" w:themeColor="text1"/>
        </w:rPr>
        <w:tab/>
      </w:r>
    </w:p>
    <w:p w14:paraId="7209EE0B" w14:textId="77777777" w:rsidR="00392297" w:rsidRDefault="00392297" w:rsidP="00392297">
      <w:pPr>
        <w:ind w:left="720" w:firstLine="720"/>
        <w:rPr>
          <w:rFonts w:ascii="Arial" w:hAnsi="Arial" w:cs="Arial"/>
          <w:b/>
          <w:bCs/>
          <w:color w:val="000000" w:themeColor="text1"/>
        </w:rPr>
      </w:pPr>
      <w:r>
        <w:rPr>
          <w:rFonts w:ascii="Arial" w:hAnsi="Arial" w:cs="Arial"/>
          <w:b/>
          <w:bCs/>
          <w:color w:val="000000" w:themeColor="text1"/>
        </w:rPr>
        <w:t xml:space="preserve">Lecturer Name: </w:t>
      </w:r>
      <w:r>
        <w:rPr>
          <w:rFonts w:ascii="Arial" w:hAnsi="Arial" w:cs="Arial"/>
          <w:b/>
          <w:bCs/>
          <w:color w:val="000000" w:themeColor="text1"/>
        </w:rPr>
        <w:tab/>
      </w:r>
      <w:r>
        <w:rPr>
          <w:rFonts w:ascii="Arial" w:hAnsi="Arial" w:cs="Arial"/>
          <w:b/>
          <w:bCs/>
          <w:color w:val="000000" w:themeColor="text1"/>
        </w:rPr>
        <w:tab/>
        <w:t>Ms. Zita Draper</w:t>
      </w:r>
    </w:p>
    <w:p w14:paraId="01FE0FEA" w14:textId="77777777" w:rsidR="00392297" w:rsidRDefault="00392297">
      <w:pPr>
        <w:pStyle w:val="TOCHeading"/>
        <w:rPr>
          <w:rFonts w:asciiTheme="minorHAnsi" w:eastAsiaTheme="minorHAnsi" w:hAnsiTheme="minorHAnsi" w:cstheme="minorBidi"/>
          <w:color w:val="auto"/>
          <w:kern w:val="2"/>
          <w:sz w:val="24"/>
          <w:szCs w:val="22"/>
          <w14:ligatures w14:val="standardContextual"/>
        </w:rPr>
      </w:pPr>
    </w:p>
    <w:p w14:paraId="0AB5377D" w14:textId="77777777" w:rsidR="00392297" w:rsidRDefault="00392297">
      <w:pPr>
        <w:pStyle w:val="TOCHeading"/>
        <w:rPr>
          <w:rFonts w:asciiTheme="minorHAnsi" w:eastAsiaTheme="minorHAnsi" w:hAnsiTheme="minorHAnsi" w:cstheme="minorBidi"/>
          <w:color w:val="auto"/>
          <w:kern w:val="2"/>
          <w:sz w:val="24"/>
          <w:szCs w:val="22"/>
          <w14:ligatures w14:val="standardContextual"/>
        </w:rPr>
      </w:pPr>
    </w:p>
    <w:p w14:paraId="651E61B8" w14:textId="77777777" w:rsidR="00392297" w:rsidRDefault="00392297" w:rsidP="00392297"/>
    <w:p w14:paraId="5997C03A" w14:textId="77777777" w:rsidR="00392297" w:rsidRDefault="00392297" w:rsidP="00392297"/>
    <w:p w14:paraId="2DB64D4F" w14:textId="77777777" w:rsidR="00392297" w:rsidRDefault="00392297" w:rsidP="00392297"/>
    <w:p w14:paraId="45C09A2E" w14:textId="77777777" w:rsidR="00392297" w:rsidRDefault="00392297" w:rsidP="00392297"/>
    <w:p w14:paraId="08E79F52" w14:textId="77777777" w:rsidR="00392297" w:rsidRDefault="00392297" w:rsidP="00392297"/>
    <w:p w14:paraId="38D7C0A4" w14:textId="77777777" w:rsidR="00392297" w:rsidRDefault="00392297" w:rsidP="00392297"/>
    <w:p w14:paraId="4ABAAA50" w14:textId="07F8A2DD" w:rsidR="00493673" w:rsidRDefault="00493673" w:rsidP="000F7566">
      <w:pPr>
        <w:pStyle w:val="TOCHeading"/>
      </w:pPr>
    </w:p>
    <w:p w14:paraId="7624A51D" w14:textId="77777777" w:rsidR="00224058" w:rsidRDefault="00224058">
      <w:pPr>
        <w:rPr>
          <w:rFonts w:asciiTheme="majorHAnsi" w:eastAsiaTheme="majorEastAsia" w:hAnsiTheme="majorHAnsi" w:cstheme="majorBidi"/>
          <w:spacing w:val="-10"/>
          <w:kern w:val="28"/>
          <w:sz w:val="56"/>
          <w:szCs w:val="56"/>
        </w:rPr>
      </w:pPr>
      <w:r>
        <w:br w:type="page"/>
      </w:r>
    </w:p>
    <w:p w14:paraId="76DF40E5" w14:textId="77777777" w:rsidR="00224058" w:rsidRPr="00F00E5A" w:rsidRDefault="00224058" w:rsidP="00392297">
      <w:pPr>
        <w:pStyle w:val="Title"/>
        <w:spacing w:line="360" w:lineRule="auto"/>
        <w:jc w:val="both"/>
        <w:rPr>
          <w:rFonts w:ascii="Arial" w:hAnsi="Arial" w:cs="Arial"/>
          <w:b/>
          <w:sz w:val="24"/>
          <w:szCs w:val="24"/>
        </w:rPr>
      </w:pPr>
      <w:r w:rsidRPr="00F00E5A">
        <w:rPr>
          <w:rFonts w:ascii="Arial" w:hAnsi="Arial" w:cs="Arial"/>
          <w:b/>
          <w:sz w:val="24"/>
          <w:szCs w:val="24"/>
        </w:rPr>
        <w:t xml:space="preserve">Title: </w:t>
      </w:r>
    </w:p>
    <w:p w14:paraId="6DC978AA" w14:textId="77777777" w:rsidR="00592DB9" w:rsidRPr="00F00E5A" w:rsidRDefault="00224058" w:rsidP="00392297">
      <w:pPr>
        <w:pStyle w:val="Title"/>
        <w:spacing w:line="360" w:lineRule="auto"/>
        <w:ind w:firstLine="720"/>
        <w:jc w:val="both"/>
        <w:rPr>
          <w:rFonts w:ascii="Arial" w:hAnsi="Arial" w:cs="Arial"/>
          <w:b/>
          <w:sz w:val="24"/>
          <w:szCs w:val="24"/>
        </w:rPr>
      </w:pPr>
      <w:r w:rsidRPr="00F00E5A">
        <w:rPr>
          <w:rFonts w:ascii="Arial" w:hAnsi="Arial" w:cs="Arial"/>
          <w:b/>
          <w:sz w:val="24"/>
          <w:szCs w:val="24"/>
        </w:rPr>
        <w:t xml:space="preserve">The Need for Reform </w:t>
      </w:r>
      <w:r w:rsidR="00493673" w:rsidRPr="00F00E5A">
        <w:rPr>
          <w:rFonts w:ascii="Arial" w:hAnsi="Arial" w:cs="Arial"/>
          <w:b/>
          <w:sz w:val="24"/>
          <w:szCs w:val="24"/>
        </w:rPr>
        <w:t>of</w:t>
      </w:r>
      <w:r w:rsidRPr="00F00E5A">
        <w:rPr>
          <w:rFonts w:ascii="Arial" w:hAnsi="Arial" w:cs="Arial"/>
          <w:b/>
          <w:sz w:val="24"/>
          <w:szCs w:val="24"/>
        </w:rPr>
        <w:t xml:space="preserve"> the Law Governing Homicide in England and Wales</w:t>
      </w:r>
    </w:p>
    <w:p w14:paraId="65270C1D" w14:textId="77777777" w:rsidR="00224058" w:rsidRPr="00F00E5A" w:rsidRDefault="00224058" w:rsidP="00F00E5A">
      <w:pPr>
        <w:rPr>
          <w:rFonts w:ascii="Arial" w:hAnsi="Arial" w:cs="Arial"/>
          <w:b/>
        </w:rPr>
      </w:pPr>
      <w:bookmarkStart w:id="0" w:name="_Toc138893388"/>
      <w:bookmarkStart w:id="1" w:name="_Toc138880763"/>
      <w:r w:rsidRPr="00F00E5A">
        <w:rPr>
          <w:rFonts w:ascii="Arial" w:hAnsi="Arial" w:cs="Arial"/>
          <w:b/>
        </w:rPr>
        <w:t>Introduction</w:t>
      </w:r>
      <w:bookmarkEnd w:id="0"/>
      <w:bookmarkEnd w:id="1"/>
    </w:p>
    <w:p w14:paraId="2608A634" w14:textId="77777777" w:rsidR="00224058" w:rsidRPr="00392297" w:rsidRDefault="00224058" w:rsidP="00392297">
      <w:pPr>
        <w:spacing w:line="360" w:lineRule="auto"/>
        <w:jc w:val="both"/>
        <w:rPr>
          <w:rFonts w:ascii="Arial" w:hAnsi="Arial" w:cs="Arial"/>
          <w:szCs w:val="24"/>
        </w:rPr>
      </w:pPr>
      <w:r w:rsidRPr="00392297">
        <w:rPr>
          <w:rFonts w:ascii="Arial" w:hAnsi="Arial" w:cs="Arial"/>
          <w:szCs w:val="24"/>
        </w:rPr>
        <w:t xml:space="preserve">Homicide legislation in England and Wales has been the focus of discussion and criticism, with calls for revision reverberating for many years. There have been several suggestions and bills put forward calling for reform in the law of homicide and other related acts. But due to several unfortunate reasons, there’s still void and many loopholes in the current law that couldn’t be revised or reformed despite all the efforts. </w:t>
      </w:r>
    </w:p>
    <w:p w14:paraId="34DCE16C" w14:textId="77777777" w:rsidR="00224058" w:rsidRPr="00392297" w:rsidRDefault="00224058" w:rsidP="00392297">
      <w:pPr>
        <w:spacing w:line="360" w:lineRule="auto"/>
        <w:jc w:val="both"/>
        <w:rPr>
          <w:rFonts w:ascii="Arial" w:hAnsi="Arial" w:cs="Arial"/>
          <w:szCs w:val="24"/>
        </w:rPr>
      </w:pPr>
      <w:r w:rsidRPr="00392297">
        <w:rPr>
          <w:rFonts w:ascii="Arial" w:hAnsi="Arial" w:cs="Arial"/>
          <w:szCs w:val="24"/>
        </w:rPr>
        <w:t>This essay examines the current status of the law and notes significant problems with partial defenses to murder, disagreements over what constitutes murder, and the scope of manslaughter. It also looks at reform ideas put forth by the Law Commission and other organizations. The essay also examines whether the government approved or rejected these suggestions, challenging the propriety of their choices. In order to give a fair evaluation of the necessity for reform, the reasons opposing it will then be taken into account.</w:t>
      </w:r>
    </w:p>
    <w:p w14:paraId="18C0BF7C" w14:textId="77777777" w:rsidR="00224058" w:rsidRPr="00F00E5A" w:rsidRDefault="00224058" w:rsidP="00F00E5A">
      <w:pPr>
        <w:rPr>
          <w:rFonts w:ascii="Arial" w:hAnsi="Arial" w:cs="Arial"/>
          <w:b/>
        </w:rPr>
      </w:pPr>
      <w:bookmarkStart w:id="2" w:name="_Toc138893389"/>
      <w:bookmarkStart w:id="3" w:name="_Toc138880764"/>
      <w:r w:rsidRPr="00F00E5A">
        <w:rPr>
          <w:rFonts w:ascii="Arial" w:hAnsi="Arial" w:cs="Arial"/>
          <w:b/>
        </w:rPr>
        <w:t>Current Law Governing Homicide in England and Wales</w:t>
      </w:r>
      <w:bookmarkEnd w:id="2"/>
      <w:bookmarkEnd w:id="3"/>
    </w:p>
    <w:p w14:paraId="357EA3F5" w14:textId="7DB20F1A" w:rsidR="00224058" w:rsidRPr="00392297" w:rsidRDefault="00224058" w:rsidP="00392297">
      <w:pPr>
        <w:spacing w:line="360" w:lineRule="auto"/>
        <w:jc w:val="both"/>
        <w:rPr>
          <w:rFonts w:ascii="Arial" w:hAnsi="Arial" w:cs="Arial"/>
          <w:szCs w:val="24"/>
        </w:rPr>
      </w:pPr>
      <w:r w:rsidRPr="00392297">
        <w:rPr>
          <w:rFonts w:ascii="Arial" w:hAnsi="Arial" w:cs="Arial"/>
          <w:szCs w:val="24"/>
        </w:rPr>
        <w:t xml:space="preserve">The law governing homicide in England and Wales is primarily governed by the common law and the Homicide Act 1957 </w:t>
      </w:r>
      <w:r w:rsidR="00F00E5A" w:rsidRPr="001B3923">
        <w:rPr>
          <w:rFonts w:ascii="Arial" w:hAnsi="Arial" w:cs="Arial"/>
          <w:noProof/>
          <w:szCs w:val="24"/>
        </w:rPr>
        <w:t>(Legislation.gov.uk, 1957)</w:t>
      </w:r>
      <w:r w:rsidRPr="00392297">
        <w:rPr>
          <w:rFonts w:ascii="Arial" w:hAnsi="Arial" w:cs="Arial"/>
          <w:szCs w:val="24"/>
        </w:rPr>
        <w:t xml:space="preserve">. Murder, the most serious form of homicide, </w:t>
      </w:r>
      <w:r w:rsidR="0030112B" w:rsidRPr="0030112B">
        <w:rPr>
          <w:rFonts w:ascii="Arial" w:hAnsi="Arial" w:cs="Arial"/>
          <w:szCs w:val="24"/>
        </w:rPr>
        <w:t>is described as the intentional killing of a person without their consent with the purpose to kill or seriously hurt them. On the other side, manslaughter includes unlawful killings committed without the purpose to cause significant injury or death, which are further divided into volunta</w:t>
      </w:r>
      <w:r w:rsidR="0030112B">
        <w:rPr>
          <w:rFonts w:ascii="Arial" w:hAnsi="Arial" w:cs="Arial"/>
          <w:szCs w:val="24"/>
        </w:rPr>
        <w:t>ry and involuntary manslaughter</w:t>
      </w:r>
      <w:r w:rsidRPr="00392297">
        <w:rPr>
          <w:rFonts w:ascii="Arial" w:hAnsi="Arial" w:cs="Arial"/>
          <w:szCs w:val="24"/>
        </w:rPr>
        <w:t>.</w:t>
      </w:r>
    </w:p>
    <w:p w14:paraId="5664B26A" w14:textId="77777777" w:rsidR="00224058" w:rsidRPr="00392297" w:rsidRDefault="00224058" w:rsidP="00392297">
      <w:pPr>
        <w:spacing w:line="360" w:lineRule="auto"/>
        <w:jc w:val="both"/>
        <w:rPr>
          <w:rFonts w:ascii="Arial" w:hAnsi="Arial" w:cs="Arial"/>
          <w:szCs w:val="24"/>
        </w:rPr>
      </w:pPr>
      <w:r w:rsidRPr="00392297">
        <w:rPr>
          <w:rFonts w:ascii="Arial" w:hAnsi="Arial" w:cs="Arial"/>
          <w:szCs w:val="24"/>
        </w:rPr>
        <w:t>Homicide, which is defined as the act of intentionally causing the death of another person, can be divided into two basic categories: manslaughter and murder.</w:t>
      </w:r>
    </w:p>
    <w:p w14:paraId="701D6020" w14:textId="08D97135" w:rsidR="00224058" w:rsidRPr="00392297" w:rsidRDefault="00224058" w:rsidP="00392297">
      <w:pPr>
        <w:spacing w:line="360" w:lineRule="auto"/>
        <w:jc w:val="both"/>
        <w:rPr>
          <w:rFonts w:ascii="Arial" w:hAnsi="Arial" w:cs="Arial"/>
          <w:szCs w:val="24"/>
        </w:rPr>
      </w:pPr>
      <w:r w:rsidRPr="00392297">
        <w:rPr>
          <w:rFonts w:ascii="Arial" w:hAnsi="Arial" w:cs="Arial"/>
          <w:szCs w:val="24"/>
        </w:rPr>
        <w:t xml:space="preserve">The most serious type of homicide, known as murder, is when someone is intentionally killed with the aim to kill them or </w:t>
      </w:r>
      <w:r w:rsidR="00493673">
        <w:rPr>
          <w:rFonts w:ascii="Arial" w:hAnsi="Arial" w:cs="Arial"/>
          <w:szCs w:val="24"/>
        </w:rPr>
        <w:t>do serious injury to them. The Actus R</w:t>
      </w:r>
      <w:r w:rsidRPr="00392297">
        <w:rPr>
          <w:rFonts w:ascii="Arial" w:hAnsi="Arial" w:cs="Arial"/>
          <w:szCs w:val="24"/>
        </w:rPr>
        <w:t xml:space="preserve">eus (the criminal act of killing) and </w:t>
      </w:r>
      <w:proofErr w:type="spellStart"/>
      <w:r w:rsidR="00F00E5A" w:rsidRPr="00392297">
        <w:rPr>
          <w:rFonts w:ascii="Arial" w:hAnsi="Arial" w:cs="Arial"/>
          <w:szCs w:val="24"/>
        </w:rPr>
        <w:t>Mens</w:t>
      </w:r>
      <w:proofErr w:type="spellEnd"/>
      <w:r w:rsidR="00F00E5A" w:rsidRPr="00392297">
        <w:rPr>
          <w:rFonts w:ascii="Arial" w:hAnsi="Arial" w:cs="Arial"/>
          <w:szCs w:val="24"/>
        </w:rPr>
        <w:t xml:space="preserve"> Rea </w:t>
      </w:r>
      <w:r w:rsidRPr="00392297">
        <w:rPr>
          <w:rFonts w:ascii="Arial" w:hAnsi="Arial" w:cs="Arial"/>
          <w:szCs w:val="24"/>
        </w:rPr>
        <w:t xml:space="preserve">(the </w:t>
      </w:r>
      <w:r w:rsidR="0030112B" w:rsidRPr="00392297">
        <w:rPr>
          <w:rFonts w:ascii="Arial" w:hAnsi="Arial" w:cs="Arial"/>
          <w:szCs w:val="24"/>
        </w:rPr>
        <w:t>purpose</w:t>
      </w:r>
      <w:r w:rsidRPr="00392297">
        <w:rPr>
          <w:rFonts w:ascii="Arial" w:hAnsi="Arial" w:cs="Arial"/>
          <w:szCs w:val="24"/>
        </w:rPr>
        <w:t xml:space="preserve"> to cause death or great bodily harm) are the essential components of murder.</w:t>
      </w:r>
    </w:p>
    <w:p w14:paraId="31FDA0BD" w14:textId="77777777" w:rsidR="00224058" w:rsidRPr="00392297" w:rsidRDefault="00224058" w:rsidP="00392297">
      <w:pPr>
        <w:spacing w:line="360" w:lineRule="auto"/>
        <w:jc w:val="both"/>
        <w:rPr>
          <w:rFonts w:ascii="Arial" w:hAnsi="Arial" w:cs="Arial"/>
          <w:szCs w:val="24"/>
        </w:rPr>
      </w:pPr>
      <w:r w:rsidRPr="00392297">
        <w:rPr>
          <w:rFonts w:ascii="Arial" w:hAnsi="Arial" w:cs="Arial"/>
          <w:szCs w:val="24"/>
        </w:rPr>
        <w:t>Manslaughter, on the other hand, encompasses unlawful killings without the intention to cause death or serious harm. It is further divided into voluntary and involuntary manslaughter.</w:t>
      </w:r>
    </w:p>
    <w:p w14:paraId="6A0C48E6" w14:textId="77777777" w:rsidR="00224058" w:rsidRPr="00392297" w:rsidRDefault="00224058" w:rsidP="00392297">
      <w:pPr>
        <w:spacing w:line="360" w:lineRule="auto"/>
        <w:jc w:val="both"/>
        <w:rPr>
          <w:rFonts w:ascii="Arial" w:hAnsi="Arial" w:cs="Arial"/>
          <w:szCs w:val="24"/>
        </w:rPr>
      </w:pPr>
      <w:r w:rsidRPr="00392297">
        <w:rPr>
          <w:rFonts w:ascii="Arial" w:hAnsi="Arial" w:cs="Arial"/>
          <w:szCs w:val="24"/>
        </w:rPr>
        <w:t xml:space="preserve">Voluntary manslaughter occurs when the defendant unlawfully </w:t>
      </w:r>
      <w:r w:rsidR="0030112B" w:rsidRPr="0030112B">
        <w:rPr>
          <w:rFonts w:ascii="Arial" w:hAnsi="Arial" w:cs="Arial"/>
          <w:szCs w:val="24"/>
        </w:rPr>
        <w:t>murders someone else, yet there are mitigating factors that turn the allegation of murder into manslaughter</w:t>
      </w:r>
      <w:r w:rsidRPr="00392297">
        <w:rPr>
          <w:rFonts w:ascii="Arial" w:hAnsi="Arial" w:cs="Arial"/>
          <w:szCs w:val="24"/>
        </w:rPr>
        <w:t>.</w:t>
      </w:r>
    </w:p>
    <w:p w14:paraId="7455A260" w14:textId="77777777" w:rsidR="00224058" w:rsidRPr="00F00E5A" w:rsidRDefault="00224058" w:rsidP="00F00E5A">
      <w:pPr>
        <w:spacing w:line="360" w:lineRule="auto"/>
        <w:rPr>
          <w:rFonts w:ascii="Arial" w:hAnsi="Arial" w:cs="Arial"/>
          <w:b/>
        </w:rPr>
      </w:pPr>
      <w:bookmarkStart w:id="4" w:name="_Toc138893390"/>
      <w:bookmarkStart w:id="5" w:name="_Toc138880765"/>
      <w:r w:rsidRPr="00F00E5A">
        <w:rPr>
          <w:rFonts w:ascii="Arial" w:hAnsi="Arial" w:cs="Arial"/>
          <w:b/>
        </w:rPr>
        <w:t>Key Issues in the Law Governing Homicide</w:t>
      </w:r>
      <w:bookmarkEnd w:id="4"/>
      <w:bookmarkEnd w:id="5"/>
    </w:p>
    <w:p w14:paraId="144342A0" w14:textId="6592A6AB" w:rsidR="00E47E59" w:rsidRPr="00392297" w:rsidRDefault="00224058" w:rsidP="00392297">
      <w:pPr>
        <w:spacing w:line="360" w:lineRule="auto"/>
        <w:jc w:val="both"/>
        <w:rPr>
          <w:rFonts w:ascii="Arial" w:hAnsi="Arial" w:cs="Arial"/>
          <w:szCs w:val="24"/>
        </w:rPr>
      </w:pPr>
      <w:r w:rsidRPr="00392297">
        <w:rPr>
          <w:rFonts w:ascii="Arial" w:hAnsi="Arial" w:cs="Arial"/>
          <w:szCs w:val="24"/>
        </w:rPr>
        <w:t xml:space="preserve">The existence of partial defenses to murder is one of the major concerns in the law governing homicide. Currently, provocation reduced accountability, and loss of control are three partial defenses. By turning murder </w:t>
      </w:r>
      <w:r w:rsidR="001B3923">
        <w:rPr>
          <w:rFonts w:ascii="Arial" w:hAnsi="Arial" w:cs="Arial"/>
          <w:szCs w:val="24"/>
        </w:rPr>
        <w:t xml:space="preserve">into </w:t>
      </w:r>
      <w:r w:rsidRPr="00392297">
        <w:rPr>
          <w:rFonts w:ascii="Arial" w:hAnsi="Arial" w:cs="Arial"/>
          <w:szCs w:val="24"/>
        </w:rPr>
        <w:t xml:space="preserve">manslaughter, these defenses result in a lighter conviction and a lighter sentence. </w:t>
      </w:r>
      <w:r w:rsidR="00E47E59" w:rsidRPr="00392297">
        <w:rPr>
          <w:rFonts w:ascii="Arial" w:hAnsi="Arial" w:cs="Arial"/>
          <w:szCs w:val="24"/>
        </w:rPr>
        <w:t>This is a major drawback of the current laws governing homicide in UK law. In almost every case, the defendant’s utmost effort is focused on diverting the conviction toward manslaughter, where they find lighter convictions and a lot of other loopholes to exploit. The three recognized partial defenses to murder that can lead to a charge of voluntary manslaughter are:</w:t>
      </w:r>
    </w:p>
    <w:p w14:paraId="735FB071" w14:textId="65E4F39F" w:rsidR="00E47E59" w:rsidRPr="00392297" w:rsidRDefault="00E47E59" w:rsidP="00392297">
      <w:pPr>
        <w:spacing w:line="360" w:lineRule="auto"/>
        <w:jc w:val="both"/>
        <w:rPr>
          <w:rFonts w:ascii="Arial" w:hAnsi="Arial" w:cs="Arial"/>
          <w:szCs w:val="24"/>
        </w:rPr>
      </w:pPr>
      <w:r w:rsidRPr="00392297">
        <w:rPr>
          <w:rFonts w:ascii="Arial" w:hAnsi="Arial" w:cs="Arial"/>
          <w:b/>
          <w:bCs/>
          <w:szCs w:val="24"/>
        </w:rPr>
        <w:t>Provocation:</w:t>
      </w:r>
      <w:r w:rsidRPr="00392297">
        <w:rPr>
          <w:rFonts w:ascii="Arial" w:hAnsi="Arial" w:cs="Arial"/>
          <w:szCs w:val="24"/>
        </w:rPr>
        <w:t xml:space="preserve"> This defense applies when the defendant's actions are a </w:t>
      </w:r>
      <w:r w:rsidR="0030112B" w:rsidRPr="00392297">
        <w:rPr>
          <w:rFonts w:ascii="Arial" w:hAnsi="Arial" w:cs="Arial"/>
          <w:szCs w:val="24"/>
        </w:rPr>
        <w:t>consequence</w:t>
      </w:r>
      <w:r w:rsidRPr="00392297">
        <w:rPr>
          <w:rFonts w:ascii="Arial" w:hAnsi="Arial" w:cs="Arial"/>
          <w:szCs w:val="24"/>
        </w:rPr>
        <w:t xml:space="preserve"> of a loss of self-control due to a sudden and temporary provocation.</w:t>
      </w:r>
      <w:r w:rsidR="001B3923">
        <w:rPr>
          <w:rFonts w:ascii="Arial" w:hAnsi="Arial" w:cs="Arial"/>
          <w:szCs w:val="24"/>
        </w:rPr>
        <w:t xml:space="preserve"> </w:t>
      </w:r>
      <w:r w:rsidR="001B3923">
        <w:rPr>
          <w:rFonts w:ascii="Arial" w:hAnsi="Arial" w:cs="Arial"/>
          <w:szCs w:val="24"/>
        </w:rPr>
        <w:br/>
        <w:t xml:space="preserve">For example in the case of </w:t>
      </w:r>
      <w:r w:rsidR="001B3923" w:rsidRPr="001B3923">
        <w:rPr>
          <w:rFonts w:ascii="Arial" w:hAnsi="Arial" w:cs="Arial"/>
          <w:szCs w:val="24"/>
        </w:rPr>
        <w:t>R v. Duffy [1949]</w:t>
      </w:r>
      <w:r w:rsidR="00F00E5A">
        <w:rPr>
          <w:rFonts w:ascii="Arial" w:hAnsi="Arial" w:cs="Arial"/>
          <w:noProof/>
          <w:szCs w:val="24"/>
        </w:rPr>
        <w:t xml:space="preserve"> </w:t>
      </w:r>
      <w:r w:rsidR="00F00E5A" w:rsidRPr="001B3923">
        <w:rPr>
          <w:rFonts w:ascii="Arial" w:hAnsi="Arial" w:cs="Arial"/>
          <w:noProof/>
          <w:szCs w:val="24"/>
        </w:rPr>
        <w:t>(Oxford University Press , 2016)</w:t>
      </w:r>
      <w:r w:rsidR="001B3923">
        <w:rPr>
          <w:rFonts w:ascii="Arial" w:hAnsi="Arial" w:cs="Arial"/>
          <w:szCs w:val="24"/>
        </w:rPr>
        <w:t xml:space="preserve">, </w:t>
      </w:r>
      <w:r w:rsidR="001B3923" w:rsidRPr="001B3923">
        <w:rPr>
          <w:rFonts w:ascii="Arial" w:hAnsi="Arial" w:cs="Arial"/>
          <w:szCs w:val="24"/>
        </w:rPr>
        <w:t>the court considered the defense of provocation and its subjective nature, raising questions about its fairness and gendered application.</w:t>
      </w:r>
    </w:p>
    <w:p w14:paraId="3900C15C" w14:textId="043D1EE5" w:rsidR="00E47E59" w:rsidRPr="00392297" w:rsidRDefault="00E47E59" w:rsidP="00392297">
      <w:pPr>
        <w:spacing w:line="360" w:lineRule="auto"/>
        <w:jc w:val="both"/>
        <w:rPr>
          <w:rFonts w:ascii="Arial" w:hAnsi="Arial" w:cs="Arial"/>
          <w:szCs w:val="24"/>
        </w:rPr>
      </w:pPr>
      <w:r w:rsidRPr="00392297">
        <w:rPr>
          <w:rFonts w:ascii="Arial" w:hAnsi="Arial" w:cs="Arial"/>
          <w:b/>
          <w:bCs/>
          <w:szCs w:val="24"/>
        </w:rPr>
        <w:t>Loss of Control:</w:t>
      </w:r>
      <w:r w:rsidRPr="00392297">
        <w:rPr>
          <w:rFonts w:ascii="Arial" w:hAnsi="Arial" w:cs="Arial"/>
          <w:szCs w:val="24"/>
        </w:rPr>
        <w:t xml:space="preserve"> Introduced by the Coroners and Justice Act 2009 </w:t>
      </w:r>
      <w:sdt>
        <w:sdtPr>
          <w:rPr>
            <w:rFonts w:ascii="Arial" w:hAnsi="Arial" w:cs="Arial"/>
            <w:szCs w:val="24"/>
          </w:rPr>
          <w:id w:val="456923992"/>
          <w:citation/>
        </w:sdtPr>
        <w:sdtEndPr/>
        <w:sdtContent>
          <w:r w:rsidRPr="00392297">
            <w:rPr>
              <w:rFonts w:ascii="Arial" w:hAnsi="Arial" w:cs="Arial"/>
              <w:szCs w:val="24"/>
            </w:rPr>
            <w:fldChar w:fldCharType="begin"/>
          </w:r>
          <w:r w:rsidRPr="00392297">
            <w:rPr>
              <w:rFonts w:ascii="Arial" w:hAnsi="Arial" w:cs="Arial"/>
              <w:szCs w:val="24"/>
            </w:rPr>
            <w:instrText xml:space="preserve"> CITATION Leg09 \l 1033 </w:instrText>
          </w:r>
          <w:r w:rsidRPr="00392297">
            <w:rPr>
              <w:rFonts w:ascii="Arial" w:hAnsi="Arial" w:cs="Arial"/>
              <w:szCs w:val="24"/>
            </w:rPr>
            <w:fldChar w:fldCharType="separate"/>
          </w:r>
          <w:r w:rsidR="001B3923" w:rsidRPr="001B3923">
            <w:rPr>
              <w:rFonts w:ascii="Arial" w:hAnsi="Arial" w:cs="Arial"/>
              <w:noProof/>
              <w:szCs w:val="24"/>
            </w:rPr>
            <w:t>(Legislation.gov.uk, 2009)</w:t>
          </w:r>
          <w:r w:rsidRPr="00392297">
            <w:rPr>
              <w:rFonts w:ascii="Arial" w:hAnsi="Arial" w:cs="Arial"/>
              <w:szCs w:val="24"/>
            </w:rPr>
            <w:fldChar w:fldCharType="end"/>
          </w:r>
        </w:sdtContent>
      </w:sdt>
      <w:r w:rsidRPr="00392297">
        <w:rPr>
          <w:rFonts w:ascii="Arial" w:hAnsi="Arial" w:cs="Arial"/>
          <w:szCs w:val="24"/>
        </w:rPr>
        <w:t>, this defense aims to address some of the shortcomings of the provocation defense.</w:t>
      </w:r>
    </w:p>
    <w:p w14:paraId="6D06A5E2" w14:textId="77777777" w:rsidR="00E47E59" w:rsidRPr="00392297" w:rsidRDefault="00E47E59" w:rsidP="00392297">
      <w:pPr>
        <w:spacing w:line="360" w:lineRule="auto"/>
        <w:jc w:val="both"/>
        <w:rPr>
          <w:rFonts w:ascii="Arial" w:hAnsi="Arial" w:cs="Arial"/>
          <w:szCs w:val="24"/>
        </w:rPr>
      </w:pPr>
      <w:r w:rsidRPr="00392297">
        <w:rPr>
          <w:rFonts w:ascii="Arial" w:hAnsi="Arial" w:cs="Arial"/>
          <w:b/>
          <w:bCs/>
          <w:szCs w:val="24"/>
        </w:rPr>
        <w:t>Diminished Responsibility:</w:t>
      </w:r>
      <w:r w:rsidRPr="00392297">
        <w:rPr>
          <w:rFonts w:ascii="Arial" w:hAnsi="Arial" w:cs="Arial"/>
          <w:szCs w:val="24"/>
        </w:rPr>
        <w:t xml:space="preserve"> This defense recognizes that the defendant's mental capacity was impaired at the time of the killing.</w:t>
      </w:r>
    </w:p>
    <w:p w14:paraId="3316C989" w14:textId="77777777" w:rsidR="00224058" w:rsidRPr="00392297" w:rsidRDefault="00224058" w:rsidP="00392297">
      <w:pPr>
        <w:spacing w:line="360" w:lineRule="auto"/>
        <w:jc w:val="both"/>
        <w:rPr>
          <w:rFonts w:ascii="Arial" w:hAnsi="Arial" w:cs="Arial"/>
          <w:szCs w:val="24"/>
        </w:rPr>
      </w:pPr>
      <w:r w:rsidRPr="00392297">
        <w:rPr>
          <w:rFonts w:ascii="Arial" w:hAnsi="Arial" w:cs="Arial"/>
          <w:szCs w:val="24"/>
        </w:rPr>
        <w:t>However, issues with the subjective and gendered character of provocation, the constrained application of decreased culpability, and the nuanced nature of the loss of control defense have been brought up.</w:t>
      </w:r>
    </w:p>
    <w:p w14:paraId="0C3E5F1F" w14:textId="77777777" w:rsidR="00224058" w:rsidRPr="00392297" w:rsidRDefault="00224058" w:rsidP="00392297">
      <w:pPr>
        <w:spacing w:line="360" w:lineRule="auto"/>
        <w:jc w:val="both"/>
        <w:rPr>
          <w:rFonts w:ascii="Arial" w:hAnsi="Arial" w:cs="Arial"/>
          <w:szCs w:val="24"/>
        </w:rPr>
      </w:pPr>
      <w:r w:rsidRPr="00392297">
        <w:rPr>
          <w:rFonts w:ascii="Arial" w:hAnsi="Arial" w:cs="Arial"/>
          <w:szCs w:val="24"/>
        </w:rPr>
        <w:t xml:space="preserve">The prerequisite for murder is another hotly debated topic. For its rigidity and lack of adaptability, the idea of transferred malice, which attributes the </w:t>
      </w:r>
      <w:r w:rsidR="0008719C" w:rsidRPr="00392297">
        <w:rPr>
          <w:rFonts w:ascii="Arial" w:hAnsi="Arial" w:cs="Arial"/>
          <w:szCs w:val="24"/>
        </w:rPr>
        <w:t>purpose</w:t>
      </w:r>
      <w:r w:rsidRPr="00392297">
        <w:rPr>
          <w:rFonts w:ascii="Arial" w:hAnsi="Arial" w:cs="Arial"/>
          <w:szCs w:val="24"/>
        </w:rPr>
        <w:t xml:space="preserve"> to kill or cause great physical </w:t>
      </w:r>
      <w:r w:rsidR="0008719C" w:rsidRPr="00392297">
        <w:rPr>
          <w:rFonts w:ascii="Arial" w:hAnsi="Arial" w:cs="Arial"/>
          <w:szCs w:val="24"/>
        </w:rPr>
        <w:t>harm</w:t>
      </w:r>
      <w:r w:rsidRPr="00392297">
        <w:rPr>
          <w:rFonts w:ascii="Arial" w:hAnsi="Arial" w:cs="Arial"/>
          <w:szCs w:val="24"/>
        </w:rPr>
        <w:t xml:space="preserve"> to one victim </w:t>
      </w:r>
      <w:r w:rsidR="00493673">
        <w:rPr>
          <w:rFonts w:ascii="Arial" w:hAnsi="Arial" w:cs="Arial"/>
          <w:szCs w:val="24"/>
        </w:rPr>
        <w:t>of</w:t>
      </w:r>
      <w:r w:rsidRPr="00392297">
        <w:rPr>
          <w:rFonts w:ascii="Arial" w:hAnsi="Arial" w:cs="Arial"/>
          <w:szCs w:val="24"/>
        </w:rPr>
        <w:t xml:space="preserve"> another, has drawn criticism. The "year and a day" rule, according to which a person cannot be found guilty of murder if the victim passes away more than a year and a day after the crime, is also regarded as being arbitrary and out of date.</w:t>
      </w:r>
    </w:p>
    <w:p w14:paraId="4FD3CD47" w14:textId="77777777" w:rsidR="00224058" w:rsidRPr="00392297" w:rsidRDefault="00224058" w:rsidP="00392297">
      <w:pPr>
        <w:spacing w:line="360" w:lineRule="auto"/>
        <w:jc w:val="both"/>
        <w:rPr>
          <w:rFonts w:ascii="Arial" w:hAnsi="Arial" w:cs="Arial"/>
          <w:szCs w:val="24"/>
        </w:rPr>
      </w:pPr>
      <w:r w:rsidRPr="00392297">
        <w:rPr>
          <w:rFonts w:ascii="Arial" w:hAnsi="Arial" w:cs="Arial"/>
          <w:szCs w:val="24"/>
        </w:rPr>
        <w:t>Manslaughter is also criticized for its expansive definition, which covers a variety of situations with differing degrees of guilt. Putting all unlawful deaths under one general heading makes it difficult to distinguish between situations where the defendant's acts were seriously negligent and those where they were less morally culpable.</w:t>
      </w:r>
      <w:r w:rsidR="00E47E59" w:rsidRPr="00392297">
        <w:rPr>
          <w:rFonts w:ascii="Arial" w:hAnsi="Arial" w:cs="Arial"/>
          <w:szCs w:val="24"/>
        </w:rPr>
        <w:t xml:space="preserve"> </w:t>
      </w:r>
    </w:p>
    <w:p w14:paraId="0B76EC4C" w14:textId="77777777" w:rsidR="00E47E59" w:rsidRPr="00F00E5A" w:rsidRDefault="00E47E59" w:rsidP="00F00E5A">
      <w:pPr>
        <w:rPr>
          <w:b/>
        </w:rPr>
      </w:pPr>
      <w:bookmarkStart w:id="6" w:name="_Toc138893391"/>
      <w:bookmarkStart w:id="7" w:name="_Toc138880766"/>
      <w:r w:rsidRPr="00F00E5A">
        <w:rPr>
          <w:b/>
        </w:rPr>
        <w:t>Proposals for Reform</w:t>
      </w:r>
      <w:bookmarkEnd w:id="6"/>
      <w:bookmarkEnd w:id="7"/>
    </w:p>
    <w:p w14:paraId="6C53C85E" w14:textId="610E8E0C" w:rsidR="00E47E59" w:rsidRPr="00392297" w:rsidRDefault="00E47E59" w:rsidP="00392297">
      <w:pPr>
        <w:spacing w:line="360" w:lineRule="auto"/>
        <w:jc w:val="both"/>
        <w:rPr>
          <w:rFonts w:ascii="Arial" w:hAnsi="Arial" w:cs="Arial"/>
          <w:szCs w:val="24"/>
        </w:rPr>
      </w:pPr>
      <w:r w:rsidRPr="00392297">
        <w:rPr>
          <w:rFonts w:ascii="Arial" w:hAnsi="Arial" w:cs="Arial"/>
          <w:szCs w:val="24"/>
        </w:rPr>
        <w:t xml:space="preserve">The Law Commission, in its 2005 </w:t>
      </w:r>
      <w:r w:rsidR="00F00E5A" w:rsidRPr="001B3923">
        <w:rPr>
          <w:rFonts w:ascii="Arial" w:hAnsi="Arial" w:cs="Arial"/>
          <w:noProof/>
          <w:szCs w:val="24"/>
        </w:rPr>
        <w:t>(Law Commission UK, 2013)</w:t>
      </w:r>
      <w:r w:rsidRPr="00392297">
        <w:rPr>
          <w:rFonts w:ascii="Arial" w:hAnsi="Arial" w:cs="Arial"/>
          <w:szCs w:val="24"/>
        </w:rPr>
        <w:t xml:space="preserve"> report, made several proposals for reforming the law governing homicide. These included replacing the partial </w:t>
      </w:r>
      <w:r w:rsidR="00D07544" w:rsidRPr="00392297">
        <w:rPr>
          <w:rFonts w:ascii="Arial" w:hAnsi="Arial" w:cs="Arial"/>
          <w:szCs w:val="24"/>
        </w:rPr>
        <w:t>defenses</w:t>
      </w:r>
      <w:r w:rsidRPr="00392297">
        <w:rPr>
          <w:rFonts w:ascii="Arial" w:hAnsi="Arial" w:cs="Arial"/>
          <w:szCs w:val="24"/>
        </w:rPr>
        <w:t xml:space="preserve"> of provocation and diminished responsibility with a single </w:t>
      </w:r>
      <w:r w:rsidR="00D07544" w:rsidRPr="00392297">
        <w:rPr>
          <w:rFonts w:ascii="Arial" w:hAnsi="Arial" w:cs="Arial"/>
          <w:szCs w:val="24"/>
        </w:rPr>
        <w:t>defense</w:t>
      </w:r>
      <w:r w:rsidRPr="00392297">
        <w:rPr>
          <w:rFonts w:ascii="Arial" w:hAnsi="Arial" w:cs="Arial"/>
          <w:szCs w:val="24"/>
        </w:rPr>
        <w:t xml:space="preserve"> of loss of control, removing the "year and a day" rule, and creating a new </w:t>
      </w:r>
      <w:r w:rsidR="00D07544" w:rsidRPr="00392297">
        <w:rPr>
          <w:rFonts w:ascii="Arial" w:hAnsi="Arial" w:cs="Arial"/>
          <w:szCs w:val="24"/>
        </w:rPr>
        <w:t>offense</w:t>
      </w:r>
      <w:r w:rsidRPr="00392297">
        <w:rPr>
          <w:rFonts w:ascii="Arial" w:hAnsi="Arial" w:cs="Arial"/>
          <w:szCs w:val="24"/>
        </w:rPr>
        <w:t xml:space="preserve"> of reckless killing. The report aimed to streamline and modernize the law to better reflect societal values and principles of justice.</w:t>
      </w:r>
    </w:p>
    <w:p w14:paraId="653AB728" w14:textId="77777777" w:rsidR="00E47E59" w:rsidRPr="00392297" w:rsidRDefault="00E47E59" w:rsidP="00392297">
      <w:pPr>
        <w:spacing w:line="360" w:lineRule="auto"/>
        <w:jc w:val="both"/>
        <w:rPr>
          <w:rFonts w:ascii="Arial" w:hAnsi="Arial" w:cs="Arial"/>
          <w:szCs w:val="24"/>
        </w:rPr>
      </w:pPr>
      <w:r w:rsidRPr="00392297">
        <w:rPr>
          <w:rFonts w:ascii="Arial" w:hAnsi="Arial" w:cs="Arial"/>
          <w:szCs w:val="24"/>
        </w:rPr>
        <w:t xml:space="preserve">The government has accepted some proposals for reform, such as abolishing the "year and a day" rule and implementing a new offense of causing death by reckless driving. However, other proposals, including the replacement of provocation and diminished responsibility with the loss of control </w:t>
      </w:r>
      <w:r w:rsidR="00D07544" w:rsidRPr="00392297">
        <w:rPr>
          <w:rFonts w:ascii="Arial" w:hAnsi="Arial" w:cs="Arial"/>
          <w:szCs w:val="24"/>
        </w:rPr>
        <w:t>defense</w:t>
      </w:r>
      <w:r w:rsidRPr="00392297">
        <w:rPr>
          <w:rFonts w:ascii="Arial" w:hAnsi="Arial" w:cs="Arial"/>
          <w:szCs w:val="24"/>
        </w:rPr>
        <w:t>, have been rejected. The government's decision-making process is influenced by various factors, such as public opinion, political considerations, and concerns regarding potential unintended consequences.</w:t>
      </w:r>
    </w:p>
    <w:p w14:paraId="189160DC" w14:textId="77777777" w:rsidR="00E47E59" w:rsidRPr="00F00E5A" w:rsidRDefault="00D07544" w:rsidP="00F00E5A">
      <w:pPr>
        <w:rPr>
          <w:rFonts w:ascii="Arial" w:hAnsi="Arial" w:cs="Arial"/>
          <w:b/>
        </w:rPr>
      </w:pPr>
      <w:bookmarkStart w:id="8" w:name="_Toc138893392"/>
      <w:bookmarkStart w:id="9" w:name="_Toc138880767"/>
      <w:r w:rsidRPr="00F00E5A">
        <w:rPr>
          <w:rFonts w:ascii="Arial" w:hAnsi="Arial" w:cs="Arial"/>
          <w:b/>
        </w:rPr>
        <w:t xml:space="preserve">Arguments </w:t>
      </w:r>
      <w:r w:rsidR="00392297" w:rsidRPr="00F00E5A">
        <w:rPr>
          <w:rFonts w:ascii="Arial" w:hAnsi="Arial" w:cs="Arial"/>
          <w:b/>
        </w:rPr>
        <w:t>against</w:t>
      </w:r>
      <w:r w:rsidRPr="00F00E5A">
        <w:rPr>
          <w:rFonts w:ascii="Arial" w:hAnsi="Arial" w:cs="Arial"/>
          <w:b/>
        </w:rPr>
        <w:t xml:space="preserve"> Reform</w:t>
      </w:r>
      <w:bookmarkEnd w:id="8"/>
      <w:bookmarkEnd w:id="9"/>
    </w:p>
    <w:p w14:paraId="1C3D9DE8" w14:textId="77777777" w:rsidR="00D07544" w:rsidRPr="00392297" w:rsidRDefault="00D07544" w:rsidP="00392297">
      <w:pPr>
        <w:spacing w:line="360" w:lineRule="auto"/>
        <w:jc w:val="both"/>
        <w:rPr>
          <w:rFonts w:ascii="Arial" w:hAnsi="Arial" w:cs="Arial"/>
          <w:szCs w:val="24"/>
        </w:rPr>
      </w:pPr>
      <w:r w:rsidRPr="00392297">
        <w:rPr>
          <w:rFonts w:ascii="Arial" w:hAnsi="Arial" w:cs="Arial"/>
          <w:szCs w:val="24"/>
        </w:rPr>
        <w:t>Arguments against reforms to the law governing homicide in England and Wales present alternative perspectives and raise concerns about potential drawbacks or unintended consequences. While recognizing the need for continuous improvement, opponents of reform offer the following arguments:</w:t>
      </w:r>
    </w:p>
    <w:p w14:paraId="571B78F4" w14:textId="3341B233" w:rsidR="00D07544" w:rsidRDefault="000F7566" w:rsidP="00392297">
      <w:pPr>
        <w:spacing w:line="360" w:lineRule="auto"/>
        <w:jc w:val="both"/>
        <w:rPr>
          <w:rFonts w:ascii="Arial" w:hAnsi="Arial" w:cs="Arial"/>
          <w:szCs w:val="24"/>
        </w:rPr>
      </w:pPr>
      <w:r w:rsidRPr="000F7566">
        <w:rPr>
          <w:rFonts w:ascii="Arial" w:hAnsi="Arial" w:cs="Arial"/>
          <w:b/>
          <w:bCs/>
          <w:szCs w:val="24"/>
        </w:rPr>
        <w:t>Preservation of Distinctions:</w:t>
      </w:r>
      <w:r>
        <w:rPr>
          <w:rFonts w:ascii="Arial" w:hAnsi="Arial" w:cs="Arial"/>
          <w:szCs w:val="24"/>
        </w:rPr>
        <w:t xml:space="preserve"> </w:t>
      </w:r>
      <w:r w:rsidR="00D07544" w:rsidRPr="00392297">
        <w:rPr>
          <w:rFonts w:ascii="Arial" w:hAnsi="Arial" w:cs="Arial"/>
          <w:szCs w:val="24"/>
        </w:rPr>
        <w:t>According to critics, the current legal system's distinct distinction between murder and manslaughter plays a crucial role in reflecting the various moral levels of guilt. They argue that murder should have a higher bar of intent since it is the most serious crime, highlighting how strongly society condemns knowingly causing death or serious harm.</w:t>
      </w:r>
    </w:p>
    <w:p w14:paraId="2398A857" w14:textId="2F1B97F6" w:rsidR="000F7566" w:rsidRPr="00392297" w:rsidRDefault="000F7566" w:rsidP="00392297">
      <w:pPr>
        <w:spacing w:line="360" w:lineRule="auto"/>
        <w:jc w:val="both"/>
        <w:rPr>
          <w:rFonts w:ascii="Arial" w:hAnsi="Arial" w:cs="Arial"/>
          <w:szCs w:val="24"/>
        </w:rPr>
      </w:pPr>
      <w:r w:rsidRPr="000F7566">
        <w:rPr>
          <w:rFonts w:ascii="Arial" w:hAnsi="Arial" w:cs="Arial"/>
          <w:szCs w:val="24"/>
        </w:rPr>
        <w:t>R v. Holley [2005]</w:t>
      </w:r>
      <w:r>
        <w:rPr>
          <w:rFonts w:ascii="Arial" w:hAnsi="Arial" w:cs="Arial"/>
          <w:szCs w:val="24"/>
        </w:rPr>
        <w:t xml:space="preserve"> </w:t>
      </w:r>
      <w:r w:rsidR="00F00E5A" w:rsidRPr="001B3923">
        <w:rPr>
          <w:rFonts w:ascii="Arial" w:hAnsi="Arial" w:cs="Arial"/>
          <w:noProof/>
          <w:szCs w:val="24"/>
        </w:rPr>
        <w:t>(Law Teacher, 2019)</w:t>
      </w:r>
      <w:r w:rsidRPr="000F7566">
        <w:rPr>
          <w:rFonts w:ascii="Arial" w:hAnsi="Arial" w:cs="Arial"/>
          <w:szCs w:val="24"/>
        </w:rPr>
        <w:t xml:space="preserve"> UKHL 39. In this case, the House of Lords emphasized the significance of maintaining a clear distinction between murder and manslaughter, highlighting the differing levels of moral culpability.</w:t>
      </w:r>
    </w:p>
    <w:p w14:paraId="06990A1F" w14:textId="499110F5" w:rsidR="00D07544" w:rsidRPr="00392297" w:rsidRDefault="000F7566" w:rsidP="00392297">
      <w:pPr>
        <w:spacing w:line="360" w:lineRule="auto"/>
        <w:jc w:val="both"/>
        <w:rPr>
          <w:rFonts w:ascii="Arial" w:hAnsi="Arial" w:cs="Arial"/>
          <w:szCs w:val="24"/>
        </w:rPr>
      </w:pPr>
      <w:r w:rsidRPr="000F7566">
        <w:rPr>
          <w:rFonts w:ascii="Arial" w:hAnsi="Arial" w:cs="Arial"/>
          <w:b/>
          <w:bCs/>
          <w:szCs w:val="24"/>
        </w:rPr>
        <w:t>Subjectivity and Inconsistency:</w:t>
      </w:r>
      <w:r w:rsidRPr="000F7566">
        <w:rPr>
          <w:rFonts w:ascii="Arial" w:hAnsi="Arial" w:cs="Arial"/>
          <w:szCs w:val="24"/>
        </w:rPr>
        <w:t xml:space="preserve"> </w:t>
      </w:r>
      <w:r w:rsidR="00D07544" w:rsidRPr="00392297">
        <w:rPr>
          <w:rFonts w:ascii="Arial" w:hAnsi="Arial" w:cs="Arial"/>
          <w:szCs w:val="24"/>
        </w:rPr>
        <w:t>Proposed reforms such as substituting the loss of control defense for provocation and decreased responsibility inject subjective factors into the evaluation of a defendant's culpability. Those who disagree claim that using subjective standards can result in unpredictable results and make it impossible to establish definite legal rules.</w:t>
      </w:r>
    </w:p>
    <w:p w14:paraId="228CE7CB" w14:textId="31D4C73C" w:rsidR="00D07544" w:rsidRPr="00392297" w:rsidRDefault="000F7566" w:rsidP="00392297">
      <w:pPr>
        <w:spacing w:line="360" w:lineRule="auto"/>
        <w:jc w:val="both"/>
        <w:rPr>
          <w:rFonts w:ascii="Arial" w:hAnsi="Arial" w:cs="Arial"/>
          <w:szCs w:val="24"/>
        </w:rPr>
      </w:pPr>
      <w:r w:rsidRPr="000F7566">
        <w:rPr>
          <w:rFonts w:ascii="Arial" w:hAnsi="Arial" w:cs="Arial"/>
          <w:b/>
          <w:bCs/>
          <w:szCs w:val="24"/>
        </w:rPr>
        <w:t>Undermining Legal Certainty:</w:t>
      </w:r>
      <w:r w:rsidRPr="000F7566">
        <w:rPr>
          <w:rFonts w:ascii="Arial" w:hAnsi="Arial" w:cs="Arial"/>
          <w:szCs w:val="24"/>
        </w:rPr>
        <w:t xml:space="preserve"> </w:t>
      </w:r>
      <w:r>
        <w:rPr>
          <w:rFonts w:ascii="Arial" w:hAnsi="Arial" w:cs="Arial"/>
          <w:szCs w:val="24"/>
        </w:rPr>
        <w:t xml:space="preserve"> </w:t>
      </w:r>
      <w:r w:rsidR="00D07544" w:rsidRPr="00392297">
        <w:rPr>
          <w:rFonts w:ascii="Arial" w:hAnsi="Arial" w:cs="Arial"/>
          <w:szCs w:val="24"/>
        </w:rPr>
        <w:t>According to critics, significant changes to the homicide statute could result in a loss of legal certainty. They claim that the successful operation of the criminal justice system and the preservation of individual rights depend on a stable and predictable legal system. Laws that are frequently changed could be confusing, affect defendants' rights, and make it difficult for lawyers to give reliable counsel.</w:t>
      </w:r>
    </w:p>
    <w:p w14:paraId="63577DEB" w14:textId="67C66123" w:rsidR="00D07544" w:rsidRPr="00392297" w:rsidRDefault="000F7566" w:rsidP="00392297">
      <w:pPr>
        <w:spacing w:line="360" w:lineRule="auto"/>
        <w:jc w:val="both"/>
        <w:rPr>
          <w:rFonts w:ascii="Arial" w:hAnsi="Arial" w:cs="Arial"/>
          <w:szCs w:val="24"/>
        </w:rPr>
      </w:pPr>
      <w:r w:rsidRPr="000F7566">
        <w:rPr>
          <w:rFonts w:ascii="Arial" w:hAnsi="Arial" w:cs="Arial"/>
          <w:b/>
          <w:bCs/>
          <w:szCs w:val="24"/>
        </w:rPr>
        <w:t>Potential Expansive Interpretation:</w:t>
      </w:r>
      <w:r>
        <w:rPr>
          <w:rFonts w:ascii="Arial" w:hAnsi="Arial" w:cs="Arial"/>
          <w:szCs w:val="24"/>
        </w:rPr>
        <w:t xml:space="preserve"> </w:t>
      </w:r>
      <w:r w:rsidR="00D07544" w:rsidRPr="00392297">
        <w:rPr>
          <w:rFonts w:ascii="Arial" w:hAnsi="Arial" w:cs="Arial"/>
          <w:szCs w:val="24"/>
        </w:rPr>
        <w:t>Concerns are expressed about the possibility that amendments may result in a wide interpretation of the law, thereby broadening the range of defenses and reducing the standard of proof for conviction. Critics worry that extending the defenses can have unexpected implications, letting people escape with a lesser charge of manslaughter even though they should have been found guilty of murder.</w:t>
      </w:r>
    </w:p>
    <w:p w14:paraId="7830999B" w14:textId="0AEEC679" w:rsidR="00D07544" w:rsidRPr="00392297" w:rsidRDefault="000F7566" w:rsidP="00392297">
      <w:pPr>
        <w:spacing w:line="360" w:lineRule="auto"/>
        <w:jc w:val="both"/>
        <w:rPr>
          <w:rFonts w:ascii="Arial" w:hAnsi="Arial" w:cs="Arial"/>
          <w:szCs w:val="24"/>
        </w:rPr>
      </w:pPr>
      <w:r w:rsidRPr="000F7566">
        <w:rPr>
          <w:rFonts w:ascii="Arial" w:hAnsi="Arial" w:cs="Arial"/>
          <w:b/>
          <w:bCs/>
          <w:szCs w:val="24"/>
        </w:rPr>
        <w:t>Reflecting Public Sentiments:</w:t>
      </w:r>
      <w:r>
        <w:rPr>
          <w:rFonts w:ascii="Arial" w:hAnsi="Arial" w:cs="Arial"/>
          <w:szCs w:val="24"/>
        </w:rPr>
        <w:t xml:space="preserve"> </w:t>
      </w:r>
      <w:r w:rsidR="00D07544" w:rsidRPr="00392297">
        <w:rPr>
          <w:rFonts w:ascii="Arial" w:hAnsi="Arial" w:cs="Arial"/>
          <w:szCs w:val="24"/>
        </w:rPr>
        <w:t xml:space="preserve">Opponents contend that the current homicide statute accurately represents the public's perception of justice and the value of life. They argue that significant reforms should take into account the views and beliefs of the larger public rather than just being guided by legal experts or academic arguments. The continued application of </w:t>
      </w:r>
      <w:r w:rsidR="00493673">
        <w:rPr>
          <w:rFonts w:ascii="Arial" w:hAnsi="Arial" w:cs="Arial"/>
          <w:szCs w:val="24"/>
        </w:rPr>
        <w:t>any</w:t>
      </w:r>
      <w:r w:rsidR="00D07544" w:rsidRPr="00392297">
        <w:rPr>
          <w:rFonts w:ascii="Arial" w:hAnsi="Arial" w:cs="Arial"/>
          <w:szCs w:val="24"/>
        </w:rPr>
        <w:t xml:space="preserve"> rules, such as provocation, reflects cultural perceptions of human nature and the wide range of feelings and situations that might influence a person's behavior.</w:t>
      </w:r>
    </w:p>
    <w:p w14:paraId="7B81BFD9" w14:textId="77777777" w:rsidR="00D07544" w:rsidRPr="00392297" w:rsidRDefault="00D07544" w:rsidP="00392297">
      <w:pPr>
        <w:spacing w:line="360" w:lineRule="auto"/>
        <w:jc w:val="both"/>
        <w:rPr>
          <w:rFonts w:ascii="Arial" w:hAnsi="Arial" w:cs="Arial"/>
          <w:szCs w:val="24"/>
        </w:rPr>
      </w:pPr>
      <w:r w:rsidRPr="00392297">
        <w:rPr>
          <w:rFonts w:ascii="Arial" w:hAnsi="Arial" w:cs="Arial"/>
          <w:szCs w:val="24"/>
        </w:rPr>
        <w:t xml:space="preserve">Reformers' detractors contend that the current legal framework finds a suitable compromise between preserving the sanctity of life and taking into account unique circumstances. They assert that partial defenses offer the courts </w:t>
      </w:r>
      <w:r w:rsidR="00493673">
        <w:rPr>
          <w:rFonts w:ascii="Arial" w:hAnsi="Arial" w:cs="Arial"/>
          <w:szCs w:val="24"/>
        </w:rPr>
        <w:t xml:space="preserve">the </w:t>
      </w:r>
      <w:r w:rsidRPr="00392297">
        <w:rPr>
          <w:rFonts w:ascii="Arial" w:hAnsi="Arial" w:cs="Arial"/>
          <w:szCs w:val="24"/>
        </w:rPr>
        <w:t>essential flexibility so they can take into account the particulars of each case. Additionally, it is believed that keeping provocation and diminished responsibility as separate defenses is crucial for providing a fair and complex evaluation of the defendant's level of guilt.</w:t>
      </w:r>
    </w:p>
    <w:p w14:paraId="3BA9E171" w14:textId="77777777" w:rsidR="00D07544" w:rsidRPr="00392297" w:rsidRDefault="00D07544" w:rsidP="00392297">
      <w:pPr>
        <w:spacing w:line="360" w:lineRule="auto"/>
        <w:jc w:val="both"/>
        <w:rPr>
          <w:rFonts w:ascii="Arial" w:hAnsi="Arial" w:cs="Arial"/>
          <w:szCs w:val="24"/>
        </w:rPr>
      </w:pPr>
      <w:r w:rsidRPr="00392297">
        <w:rPr>
          <w:rFonts w:ascii="Arial" w:hAnsi="Arial" w:cs="Arial"/>
          <w:szCs w:val="24"/>
        </w:rPr>
        <w:t>The proposed revisions may incorporate subjective factors and broaden the scope of defenses, which critics worry may result in inconsistent and unpredictable results. They contend that it is essential to sustain the moral and legal significance of willfully causing death or significant harm to establish a distinct line between murder and manslaughter.</w:t>
      </w:r>
    </w:p>
    <w:p w14:paraId="7F3A7E65" w14:textId="77777777" w:rsidR="00D07544" w:rsidRPr="00F00E5A" w:rsidRDefault="00D07544" w:rsidP="00F00E5A">
      <w:pPr>
        <w:rPr>
          <w:rFonts w:ascii="Arial" w:hAnsi="Arial" w:cs="Arial"/>
          <w:b/>
        </w:rPr>
      </w:pPr>
      <w:bookmarkStart w:id="10" w:name="_Toc138893398"/>
      <w:bookmarkStart w:id="11" w:name="_Toc138880773"/>
      <w:r w:rsidRPr="00F00E5A">
        <w:rPr>
          <w:rFonts w:ascii="Arial" w:hAnsi="Arial" w:cs="Arial"/>
          <w:b/>
        </w:rPr>
        <w:t>Conclusion</w:t>
      </w:r>
      <w:bookmarkEnd w:id="10"/>
      <w:bookmarkEnd w:id="11"/>
    </w:p>
    <w:p w14:paraId="020FDA70" w14:textId="77777777" w:rsidR="00D07544" w:rsidRPr="00392297" w:rsidRDefault="00D07544" w:rsidP="00392297">
      <w:pPr>
        <w:spacing w:line="360" w:lineRule="auto"/>
        <w:jc w:val="both"/>
        <w:rPr>
          <w:rFonts w:ascii="Arial" w:hAnsi="Arial" w:cs="Arial"/>
          <w:szCs w:val="24"/>
        </w:rPr>
      </w:pPr>
      <w:r w:rsidRPr="00392297">
        <w:rPr>
          <w:rFonts w:ascii="Arial" w:hAnsi="Arial" w:cs="Arial"/>
          <w:szCs w:val="24"/>
        </w:rPr>
        <w:t>It is undeniable that England and Wales' homicide laws require change. The current system, which is based on antiquated principles, falls short in addressing important issues including partial defenses, the level of intent required for murder, and the scope of manslaughter. The Law Commission's recommendations provide a thorough and logical strategy for modernizing the law and bringing it in line with society’s values and justice-related principles.</w:t>
      </w:r>
    </w:p>
    <w:p w14:paraId="353BA3F9" w14:textId="77777777" w:rsidR="00D07544" w:rsidRPr="00392297" w:rsidRDefault="00D07544" w:rsidP="00392297">
      <w:pPr>
        <w:spacing w:line="360" w:lineRule="auto"/>
        <w:jc w:val="both"/>
        <w:rPr>
          <w:rFonts w:ascii="Arial" w:hAnsi="Arial" w:cs="Arial"/>
          <w:szCs w:val="24"/>
        </w:rPr>
      </w:pPr>
      <w:r w:rsidRPr="00392297">
        <w:rPr>
          <w:rFonts w:ascii="Arial" w:hAnsi="Arial" w:cs="Arial"/>
          <w:szCs w:val="24"/>
        </w:rPr>
        <w:t>Although the administration has accepted certain reform ideas, others have been rejected, which raises questions about the consistency and coherence of the legal system. The government must make sure that any reform achieves the correct balance between preserving the value of human life, taking into account unique situations, and maintaining the clarity and predictability of how the legislation will be applied.</w:t>
      </w:r>
    </w:p>
    <w:p w14:paraId="4C0E6485" w14:textId="77777777" w:rsidR="00D07544" w:rsidRPr="00392297" w:rsidRDefault="00D07544" w:rsidP="00392297">
      <w:pPr>
        <w:spacing w:line="360" w:lineRule="auto"/>
        <w:jc w:val="both"/>
        <w:rPr>
          <w:rFonts w:ascii="Arial" w:hAnsi="Arial" w:cs="Arial"/>
          <w:szCs w:val="24"/>
        </w:rPr>
      </w:pPr>
      <w:r w:rsidRPr="00392297">
        <w:rPr>
          <w:rFonts w:ascii="Arial" w:hAnsi="Arial" w:cs="Arial"/>
          <w:szCs w:val="24"/>
        </w:rPr>
        <w:t xml:space="preserve">The law governing homicide in England and Wales needs to be significantly revised </w:t>
      </w:r>
      <w:r w:rsidR="00396187" w:rsidRPr="00392297">
        <w:rPr>
          <w:rFonts w:ascii="Arial" w:hAnsi="Arial" w:cs="Arial"/>
          <w:szCs w:val="24"/>
        </w:rPr>
        <w:t>to</w:t>
      </w:r>
      <w:r w:rsidRPr="00392297">
        <w:rPr>
          <w:rFonts w:ascii="Arial" w:hAnsi="Arial" w:cs="Arial"/>
          <w:szCs w:val="24"/>
        </w:rPr>
        <w:t xml:space="preserve"> overcome its flaws and bring it into line with modern values and societal expectations. The legal system can better serve justice, boost public confidence, and respond </w:t>
      </w:r>
      <w:r w:rsidR="00396187" w:rsidRPr="00392297">
        <w:rPr>
          <w:rFonts w:ascii="Arial" w:hAnsi="Arial" w:cs="Arial"/>
          <w:szCs w:val="24"/>
        </w:rPr>
        <w:t>fairly and appropriately</w:t>
      </w:r>
      <w:r w:rsidRPr="00392297">
        <w:rPr>
          <w:rFonts w:ascii="Arial" w:hAnsi="Arial" w:cs="Arial"/>
          <w:szCs w:val="24"/>
        </w:rPr>
        <w:t xml:space="preserve"> to the seriousness of various forms of homicide by enacting comprehensive reform.</w:t>
      </w:r>
    </w:p>
    <w:sdt>
      <w:sdtPr>
        <w:rPr>
          <w:rFonts w:ascii="Arial" w:eastAsiaTheme="minorHAnsi" w:hAnsi="Arial" w:cs="Arial"/>
          <w:color w:val="auto"/>
          <w:sz w:val="24"/>
          <w:szCs w:val="24"/>
        </w:rPr>
        <w:id w:val="-1329898921"/>
        <w:docPartObj>
          <w:docPartGallery w:val="Bibliographies"/>
          <w:docPartUnique/>
        </w:docPartObj>
      </w:sdtPr>
      <w:sdtEndPr/>
      <w:sdtContent>
        <w:p w14:paraId="2F0B99F5" w14:textId="167317A0" w:rsidR="001B3923" w:rsidRPr="001D3F9B" w:rsidRDefault="001B3923">
          <w:pPr>
            <w:pStyle w:val="Heading1"/>
            <w:rPr>
              <w:rFonts w:ascii="Arial" w:hAnsi="Arial" w:cs="Arial"/>
              <w:sz w:val="24"/>
              <w:szCs w:val="24"/>
            </w:rPr>
          </w:pPr>
          <w:r w:rsidRPr="001D3F9B">
            <w:rPr>
              <w:rFonts w:ascii="Arial" w:hAnsi="Arial" w:cs="Arial"/>
              <w:sz w:val="24"/>
              <w:szCs w:val="24"/>
            </w:rPr>
            <w:t>References</w:t>
          </w:r>
        </w:p>
        <w:p w14:paraId="283E91A3" w14:textId="2B3B5C84" w:rsidR="001B3923" w:rsidRPr="001D3F9B" w:rsidRDefault="001B3923" w:rsidP="00F00E5A">
          <w:pPr>
            <w:pStyle w:val="Bibliography"/>
            <w:spacing w:line="360" w:lineRule="auto"/>
            <w:rPr>
              <w:rFonts w:ascii="Arial" w:hAnsi="Arial" w:cs="Arial"/>
              <w:noProof/>
              <w:kern w:val="0"/>
              <w:szCs w:val="24"/>
              <w14:ligatures w14:val="none"/>
            </w:rPr>
          </w:pPr>
          <w:r w:rsidRPr="001D3F9B">
            <w:rPr>
              <w:rFonts w:ascii="Arial" w:hAnsi="Arial" w:cs="Arial"/>
              <w:noProof/>
              <w:szCs w:val="24"/>
            </w:rPr>
            <w:t xml:space="preserve">Law Commission UK, </w:t>
          </w:r>
          <w:r w:rsidR="001D3F9B">
            <w:rPr>
              <w:rFonts w:ascii="Arial" w:hAnsi="Arial" w:cs="Arial"/>
              <w:noProof/>
              <w:szCs w:val="24"/>
            </w:rPr>
            <w:t>(2013)</w:t>
          </w:r>
          <w:r w:rsidRPr="001D3F9B">
            <w:rPr>
              <w:rFonts w:ascii="Arial" w:hAnsi="Arial" w:cs="Arial"/>
              <w:noProof/>
              <w:szCs w:val="24"/>
            </w:rPr>
            <w:t xml:space="preserve"> </w:t>
          </w:r>
          <w:r w:rsidRPr="001D3F9B">
            <w:rPr>
              <w:rFonts w:ascii="Arial" w:hAnsi="Arial" w:cs="Arial"/>
              <w:i/>
              <w:iCs/>
              <w:noProof/>
              <w:szCs w:val="24"/>
            </w:rPr>
            <w:t xml:space="preserve">Unfair Terms in Contracts. </w:t>
          </w:r>
          <w:r w:rsidRPr="001D3F9B">
            <w:rPr>
              <w:rFonts w:ascii="Arial" w:hAnsi="Arial" w:cs="Arial"/>
              <w:noProof/>
              <w:szCs w:val="24"/>
            </w:rPr>
            <w:t xml:space="preserve">[Online] </w:t>
          </w:r>
          <w:r w:rsidRPr="001D3F9B">
            <w:rPr>
              <w:rFonts w:ascii="Arial" w:hAnsi="Arial" w:cs="Arial"/>
              <w:noProof/>
              <w:szCs w:val="24"/>
            </w:rPr>
            <w:br/>
            <w:t xml:space="preserve">Available at: </w:t>
          </w:r>
          <w:hyperlink r:id="rId7" w:anchor=":~:text=The%202005%20Report&amp;text=The%20two%20Law%20Commissions%20recommended,employing%209%20or%20fewer%20staff" w:history="1">
            <w:r w:rsidR="001D3F9B" w:rsidRPr="001D3F9B">
              <w:rPr>
                <w:rStyle w:val="Hyperlink"/>
                <w:rFonts w:ascii="Arial" w:hAnsi="Arial" w:cs="Arial"/>
                <w:noProof/>
                <w:szCs w:val="24"/>
              </w:rPr>
              <w:t>https://www.lawcom.gov.uk/project/unfair-terms-in-contracts/#:~:text=The%202005%20Report&amp;text=The%20two%20Law%20Commissions%20recommended,employing%209%20or%20fewer%20staff</w:t>
            </w:r>
          </w:hyperlink>
          <w:r w:rsidR="001D3F9B" w:rsidRPr="001D3F9B">
            <w:rPr>
              <w:rFonts w:ascii="Arial" w:hAnsi="Arial" w:cs="Arial"/>
              <w:noProof/>
              <w:szCs w:val="24"/>
              <w:u w:val="single"/>
            </w:rPr>
            <w:t xml:space="preserve">) </w:t>
          </w:r>
          <w:r w:rsidR="001D3F9B" w:rsidRPr="001D3F9B">
            <w:rPr>
              <w:rFonts w:ascii="Arial" w:hAnsi="Arial" w:cs="Arial"/>
              <w:noProof/>
              <w:szCs w:val="24"/>
            </w:rPr>
            <w:t>(Accessed: 28-Jun-2023)</w:t>
          </w:r>
        </w:p>
        <w:p w14:paraId="0365DC9B" w14:textId="0BB7D64E" w:rsidR="001B3923" w:rsidRPr="001D3F9B" w:rsidRDefault="001D3F9B" w:rsidP="00F00E5A">
          <w:pPr>
            <w:pStyle w:val="Bibliography"/>
            <w:spacing w:line="360" w:lineRule="auto"/>
            <w:rPr>
              <w:rFonts w:ascii="Arial" w:hAnsi="Arial" w:cs="Arial"/>
              <w:noProof/>
              <w:szCs w:val="24"/>
            </w:rPr>
          </w:pPr>
          <w:r>
            <w:rPr>
              <w:rFonts w:ascii="Arial" w:hAnsi="Arial" w:cs="Arial"/>
              <w:noProof/>
              <w:szCs w:val="24"/>
            </w:rPr>
            <w:t>Law Teacher, (2019)</w:t>
          </w:r>
          <w:r w:rsidR="001B3923" w:rsidRPr="001D3F9B">
            <w:rPr>
              <w:rFonts w:ascii="Arial" w:hAnsi="Arial" w:cs="Arial"/>
              <w:noProof/>
              <w:szCs w:val="24"/>
            </w:rPr>
            <w:t xml:space="preserve"> </w:t>
          </w:r>
          <w:r w:rsidR="001B3923" w:rsidRPr="001D3F9B">
            <w:rPr>
              <w:rFonts w:ascii="Arial" w:hAnsi="Arial" w:cs="Arial"/>
              <w:i/>
              <w:iCs/>
              <w:noProof/>
              <w:szCs w:val="24"/>
            </w:rPr>
            <w:t xml:space="preserve">Case of Holley. </w:t>
          </w:r>
          <w:r w:rsidR="001B3923" w:rsidRPr="001D3F9B">
            <w:rPr>
              <w:rFonts w:ascii="Arial" w:hAnsi="Arial" w:cs="Arial"/>
              <w:noProof/>
              <w:szCs w:val="24"/>
            </w:rPr>
            <w:t xml:space="preserve">[Online] </w:t>
          </w:r>
          <w:r w:rsidR="001B3923" w:rsidRPr="001D3F9B">
            <w:rPr>
              <w:rFonts w:ascii="Arial" w:hAnsi="Arial" w:cs="Arial"/>
              <w:noProof/>
              <w:szCs w:val="24"/>
            </w:rPr>
            <w:br/>
            <w:t xml:space="preserve">Available at: </w:t>
          </w:r>
          <w:hyperlink r:id="rId8" w:history="1">
            <w:r w:rsidRPr="001D3F9B">
              <w:rPr>
                <w:rStyle w:val="Hyperlink"/>
                <w:rFonts w:ascii="Arial" w:hAnsi="Arial" w:cs="Arial"/>
                <w:noProof/>
                <w:szCs w:val="24"/>
              </w:rPr>
              <w:t>https://www.lawteacher.net/free-law-essays/human-rights/case-of-holley.php</w:t>
            </w:r>
          </w:hyperlink>
          <w:r w:rsidRPr="001D3F9B">
            <w:rPr>
              <w:rFonts w:ascii="Arial" w:hAnsi="Arial" w:cs="Arial"/>
              <w:noProof/>
              <w:szCs w:val="24"/>
              <w:u w:val="single"/>
            </w:rPr>
            <w:t xml:space="preserve"> </w:t>
          </w:r>
          <w:r w:rsidRPr="001D3F9B">
            <w:rPr>
              <w:rFonts w:ascii="Arial" w:hAnsi="Arial" w:cs="Arial"/>
              <w:noProof/>
              <w:szCs w:val="24"/>
            </w:rPr>
            <w:t>(Accessed: 01-Jul-2023)</w:t>
          </w:r>
        </w:p>
        <w:p w14:paraId="75CCD73C" w14:textId="3A3C18EA" w:rsidR="001B3923" w:rsidRPr="001D3F9B" w:rsidRDefault="001B3923" w:rsidP="00F00E5A">
          <w:pPr>
            <w:pStyle w:val="Bibliography"/>
            <w:spacing w:line="360" w:lineRule="auto"/>
            <w:jc w:val="both"/>
            <w:rPr>
              <w:rFonts w:ascii="Arial" w:hAnsi="Arial" w:cs="Arial"/>
              <w:noProof/>
              <w:szCs w:val="24"/>
            </w:rPr>
          </w:pPr>
          <w:r w:rsidRPr="001D3F9B">
            <w:rPr>
              <w:rFonts w:ascii="Arial" w:hAnsi="Arial" w:cs="Arial"/>
              <w:noProof/>
              <w:szCs w:val="24"/>
            </w:rPr>
            <w:t xml:space="preserve">Legislation.gov.uk, </w:t>
          </w:r>
          <w:r w:rsidR="001D3F9B">
            <w:rPr>
              <w:rFonts w:ascii="Arial" w:hAnsi="Arial" w:cs="Arial"/>
              <w:noProof/>
              <w:szCs w:val="24"/>
            </w:rPr>
            <w:t>(1957)</w:t>
          </w:r>
          <w:r w:rsidRPr="001D3F9B">
            <w:rPr>
              <w:rFonts w:ascii="Arial" w:hAnsi="Arial" w:cs="Arial"/>
              <w:noProof/>
              <w:szCs w:val="24"/>
            </w:rPr>
            <w:t xml:space="preserve"> </w:t>
          </w:r>
          <w:r w:rsidRPr="001D3F9B">
            <w:rPr>
              <w:rFonts w:ascii="Arial" w:hAnsi="Arial" w:cs="Arial"/>
              <w:i/>
              <w:iCs/>
              <w:noProof/>
              <w:szCs w:val="24"/>
            </w:rPr>
            <w:t xml:space="preserve">Homicide Act 1957. </w:t>
          </w:r>
          <w:r w:rsidRPr="001D3F9B">
            <w:rPr>
              <w:rFonts w:ascii="Arial" w:hAnsi="Arial" w:cs="Arial"/>
              <w:noProof/>
              <w:szCs w:val="24"/>
            </w:rPr>
            <w:t xml:space="preserve">[Online] </w:t>
          </w:r>
          <w:r w:rsidRPr="001D3F9B">
            <w:rPr>
              <w:rFonts w:ascii="Arial" w:hAnsi="Arial" w:cs="Arial"/>
              <w:noProof/>
              <w:szCs w:val="24"/>
            </w:rPr>
            <w:br/>
            <w:t xml:space="preserve">Available at: </w:t>
          </w:r>
          <w:hyperlink r:id="rId9" w:history="1">
            <w:r w:rsidR="001D3F9B" w:rsidRPr="001D3F9B">
              <w:rPr>
                <w:rStyle w:val="Hyperlink"/>
                <w:rFonts w:ascii="Arial" w:hAnsi="Arial" w:cs="Arial"/>
                <w:noProof/>
                <w:szCs w:val="24"/>
              </w:rPr>
              <w:t>https://www.legislation.gov.uk/ukpga/Eliz2/5-6/11/contents</w:t>
            </w:r>
          </w:hyperlink>
          <w:r w:rsidR="001D3F9B" w:rsidRPr="001D3F9B">
            <w:rPr>
              <w:rFonts w:ascii="Arial" w:hAnsi="Arial" w:cs="Arial"/>
              <w:noProof/>
              <w:szCs w:val="24"/>
              <w:u w:val="single"/>
            </w:rPr>
            <w:t xml:space="preserve"> </w:t>
          </w:r>
          <w:r w:rsidR="001D3F9B" w:rsidRPr="001D3F9B">
            <w:rPr>
              <w:rFonts w:ascii="Arial" w:hAnsi="Arial" w:cs="Arial"/>
              <w:noProof/>
              <w:szCs w:val="24"/>
            </w:rPr>
            <w:t>(Accessed: 02-Jul-2023)</w:t>
          </w:r>
        </w:p>
        <w:p w14:paraId="4E6A0A17" w14:textId="1DE6F2DB" w:rsidR="001B3923" w:rsidRPr="001D3F9B" w:rsidRDefault="001B3923" w:rsidP="00F00E5A">
          <w:pPr>
            <w:pStyle w:val="Bibliography"/>
            <w:spacing w:line="360" w:lineRule="auto"/>
            <w:jc w:val="both"/>
            <w:rPr>
              <w:rFonts w:ascii="Arial" w:hAnsi="Arial" w:cs="Arial"/>
              <w:noProof/>
              <w:szCs w:val="24"/>
            </w:rPr>
          </w:pPr>
          <w:r w:rsidRPr="001D3F9B">
            <w:rPr>
              <w:rFonts w:ascii="Arial" w:hAnsi="Arial" w:cs="Arial"/>
              <w:noProof/>
              <w:szCs w:val="24"/>
            </w:rPr>
            <w:t xml:space="preserve">Legislation.gov.uk, </w:t>
          </w:r>
          <w:r w:rsidR="001D3F9B">
            <w:rPr>
              <w:rFonts w:ascii="Arial" w:hAnsi="Arial" w:cs="Arial"/>
              <w:noProof/>
              <w:szCs w:val="24"/>
            </w:rPr>
            <w:t>(2009)</w:t>
          </w:r>
          <w:r w:rsidRPr="001D3F9B">
            <w:rPr>
              <w:rFonts w:ascii="Arial" w:hAnsi="Arial" w:cs="Arial"/>
              <w:noProof/>
              <w:szCs w:val="24"/>
            </w:rPr>
            <w:t xml:space="preserve"> </w:t>
          </w:r>
          <w:r w:rsidRPr="001D3F9B">
            <w:rPr>
              <w:rFonts w:ascii="Arial" w:hAnsi="Arial" w:cs="Arial"/>
              <w:i/>
              <w:iCs/>
              <w:noProof/>
              <w:szCs w:val="24"/>
            </w:rPr>
            <w:t xml:space="preserve">Coroners and Justice Act 2009. </w:t>
          </w:r>
          <w:r w:rsidRPr="001D3F9B">
            <w:rPr>
              <w:rFonts w:ascii="Arial" w:hAnsi="Arial" w:cs="Arial"/>
              <w:noProof/>
              <w:szCs w:val="24"/>
            </w:rPr>
            <w:t xml:space="preserve">[Online] </w:t>
          </w:r>
          <w:r w:rsidRPr="001D3F9B">
            <w:rPr>
              <w:rFonts w:ascii="Arial" w:hAnsi="Arial" w:cs="Arial"/>
              <w:noProof/>
              <w:szCs w:val="24"/>
            </w:rPr>
            <w:br/>
            <w:t xml:space="preserve">Available at: </w:t>
          </w:r>
          <w:hyperlink r:id="rId10" w:history="1">
            <w:r w:rsidR="001D3F9B" w:rsidRPr="001D3F9B">
              <w:rPr>
                <w:rStyle w:val="Hyperlink"/>
                <w:rFonts w:ascii="Arial" w:hAnsi="Arial" w:cs="Arial"/>
                <w:noProof/>
                <w:szCs w:val="24"/>
              </w:rPr>
              <w:t>https://www.legislation.gov.uk/ukpga/2009/25/contents</w:t>
            </w:r>
          </w:hyperlink>
          <w:r w:rsidR="001D3F9B" w:rsidRPr="001D3F9B">
            <w:rPr>
              <w:rFonts w:ascii="Arial" w:hAnsi="Arial" w:cs="Arial"/>
              <w:noProof/>
              <w:szCs w:val="24"/>
              <w:u w:val="single"/>
            </w:rPr>
            <w:t xml:space="preserve"> </w:t>
          </w:r>
          <w:r w:rsidR="001D3F9B" w:rsidRPr="001D3F9B">
            <w:rPr>
              <w:rFonts w:ascii="Arial" w:hAnsi="Arial" w:cs="Arial"/>
              <w:noProof/>
              <w:szCs w:val="24"/>
            </w:rPr>
            <w:t>(Accessed: 28-Jun-2023)</w:t>
          </w:r>
        </w:p>
        <w:p w14:paraId="5511E068" w14:textId="1C6DC83B" w:rsidR="001B3923" w:rsidRPr="001D3F9B" w:rsidRDefault="001B3923" w:rsidP="00F00E5A">
          <w:pPr>
            <w:pStyle w:val="Bibliography"/>
            <w:spacing w:line="360" w:lineRule="auto"/>
            <w:rPr>
              <w:rFonts w:ascii="Arial" w:hAnsi="Arial" w:cs="Arial"/>
              <w:noProof/>
              <w:szCs w:val="24"/>
            </w:rPr>
          </w:pPr>
          <w:r w:rsidRPr="001D3F9B">
            <w:rPr>
              <w:rFonts w:ascii="Arial" w:hAnsi="Arial" w:cs="Arial"/>
              <w:noProof/>
              <w:szCs w:val="24"/>
            </w:rPr>
            <w:t xml:space="preserve">Oxford University Press , </w:t>
          </w:r>
          <w:r w:rsidR="001D3F9B">
            <w:rPr>
              <w:rFonts w:ascii="Arial" w:hAnsi="Arial" w:cs="Arial"/>
              <w:noProof/>
              <w:szCs w:val="24"/>
            </w:rPr>
            <w:t>(</w:t>
          </w:r>
          <w:r w:rsidRPr="001D3F9B">
            <w:rPr>
              <w:rFonts w:ascii="Arial" w:hAnsi="Arial" w:cs="Arial"/>
              <w:noProof/>
              <w:szCs w:val="24"/>
            </w:rPr>
            <w:t>2016</w:t>
          </w:r>
          <w:r w:rsidR="001D3F9B">
            <w:rPr>
              <w:rFonts w:ascii="Arial" w:hAnsi="Arial" w:cs="Arial"/>
              <w:noProof/>
              <w:szCs w:val="24"/>
            </w:rPr>
            <w:t>)</w:t>
          </w:r>
          <w:r w:rsidRPr="001D3F9B">
            <w:rPr>
              <w:rFonts w:ascii="Arial" w:hAnsi="Arial" w:cs="Arial"/>
              <w:noProof/>
              <w:szCs w:val="24"/>
            </w:rPr>
            <w:t xml:space="preserve"> </w:t>
          </w:r>
          <w:r w:rsidRPr="001D3F9B">
            <w:rPr>
              <w:rFonts w:ascii="Arial" w:hAnsi="Arial" w:cs="Arial"/>
              <w:i/>
              <w:iCs/>
              <w:noProof/>
              <w:szCs w:val="24"/>
            </w:rPr>
            <w:t xml:space="preserve">R v DUFFY [1949]. </w:t>
          </w:r>
          <w:r w:rsidRPr="001D3F9B">
            <w:rPr>
              <w:rFonts w:ascii="Arial" w:hAnsi="Arial" w:cs="Arial"/>
              <w:noProof/>
              <w:szCs w:val="24"/>
            </w:rPr>
            <w:t xml:space="preserve">[Online] </w:t>
          </w:r>
          <w:r w:rsidRPr="001D3F9B">
            <w:rPr>
              <w:rFonts w:ascii="Arial" w:hAnsi="Arial" w:cs="Arial"/>
              <w:noProof/>
              <w:szCs w:val="24"/>
            </w:rPr>
            <w:br/>
            <w:t xml:space="preserve">Available at: </w:t>
          </w:r>
          <w:hyperlink r:id="rId11" w:anchor="c" w:history="1">
            <w:r w:rsidR="001D3F9B" w:rsidRPr="001D3F9B">
              <w:rPr>
                <w:rStyle w:val="Hyperlink"/>
                <w:rFonts w:ascii="Arial" w:hAnsi="Arial" w:cs="Arial"/>
                <w:noProof/>
                <w:szCs w:val="24"/>
              </w:rPr>
              <w:t>https://global.oup.com/uk/orc/law/criminal/heaton4e/resources/casematerial/bychapter/ch06/#c</w:t>
            </w:r>
          </w:hyperlink>
          <w:r w:rsidR="001D3F9B" w:rsidRPr="001D3F9B">
            <w:rPr>
              <w:rFonts w:ascii="Arial" w:hAnsi="Arial" w:cs="Arial"/>
              <w:noProof/>
              <w:szCs w:val="24"/>
              <w:u w:val="single"/>
            </w:rPr>
            <w:t xml:space="preserve"> </w:t>
          </w:r>
          <w:r w:rsidR="001D3F9B" w:rsidRPr="001D3F9B">
            <w:rPr>
              <w:rFonts w:ascii="Arial" w:hAnsi="Arial" w:cs="Arial"/>
              <w:noProof/>
              <w:szCs w:val="24"/>
            </w:rPr>
            <w:t>(Accessed: 29-Jun-2023)</w:t>
          </w:r>
        </w:p>
        <w:p w14:paraId="6B1E180E" w14:textId="0E7CD84A" w:rsidR="001B3923" w:rsidRPr="001D3F9B" w:rsidRDefault="00A2221B" w:rsidP="001B3923">
          <w:pPr>
            <w:rPr>
              <w:rFonts w:ascii="Arial" w:hAnsi="Arial" w:cs="Arial"/>
              <w:szCs w:val="24"/>
            </w:rPr>
          </w:pPr>
        </w:p>
      </w:sdtContent>
    </w:sdt>
    <w:p w14:paraId="0B738639" w14:textId="55BC2CB2" w:rsidR="00D07544" w:rsidRDefault="00D07544" w:rsidP="00D07544"/>
    <w:p w14:paraId="69F0DF98" w14:textId="77777777" w:rsidR="00D07544" w:rsidRPr="00D07544" w:rsidRDefault="00D07544" w:rsidP="00D07544"/>
    <w:sectPr w:rsidR="00D07544" w:rsidRPr="00D0754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12E13"/>
    <w:multiLevelType w:val="multilevel"/>
    <w:tmpl w:val="8F3A204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6429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4058"/>
    <w:rsid w:val="0008719C"/>
    <w:rsid w:val="000D67E1"/>
    <w:rsid w:val="000F7566"/>
    <w:rsid w:val="001950F7"/>
    <w:rsid w:val="001B3923"/>
    <w:rsid w:val="001D3F9B"/>
    <w:rsid w:val="002214D0"/>
    <w:rsid w:val="00224058"/>
    <w:rsid w:val="0030112B"/>
    <w:rsid w:val="00390EA3"/>
    <w:rsid w:val="00392297"/>
    <w:rsid w:val="00396187"/>
    <w:rsid w:val="00493673"/>
    <w:rsid w:val="00592DB9"/>
    <w:rsid w:val="00A2221B"/>
    <w:rsid w:val="00B26D6E"/>
    <w:rsid w:val="00C9079C"/>
    <w:rsid w:val="00D07544"/>
    <w:rsid w:val="00DE00B5"/>
    <w:rsid w:val="00E47E59"/>
    <w:rsid w:val="00F00E5A"/>
    <w:rsid w:val="00FB44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EB414"/>
  <w15:chartTrackingRefBased/>
  <w15:docId w15:val="{EC3DAA30-C383-463D-A421-3DEE89B12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40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40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754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05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405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2405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405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07544"/>
    <w:rPr>
      <w:rFonts w:asciiTheme="majorHAnsi" w:eastAsiaTheme="majorEastAsia" w:hAnsiTheme="majorHAnsi" w:cstheme="majorBidi"/>
      <w:color w:val="1F3763" w:themeColor="accent1" w:themeShade="7F"/>
      <w:szCs w:val="24"/>
    </w:rPr>
  </w:style>
  <w:style w:type="paragraph" w:styleId="Bibliography">
    <w:name w:val="Bibliography"/>
    <w:basedOn w:val="Normal"/>
    <w:next w:val="Normal"/>
    <w:uiPriority w:val="37"/>
    <w:unhideWhenUsed/>
    <w:rsid w:val="00D07544"/>
  </w:style>
  <w:style w:type="paragraph" w:styleId="TOCHeading">
    <w:name w:val="TOC Heading"/>
    <w:basedOn w:val="Heading1"/>
    <w:next w:val="Normal"/>
    <w:uiPriority w:val="39"/>
    <w:unhideWhenUsed/>
    <w:qFormat/>
    <w:rsid w:val="00D07544"/>
    <w:pPr>
      <w:outlineLvl w:val="9"/>
    </w:pPr>
    <w:rPr>
      <w:kern w:val="0"/>
      <w14:ligatures w14:val="none"/>
    </w:rPr>
  </w:style>
  <w:style w:type="paragraph" w:styleId="TOC2">
    <w:name w:val="toc 2"/>
    <w:basedOn w:val="Normal"/>
    <w:next w:val="Normal"/>
    <w:autoRedefine/>
    <w:uiPriority w:val="39"/>
    <w:unhideWhenUsed/>
    <w:rsid w:val="00D07544"/>
    <w:pPr>
      <w:spacing w:after="100"/>
      <w:ind w:left="240"/>
    </w:pPr>
  </w:style>
  <w:style w:type="paragraph" w:styleId="TOC3">
    <w:name w:val="toc 3"/>
    <w:basedOn w:val="Normal"/>
    <w:next w:val="Normal"/>
    <w:autoRedefine/>
    <w:uiPriority w:val="39"/>
    <w:unhideWhenUsed/>
    <w:rsid w:val="00D07544"/>
    <w:pPr>
      <w:spacing w:after="100"/>
      <w:ind w:left="480"/>
    </w:pPr>
  </w:style>
  <w:style w:type="paragraph" w:styleId="TOC1">
    <w:name w:val="toc 1"/>
    <w:basedOn w:val="Normal"/>
    <w:next w:val="Normal"/>
    <w:autoRedefine/>
    <w:uiPriority w:val="39"/>
    <w:unhideWhenUsed/>
    <w:rsid w:val="00D07544"/>
    <w:pPr>
      <w:spacing w:after="100"/>
    </w:pPr>
  </w:style>
  <w:style w:type="character" w:styleId="Hyperlink">
    <w:name w:val="Hyperlink"/>
    <w:basedOn w:val="DefaultParagraphFont"/>
    <w:uiPriority w:val="99"/>
    <w:unhideWhenUsed/>
    <w:rsid w:val="00D075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538">
      <w:bodyDiv w:val="1"/>
      <w:marLeft w:val="0"/>
      <w:marRight w:val="0"/>
      <w:marTop w:val="0"/>
      <w:marBottom w:val="0"/>
      <w:divBdr>
        <w:top w:val="none" w:sz="0" w:space="0" w:color="auto"/>
        <w:left w:val="none" w:sz="0" w:space="0" w:color="auto"/>
        <w:bottom w:val="none" w:sz="0" w:space="0" w:color="auto"/>
        <w:right w:val="none" w:sz="0" w:space="0" w:color="auto"/>
      </w:divBdr>
    </w:div>
    <w:div w:id="151412073">
      <w:bodyDiv w:val="1"/>
      <w:marLeft w:val="0"/>
      <w:marRight w:val="0"/>
      <w:marTop w:val="0"/>
      <w:marBottom w:val="0"/>
      <w:divBdr>
        <w:top w:val="none" w:sz="0" w:space="0" w:color="auto"/>
        <w:left w:val="none" w:sz="0" w:space="0" w:color="auto"/>
        <w:bottom w:val="none" w:sz="0" w:space="0" w:color="auto"/>
        <w:right w:val="none" w:sz="0" w:space="0" w:color="auto"/>
      </w:divBdr>
    </w:div>
    <w:div w:id="307590730">
      <w:bodyDiv w:val="1"/>
      <w:marLeft w:val="0"/>
      <w:marRight w:val="0"/>
      <w:marTop w:val="0"/>
      <w:marBottom w:val="0"/>
      <w:divBdr>
        <w:top w:val="none" w:sz="0" w:space="0" w:color="auto"/>
        <w:left w:val="none" w:sz="0" w:space="0" w:color="auto"/>
        <w:bottom w:val="none" w:sz="0" w:space="0" w:color="auto"/>
        <w:right w:val="none" w:sz="0" w:space="0" w:color="auto"/>
      </w:divBdr>
    </w:div>
    <w:div w:id="476647013">
      <w:bodyDiv w:val="1"/>
      <w:marLeft w:val="0"/>
      <w:marRight w:val="0"/>
      <w:marTop w:val="0"/>
      <w:marBottom w:val="0"/>
      <w:divBdr>
        <w:top w:val="none" w:sz="0" w:space="0" w:color="auto"/>
        <w:left w:val="none" w:sz="0" w:space="0" w:color="auto"/>
        <w:bottom w:val="none" w:sz="0" w:space="0" w:color="auto"/>
        <w:right w:val="none" w:sz="0" w:space="0" w:color="auto"/>
      </w:divBdr>
    </w:div>
    <w:div w:id="581641187">
      <w:bodyDiv w:val="1"/>
      <w:marLeft w:val="0"/>
      <w:marRight w:val="0"/>
      <w:marTop w:val="0"/>
      <w:marBottom w:val="0"/>
      <w:divBdr>
        <w:top w:val="none" w:sz="0" w:space="0" w:color="auto"/>
        <w:left w:val="none" w:sz="0" w:space="0" w:color="auto"/>
        <w:bottom w:val="none" w:sz="0" w:space="0" w:color="auto"/>
        <w:right w:val="none" w:sz="0" w:space="0" w:color="auto"/>
      </w:divBdr>
    </w:div>
    <w:div w:id="628316758">
      <w:bodyDiv w:val="1"/>
      <w:marLeft w:val="0"/>
      <w:marRight w:val="0"/>
      <w:marTop w:val="0"/>
      <w:marBottom w:val="0"/>
      <w:divBdr>
        <w:top w:val="none" w:sz="0" w:space="0" w:color="auto"/>
        <w:left w:val="none" w:sz="0" w:space="0" w:color="auto"/>
        <w:bottom w:val="none" w:sz="0" w:space="0" w:color="auto"/>
        <w:right w:val="none" w:sz="0" w:space="0" w:color="auto"/>
      </w:divBdr>
    </w:div>
    <w:div w:id="922953812">
      <w:bodyDiv w:val="1"/>
      <w:marLeft w:val="0"/>
      <w:marRight w:val="0"/>
      <w:marTop w:val="0"/>
      <w:marBottom w:val="0"/>
      <w:divBdr>
        <w:top w:val="none" w:sz="0" w:space="0" w:color="auto"/>
        <w:left w:val="none" w:sz="0" w:space="0" w:color="auto"/>
        <w:bottom w:val="none" w:sz="0" w:space="0" w:color="auto"/>
        <w:right w:val="none" w:sz="0" w:space="0" w:color="auto"/>
      </w:divBdr>
    </w:div>
    <w:div w:id="1175457897">
      <w:bodyDiv w:val="1"/>
      <w:marLeft w:val="0"/>
      <w:marRight w:val="0"/>
      <w:marTop w:val="0"/>
      <w:marBottom w:val="0"/>
      <w:divBdr>
        <w:top w:val="none" w:sz="0" w:space="0" w:color="auto"/>
        <w:left w:val="none" w:sz="0" w:space="0" w:color="auto"/>
        <w:bottom w:val="none" w:sz="0" w:space="0" w:color="auto"/>
        <w:right w:val="none" w:sz="0" w:space="0" w:color="auto"/>
      </w:divBdr>
    </w:div>
    <w:div w:id="1393889328">
      <w:bodyDiv w:val="1"/>
      <w:marLeft w:val="0"/>
      <w:marRight w:val="0"/>
      <w:marTop w:val="0"/>
      <w:marBottom w:val="0"/>
      <w:divBdr>
        <w:top w:val="none" w:sz="0" w:space="0" w:color="auto"/>
        <w:left w:val="none" w:sz="0" w:space="0" w:color="auto"/>
        <w:bottom w:val="none" w:sz="0" w:space="0" w:color="auto"/>
        <w:right w:val="none" w:sz="0" w:space="0" w:color="auto"/>
      </w:divBdr>
    </w:div>
    <w:div w:id="1425568467">
      <w:bodyDiv w:val="1"/>
      <w:marLeft w:val="0"/>
      <w:marRight w:val="0"/>
      <w:marTop w:val="0"/>
      <w:marBottom w:val="0"/>
      <w:divBdr>
        <w:top w:val="none" w:sz="0" w:space="0" w:color="auto"/>
        <w:left w:val="none" w:sz="0" w:space="0" w:color="auto"/>
        <w:bottom w:val="none" w:sz="0" w:space="0" w:color="auto"/>
        <w:right w:val="none" w:sz="0" w:space="0" w:color="auto"/>
      </w:divBdr>
    </w:div>
    <w:div w:id="1490631007">
      <w:bodyDiv w:val="1"/>
      <w:marLeft w:val="0"/>
      <w:marRight w:val="0"/>
      <w:marTop w:val="0"/>
      <w:marBottom w:val="0"/>
      <w:divBdr>
        <w:top w:val="none" w:sz="0" w:space="0" w:color="auto"/>
        <w:left w:val="none" w:sz="0" w:space="0" w:color="auto"/>
        <w:bottom w:val="none" w:sz="0" w:space="0" w:color="auto"/>
        <w:right w:val="none" w:sz="0" w:space="0" w:color="auto"/>
      </w:divBdr>
    </w:div>
    <w:div w:id="1607419971">
      <w:bodyDiv w:val="1"/>
      <w:marLeft w:val="0"/>
      <w:marRight w:val="0"/>
      <w:marTop w:val="0"/>
      <w:marBottom w:val="0"/>
      <w:divBdr>
        <w:top w:val="none" w:sz="0" w:space="0" w:color="auto"/>
        <w:left w:val="none" w:sz="0" w:space="0" w:color="auto"/>
        <w:bottom w:val="none" w:sz="0" w:space="0" w:color="auto"/>
        <w:right w:val="none" w:sz="0" w:space="0" w:color="auto"/>
      </w:divBdr>
    </w:div>
    <w:div w:id="1779058051">
      <w:bodyDiv w:val="1"/>
      <w:marLeft w:val="0"/>
      <w:marRight w:val="0"/>
      <w:marTop w:val="0"/>
      <w:marBottom w:val="0"/>
      <w:divBdr>
        <w:top w:val="none" w:sz="0" w:space="0" w:color="auto"/>
        <w:left w:val="none" w:sz="0" w:space="0" w:color="auto"/>
        <w:bottom w:val="none" w:sz="0" w:space="0" w:color="auto"/>
        <w:right w:val="none" w:sz="0" w:space="0" w:color="auto"/>
      </w:divBdr>
    </w:div>
    <w:div w:id="1787234949">
      <w:bodyDiv w:val="1"/>
      <w:marLeft w:val="0"/>
      <w:marRight w:val="0"/>
      <w:marTop w:val="0"/>
      <w:marBottom w:val="0"/>
      <w:divBdr>
        <w:top w:val="none" w:sz="0" w:space="0" w:color="auto"/>
        <w:left w:val="none" w:sz="0" w:space="0" w:color="auto"/>
        <w:bottom w:val="none" w:sz="0" w:space="0" w:color="auto"/>
        <w:right w:val="none" w:sz="0" w:space="0" w:color="auto"/>
      </w:divBdr>
    </w:div>
    <w:div w:id="1823808678">
      <w:bodyDiv w:val="1"/>
      <w:marLeft w:val="0"/>
      <w:marRight w:val="0"/>
      <w:marTop w:val="0"/>
      <w:marBottom w:val="0"/>
      <w:divBdr>
        <w:top w:val="none" w:sz="0" w:space="0" w:color="auto"/>
        <w:left w:val="none" w:sz="0" w:space="0" w:color="auto"/>
        <w:bottom w:val="none" w:sz="0" w:space="0" w:color="auto"/>
        <w:right w:val="none" w:sz="0" w:space="0" w:color="auto"/>
      </w:divBdr>
    </w:div>
    <w:div w:id="1829244264">
      <w:bodyDiv w:val="1"/>
      <w:marLeft w:val="0"/>
      <w:marRight w:val="0"/>
      <w:marTop w:val="0"/>
      <w:marBottom w:val="0"/>
      <w:divBdr>
        <w:top w:val="none" w:sz="0" w:space="0" w:color="auto"/>
        <w:left w:val="none" w:sz="0" w:space="0" w:color="auto"/>
        <w:bottom w:val="none" w:sz="0" w:space="0" w:color="auto"/>
        <w:right w:val="none" w:sz="0" w:space="0" w:color="auto"/>
      </w:divBdr>
    </w:div>
    <w:div w:id="1837577504">
      <w:bodyDiv w:val="1"/>
      <w:marLeft w:val="0"/>
      <w:marRight w:val="0"/>
      <w:marTop w:val="0"/>
      <w:marBottom w:val="0"/>
      <w:divBdr>
        <w:top w:val="none" w:sz="0" w:space="0" w:color="auto"/>
        <w:left w:val="none" w:sz="0" w:space="0" w:color="auto"/>
        <w:bottom w:val="none" w:sz="0" w:space="0" w:color="auto"/>
        <w:right w:val="none" w:sz="0" w:space="0" w:color="auto"/>
      </w:divBdr>
    </w:div>
    <w:div w:id="1868563153">
      <w:bodyDiv w:val="1"/>
      <w:marLeft w:val="0"/>
      <w:marRight w:val="0"/>
      <w:marTop w:val="0"/>
      <w:marBottom w:val="0"/>
      <w:divBdr>
        <w:top w:val="none" w:sz="0" w:space="0" w:color="auto"/>
        <w:left w:val="none" w:sz="0" w:space="0" w:color="auto"/>
        <w:bottom w:val="none" w:sz="0" w:space="0" w:color="auto"/>
        <w:right w:val="none" w:sz="0" w:space="0" w:color="auto"/>
      </w:divBdr>
    </w:div>
    <w:div w:id="1872179342">
      <w:bodyDiv w:val="1"/>
      <w:marLeft w:val="0"/>
      <w:marRight w:val="0"/>
      <w:marTop w:val="0"/>
      <w:marBottom w:val="0"/>
      <w:divBdr>
        <w:top w:val="none" w:sz="0" w:space="0" w:color="auto"/>
        <w:left w:val="none" w:sz="0" w:space="0" w:color="auto"/>
        <w:bottom w:val="none" w:sz="0" w:space="0" w:color="auto"/>
        <w:right w:val="none" w:sz="0" w:space="0" w:color="auto"/>
      </w:divBdr>
    </w:div>
    <w:div w:id="1899658384">
      <w:bodyDiv w:val="1"/>
      <w:marLeft w:val="0"/>
      <w:marRight w:val="0"/>
      <w:marTop w:val="0"/>
      <w:marBottom w:val="0"/>
      <w:divBdr>
        <w:top w:val="none" w:sz="0" w:space="0" w:color="auto"/>
        <w:left w:val="none" w:sz="0" w:space="0" w:color="auto"/>
        <w:bottom w:val="none" w:sz="0" w:space="0" w:color="auto"/>
        <w:right w:val="none" w:sz="0" w:space="0" w:color="auto"/>
      </w:divBdr>
    </w:div>
    <w:div w:id="1945913949">
      <w:bodyDiv w:val="1"/>
      <w:marLeft w:val="0"/>
      <w:marRight w:val="0"/>
      <w:marTop w:val="0"/>
      <w:marBottom w:val="0"/>
      <w:divBdr>
        <w:top w:val="none" w:sz="0" w:space="0" w:color="auto"/>
        <w:left w:val="none" w:sz="0" w:space="0" w:color="auto"/>
        <w:bottom w:val="none" w:sz="0" w:space="0" w:color="auto"/>
        <w:right w:val="none" w:sz="0" w:space="0" w:color="auto"/>
      </w:divBdr>
    </w:div>
    <w:div w:id="2107340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free-law-essays/human-rights/case-of-holley.php" TargetMode="Externa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hyperlink" Target="https://www.lawcom.gov.uk/project/unfair-terms-in-contracts/" TargetMode="Externa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global.oup.com/uk/orc/law/criminal/heaton4e/resources/casematerial/bychapter/ch06/" TargetMode="External" /><Relationship Id="rId5" Type="http://schemas.openxmlformats.org/officeDocument/2006/relationships/webSettings" Target="webSettings.xml" /><Relationship Id="rId10" Type="http://schemas.openxmlformats.org/officeDocument/2006/relationships/hyperlink" Target="https://www.legislation.gov.uk/ukpga/2009/25/contents" TargetMode="External" /><Relationship Id="rId4" Type="http://schemas.openxmlformats.org/officeDocument/2006/relationships/settings" Target="settings.xml" /><Relationship Id="rId9" Type="http://schemas.openxmlformats.org/officeDocument/2006/relationships/hyperlink" Target="https://www.legislation.gov.uk/ukpga/Eliz2/5-6/11/content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Leg57</b:Tag>
    <b:SourceType>InternetSite</b:SourceType>
    <b:Guid>{00164A54-F8B9-458A-AC31-D83A23D781E7}</b:Guid>
    <b:Author>
      <b:Author>
        <b:Corporate>Legislation.gov.uk</b:Corporate>
      </b:Author>
    </b:Author>
    <b:Title>Homicide Act 1957</b:Title>
    <b:Year>1957</b:Year>
    <b:URL>https://www.legislation.gov.uk/ukpga/Eliz2/5-6/11/contents</b:URL>
    <b:RefOrder>1</b:RefOrder>
  </b:Source>
  <b:Source>
    <b:Tag>Leg09</b:Tag>
    <b:SourceType>InternetSite</b:SourceType>
    <b:Guid>{4B0087B5-A204-4AAB-9D0B-82D7C78E69A3}</b:Guid>
    <b:Author>
      <b:Author>
        <b:Corporate>Legislation.gov.uk</b:Corporate>
      </b:Author>
    </b:Author>
    <b:Title>Coroners and Justice Act 2009</b:Title>
    <b:Year>2009</b:Year>
    <b:URL>https://www.legislation.gov.uk/ukpga/2009/25/contents</b:URL>
    <b:RefOrder>3</b:RefOrder>
  </b:Source>
  <b:Source>
    <b:Tag>Law13</b:Tag>
    <b:SourceType>InternetSite</b:SourceType>
    <b:Guid>{404E155A-CF51-4C44-ABEA-48EC3B9FB569}</b:Guid>
    <b:Author>
      <b:Author>
        <b:Corporate>Law Commission UK</b:Corporate>
      </b:Author>
    </b:Author>
    <b:Title>Unfair Terms in Contracts</b:Title>
    <b:Year>2013</b:Year>
    <b:URL>https://www.lawcom.gov.uk/project/unfair-terms-in-contracts/#:~:text=The%202005%20Report&amp;text=The%20two%20Law%20Commissions%20recommended,employing%209%20or%20fewer%20staff).</b:URL>
    <b:RefOrder>4</b:RefOrder>
  </b:Source>
  <b:Source>
    <b:Tag>Law19</b:Tag>
    <b:SourceType>InternetSite</b:SourceType>
    <b:Guid>{6838D53F-E671-4E19-9242-8D521D4765FE}</b:Guid>
    <b:Author>
      <b:Author>
        <b:Corporate>Law Teacher</b:Corporate>
      </b:Author>
    </b:Author>
    <b:Title>Case of Holley</b:Title>
    <b:Year>2019</b:Year>
    <b:URL>https://www.lawteacher.net/free-law-essays/human-rights/case-of-holley.php</b:URL>
    <b:RefOrder>5</b:RefOrder>
  </b:Source>
  <b:Source>
    <b:Tag>Oxf16</b:Tag>
    <b:SourceType>InternetSite</b:SourceType>
    <b:Guid>{CFFC3B23-6E2C-46D2-9153-A734FE646125}</b:Guid>
    <b:Author>
      <b:Author>
        <b:Corporate>Oxford University Press </b:Corporate>
      </b:Author>
    </b:Author>
    <b:Title>R v DUFFY [1949]</b:Title>
    <b:Year>2016</b:Year>
    <b:URL>https://global.oup.com/uk/orc/law/criminal/heaton4e/resources/casematerial/bychapter/ch06/#c</b:URL>
    <b:RefOrder>2</b:RefOrder>
  </b:Source>
</b:Sources>
</file>

<file path=customXml/itemProps1.xml><?xml version="1.0" encoding="utf-8"?>
<ds:datastoreItem xmlns:ds="http://schemas.openxmlformats.org/officeDocument/2006/customXml" ds:itemID="{6BD58401-B7CC-402C-A686-D9ACFD27E55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1841</Words>
  <Characters>10499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Ali Fayyaz</cp:lastModifiedBy>
  <cp:revision>2</cp:revision>
  <dcterms:created xsi:type="dcterms:W3CDTF">2023-07-07T22:43:00Z</dcterms:created>
  <dcterms:modified xsi:type="dcterms:W3CDTF">2023-07-07T22:43:00Z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71cd6ffb-9fdc-4f4c-b46a-a192304e3faa</vt:lpwstr>
  </property>
</Properties>
</file>