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CE3F1" w14:textId="77777777" w:rsidR="00210CA0" w:rsidRPr="00F4799C" w:rsidRDefault="00210CA0" w:rsidP="00210CA0">
      <w:pPr>
        <w:jc w:val="center"/>
        <w:rPr>
          <w:rFonts w:asciiTheme="minorBidi" w:hAnsiTheme="minorBidi"/>
        </w:rPr>
      </w:pPr>
      <w:r>
        <w:t>`</w:t>
      </w:r>
      <w:r w:rsidRPr="00F4799C">
        <w:rPr>
          <w:rFonts w:asciiTheme="minorBidi" w:hAnsiTheme="minorBidi"/>
          <w:noProof/>
        </w:rPr>
        <w:drawing>
          <wp:inline distT="0" distB="0" distL="0" distR="0" wp14:anchorId="2EFBC2A2" wp14:editId="0B669334">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92178A8" w14:textId="77777777" w:rsidR="00210CA0" w:rsidRPr="00F4799C" w:rsidRDefault="00210CA0" w:rsidP="00210CA0">
      <w:pPr>
        <w:rPr>
          <w:rFonts w:asciiTheme="minorBidi" w:hAnsiTheme="minorBidi"/>
        </w:rPr>
      </w:pPr>
    </w:p>
    <w:p w14:paraId="541E9248" w14:textId="77777777" w:rsidR="00210CA0" w:rsidRPr="00F4799C" w:rsidRDefault="00210CA0" w:rsidP="00210CA0">
      <w:pPr>
        <w:jc w:val="center"/>
        <w:rPr>
          <w:rFonts w:asciiTheme="minorBidi" w:hAnsiTheme="minorBidi"/>
        </w:rPr>
      </w:pPr>
    </w:p>
    <w:p w14:paraId="38963D07" w14:textId="77777777" w:rsidR="00210CA0" w:rsidRDefault="00210CA0" w:rsidP="00210CA0">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Ronak Rameshbhai Sojitra</w:t>
      </w:r>
      <w:r w:rsidRPr="00F4799C">
        <w:rPr>
          <w:rFonts w:asciiTheme="minorBidi" w:hAnsiTheme="minorBidi"/>
          <w:b/>
          <w:bCs/>
          <w:sz w:val="28"/>
          <w:szCs w:val="28"/>
        </w:rPr>
        <w:t xml:space="preserve"> </w:t>
      </w:r>
    </w:p>
    <w:p w14:paraId="02556F56" w14:textId="0670D7FB" w:rsidR="00210CA0" w:rsidRPr="00F4799C" w:rsidRDefault="00210CA0" w:rsidP="00210CA0">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2519657</w:t>
      </w:r>
    </w:p>
    <w:p w14:paraId="229CEBE5" w14:textId="77777777" w:rsidR="00210CA0" w:rsidRPr="00F4799C" w:rsidRDefault="00210CA0" w:rsidP="00210CA0">
      <w:pPr>
        <w:jc w:val="center"/>
        <w:rPr>
          <w:rFonts w:asciiTheme="minorBidi" w:hAnsiTheme="minorBidi"/>
          <w:sz w:val="28"/>
          <w:szCs w:val="28"/>
        </w:rPr>
      </w:pPr>
    </w:p>
    <w:p w14:paraId="791265C4" w14:textId="77777777" w:rsidR="00210CA0" w:rsidRPr="00F4799C" w:rsidRDefault="00210CA0" w:rsidP="00210CA0">
      <w:pPr>
        <w:jc w:val="center"/>
        <w:rPr>
          <w:rFonts w:asciiTheme="minorBidi" w:hAnsiTheme="minorBidi"/>
          <w:sz w:val="28"/>
          <w:szCs w:val="28"/>
        </w:rPr>
      </w:pPr>
    </w:p>
    <w:p w14:paraId="51D6FC2D" w14:textId="77777777" w:rsidR="00210CA0" w:rsidRPr="00F4799C" w:rsidRDefault="00210CA0" w:rsidP="00210CA0">
      <w:pPr>
        <w:jc w:val="center"/>
        <w:rPr>
          <w:rFonts w:asciiTheme="minorBidi" w:hAnsiTheme="minorBidi"/>
          <w:b/>
          <w:bCs/>
          <w:sz w:val="28"/>
          <w:szCs w:val="28"/>
        </w:rPr>
      </w:pPr>
      <w:r w:rsidRPr="00F4799C">
        <w:rPr>
          <w:rFonts w:asciiTheme="minorBidi" w:hAnsiTheme="minorBidi"/>
          <w:b/>
          <w:bCs/>
          <w:sz w:val="28"/>
          <w:szCs w:val="28"/>
        </w:rPr>
        <w:t>Module Name</w:t>
      </w:r>
      <w:r>
        <w:rPr>
          <w:rFonts w:asciiTheme="minorBidi" w:hAnsiTheme="minorBidi"/>
          <w:b/>
          <w:bCs/>
          <w:sz w:val="28"/>
          <w:szCs w:val="28"/>
        </w:rPr>
        <w:t xml:space="preserve"> </w:t>
      </w:r>
      <w:r w:rsidRPr="00F4799C">
        <w:rPr>
          <w:rFonts w:asciiTheme="minorBidi" w:hAnsiTheme="minorBidi"/>
          <w:b/>
          <w:bCs/>
          <w:sz w:val="28"/>
          <w:szCs w:val="28"/>
        </w:rPr>
        <w:t>: Marketing Management</w:t>
      </w:r>
    </w:p>
    <w:p w14:paraId="3F951A72" w14:textId="77777777" w:rsidR="00210CA0" w:rsidRPr="00F4799C" w:rsidRDefault="00210CA0" w:rsidP="00210CA0">
      <w:pPr>
        <w:jc w:val="center"/>
        <w:rPr>
          <w:rFonts w:asciiTheme="minorBidi" w:hAnsiTheme="minorBidi"/>
          <w:b/>
          <w:bCs/>
          <w:sz w:val="28"/>
          <w:szCs w:val="28"/>
        </w:rPr>
      </w:pPr>
      <w:r w:rsidRPr="00F4799C">
        <w:rPr>
          <w:rFonts w:asciiTheme="minorBidi" w:hAnsiTheme="minorBidi"/>
          <w:b/>
          <w:bCs/>
          <w:sz w:val="28"/>
          <w:szCs w:val="28"/>
        </w:rPr>
        <w:t>Module Code</w:t>
      </w:r>
      <w:r>
        <w:rPr>
          <w:rFonts w:asciiTheme="minorBidi" w:hAnsiTheme="minorBidi"/>
          <w:b/>
          <w:bCs/>
          <w:sz w:val="28"/>
          <w:szCs w:val="28"/>
        </w:rPr>
        <w:t xml:space="preserve"> </w:t>
      </w:r>
      <w:r w:rsidRPr="00F4799C">
        <w:rPr>
          <w:rFonts w:asciiTheme="minorBidi" w:hAnsiTheme="minorBidi"/>
          <w:b/>
          <w:bCs/>
          <w:sz w:val="28"/>
          <w:szCs w:val="28"/>
        </w:rPr>
        <w:t>: LCMB7024</w:t>
      </w:r>
    </w:p>
    <w:p w14:paraId="562467EC" w14:textId="77777777" w:rsidR="00210CA0" w:rsidRPr="00F4799C" w:rsidRDefault="00210CA0" w:rsidP="00210CA0">
      <w:pPr>
        <w:jc w:val="center"/>
        <w:rPr>
          <w:rFonts w:asciiTheme="minorBidi" w:hAnsiTheme="minorBidi"/>
          <w:b/>
          <w:bCs/>
          <w:sz w:val="28"/>
          <w:szCs w:val="28"/>
        </w:rPr>
      </w:pPr>
    </w:p>
    <w:p w14:paraId="4DB3A0C6" w14:textId="77777777" w:rsidR="00210CA0" w:rsidRPr="00F4799C" w:rsidRDefault="00210CA0" w:rsidP="00210CA0">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w:t>
      </w:r>
      <w:r w:rsidRPr="005A3D94">
        <w:rPr>
          <w:b/>
          <w:bCs/>
        </w:rPr>
        <w:t>Dr Muhammad Tariq</w:t>
      </w:r>
    </w:p>
    <w:p w14:paraId="7F2BB62D" w14:textId="77777777" w:rsidR="00210CA0" w:rsidRPr="00F4799C" w:rsidRDefault="00210CA0" w:rsidP="00210CA0">
      <w:pPr>
        <w:rPr>
          <w:rFonts w:asciiTheme="minorBidi" w:hAnsiTheme="minorBidi"/>
          <w:b/>
          <w:bCs/>
          <w:sz w:val="28"/>
          <w:szCs w:val="28"/>
        </w:rPr>
      </w:pPr>
    </w:p>
    <w:p w14:paraId="4AF8CBEA" w14:textId="26121F3F" w:rsidR="00210CA0" w:rsidRDefault="00210CA0" w:rsidP="00210CA0">
      <w:pPr>
        <w:jc w:val="center"/>
        <w:rPr>
          <w:rFonts w:asciiTheme="minorBidi" w:hAnsiTheme="minorBidi"/>
          <w:b/>
          <w:bCs/>
          <w:sz w:val="28"/>
          <w:szCs w:val="28"/>
        </w:rPr>
      </w:pPr>
      <w:r w:rsidRPr="00F4799C">
        <w:rPr>
          <w:rFonts w:asciiTheme="minorBidi" w:hAnsiTheme="minorBidi"/>
          <w:b/>
          <w:bCs/>
          <w:sz w:val="28"/>
          <w:szCs w:val="28"/>
        </w:rPr>
        <w:t>Wor</w:t>
      </w:r>
      <w:r w:rsidR="00EB3B9A">
        <w:rPr>
          <w:rFonts w:asciiTheme="minorBidi" w:hAnsiTheme="minorBidi"/>
          <w:b/>
          <w:bCs/>
          <w:sz w:val="28"/>
          <w:szCs w:val="28"/>
        </w:rPr>
        <w:t>d</w:t>
      </w:r>
      <w:r w:rsidRPr="00F4799C">
        <w:rPr>
          <w:rFonts w:asciiTheme="minorBidi" w:hAnsiTheme="minorBidi"/>
          <w:b/>
          <w:bCs/>
          <w:sz w:val="28"/>
          <w:szCs w:val="28"/>
        </w:rPr>
        <w:t xml:space="preserve"> Count</w:t>
      </w:r>
      <w:r>
        <w:rPr>
          <w:rFonts w:asciiTheme="minorBidi" w:hAnsiTheme="minorBidi"/>
          <w:b/>
          <w:bCs/>
          <w:sz w:val="28"/>
          <w:szCs w:val="28"/>
        </w:rPr>
        <w:t xml:space="preserve"> </w:t>
      </w:r>
      <w:r w:rsidRPr="00F4799C">
        <w:rPr>
          <w:rFonts w:asciiTheme="minorBidi" w:hAnsiTheme="minorBidi"/>
          <w:b/>
          <w:bCs/>
          <w:sz w:val="28"/>
          <w:szCs w:val="28"/>
        </w:rPr>
        <w:t>:</w:t>
      </w:r>
      <w:r>
        <w:rPr>
          <w:rFonts w:asciiTheme="minorBidi" w:hAnsiTheme="minorBidi"/>
          <w:b/>
          <w:bCs/>
          <w:sz w:val="28"/>
          <w:szCs w:val="28"/>
        </w:rPr>
        <w:t xml:space="preserve"> 2200</w:t>
      </w:r>
    </w:p>
    <w:p w14:paraId="45B3BBAE" w14:textId="77777777" w:rsidR="00210CA0" w:rsidRDefault="00210CA0" w:rsidP="00210CA0">
      <w:pPr>
        <w:jc w:val="center"/>
        <w:rPr>
          <w:rFonts w:asciiTheme="minorBidi" w:hAnsiTheme="minorBidi"/>
          <w:b/>
          <w:bCs/>
          <w:sz w:val="28"/>
          <w:szCs w:val="28"/>
        </w:rPr>
      </w:pPr>
    </w:p>
    <w:p w14:paraId="1B33DCBA" w14:textId="77777777" w:rsidR="00210CA0" w:rsidRDefault="00210CA0" w:rsidP="00210CA0">
      <w:pPr>
        <w:jc w:val="center"/>
        <w:rPr>
          <w:rFonts w:asciiTheme="minorBidi" w:eastAsia="Times New Roman" w:hAnsiTheme="minorBidi" w:cstheme="minorBidi"/>
          <w:b/>
          <w:bCs/>
          <w:sz w:val="28"/>
          <w:szCs w:val="28"/>
        </w:rPr>
      </w:pPr>
      <w:r w:rsidRPr="005E7D9C">
        <w:rPr>
          <w:rFonts w:asciiTheme="minorBidi" w:eastAsia="Times New Roman" w:hAnsiTheme="minorBidi" w:cstheme="minorBidi"/>
          <w:b/>
          <w:bCs/>
          <w:sz w:val="28"/>
          <w:szCs w:val="28"/>
        </w:rPr>
        <w:t>Submission Date: 01 May 2026</w:t>
      </w:r>
    </w:p>
    <w:p w14:paraId="2FA78F3B" w14:textId="77777777" w:rsidR="00210CA0" w:rsidRDefault="00210CA0" w:rsidP="00210CA0">
      <w:pPr>
        <w:jc w:val="center"/>
        <w:rPr>
          <w:rFonts w:asciiTheme="minorBidi" w:eastAsia="Times New Roman" w:hAnsiTheme="minorBidi" w:cstheme="minorBidi"/>
          <w:b/>
          <w:bCs/>
          <w:sz w:val="28"/>
          <w:szCs w:val="28"/>
        </w:rPr>
      </w:pPr>
    </w:p>
    <w:p w14:paraId="4A2EA519" w14:textId="77777777" w:rsidR="00210CA0" w:rsidRPr="005E7D9C" w:rsidRDefault="00210CA0" w:rsidP="00210CA0">
      <w:pPr>
        <w:jc w:val="center"/>
        <w:rPr>
          <w:rFonts w:asciiTheme="minorBidi" w:hAnsiTheme="minorBidi" w:cstheme="minorBidi"/>
          <w:b/>
          <w:bCs/>
          <w:sz w:val="28"/>
          <w:szCs w:val="28"/>
        </w:rPr>
      </w:pPr>
    </w:p>
    <w:p w14:paraId="57B138FA" w14:textId="7A8081AD" w:rsidR="00615557" w:rsidRDefault="00210CA0" w:rsidP="00210CA0">
      <w:pPr>
        <w:spacing w:after="800" w:line="360" w:lineRule="auto"/>
        <w:jc w:val="center"/>
        <w:rPr>
          <w:rFonts w:asciiTheme="minorBidi" w:hAnsiTheme="minorBidi"/>
          <w:b/>
          <w:bCs/>
          <w:sz w:val="28"/>
          <w:szCs w:val="28"/>
        </w:rPr>
      </w:pPr>
      <w:r w:rsidRPr="00F4799C">
        <w:rPr>
          <w:rFonts w:asciiTheme="minorBidi" w:hAnsiTheme="minorBidi"/>
          <w:b/>
          <w:bCs/>
          <w:sz w:val="28"/>
          <w:szCs w:val="28"/>
        </w:rPr>
        <w:t>Term 1</w:t>
      </w:r>
    </w:p>
    <w:p w14:paraId="13C8B860" w14:textId="77777777" w:rsidR="00210CA0" w:rsidRDefault="00210CA0" w:rsidP="00210CA0">
      <w:pPr>
        <w:spacing w:after="800" w:line="360" w:lineRule="auto"/>
        <w:jc w:val="center"/>
        <w:rPr>
          <w:rFonts w:asciiTheme="minorBidi" w:hAnsiTheme="minorBidi"/>
          <w:b/>
          <w:bCs/>
          <w:sz w:val="28"/>
          <w:szCs w:val="28"/>
        </w:rPr>
      </w:pPr>
    </w:p>
    <w:p w14:paraId="7D463A97" w14:textId="77777777" w:rsidR="00210CA0" w:rsidRDefault="00210CA0" w:rsidP="00210CA0">
      <w:pPr>
        <w:spacing w:after="800" w:line="360" w:lineRule="auto"/>
        <w:jc w:val="center"/>
      </w:pPr>
    </w:p>
    <w:p w14:paraId="7D98E1B9" w14:textId="0C6B8005" w:rsidR="00615557" w:rsidRDefault="00615557" w:rsidP="00210CA0">
      <w:pPr>
        <w:spacing w:after="80" w:line="360" w:lineRule="auto"/>
        <w:jc w:val="center"/>
        <w:rPr>
          <w:b/>
          <w:bCs/>
          <w:sz w:val="30"/>
          <w:szCs w:val="30"/>
        </w:rPr>
      </w:pPr>
    </w:p>
    <w:p w14:paraId="0A36C9F8" w14:textId="77777777" w:rsidR="00210CA0" w:rsidRDefault="00210CA0" w:rsidP="00210CA0">
      <w:pPr>
        <w:spacing w:after="80" w:line="360" w:lineRule="auto"/>
        <w:jc w:val="center"/>
        <w:rPr>
          <w:b/>
          <w:bCs/>
          <w:sz w:val="30"/>
          <w:szCs w:val="30"/>
        </w:rPr>
      </w:pPr>
    </w:p>
    <w:p w14:paraId="4F6304A3" w14:textId="77777777" w:rsidR="00210CA0" w:rsidRDefault="00210CA0" w:rsidP="00210CA0">
      <w:pPr>
        <w:spacing w:after="80" w:line="360" w:lineRule="auto"/>
        <w:jc w:val="center"/>
        <w:rPr>
          <w:b/>
          <w:bCs/>
          <w:sz w:val="30"/>
          <w:szCs w:val="30"/>
        </w:rPr>
      </w:pPr>
    </w:p>
    <w:p w14:paraId="6A0CA2CF" w14:textId="77777777" w:rsidR="00210CA0" w:rsidRDefault="00210CA0" w:rsidP="00210CA0">
      <w:pPr>
        <w:spacing w:after="80" w:line="360" w:lineRule="auto"/>
        <w:jc w:val="center"/>
        <w:rPr>
          <w:b/>
          <w:bCs/>
          <w:sz w:val="30"/>
          <w:szCs w:val="30"/>
        </w:rPr>
      </w:pPr>
    </w:p>
    <w:p w14:paraId="7588E4AD" w14:textId="77777777" w:rsidR="00210CA0" w:rsidRDefault="00210CA0" w:rsidP="00210CA0">
      <w:pPr>
        <w:spacing w:after="80" w:line="360" w:lineRule="auto"/>
        <w:jc w:val="center"/>
        <w:rPr>
          <w:b/>
          <w:bCs/>
          <w:sz w:val="30"/>
          <w:szCs w:val="30"/>
        </w:rPr>
      </w:pPr>
    </w:p>
    <w:p w14:paraId="34863485" w14:textId="77777777" w:rsidR="00210CA0" w:rsidRDefault="00210CA0" w:rsidP="00210CA0">
      <w:pPr>
        <w:spacing w:after="80" w:line="360" w:lineRule="auto"/>
        <w:jc w:val="center"/>
        <w:rPr>
          <w:b/>
          <w:bCs/>
          <w:sz w:val="30"/>
          <w:szCs w:val="30"/>
        </w:rPr>
      </w:pPr>
    </w:p>
    <w:p w14:paraId="6EB98B5E" w14:textId="77777777" w:rsidR="00210CA0" w:rsidRDefault="00210CA0" w:rsidP="00210CA0">
      <w:pPr>
        <w:spacing w:after="80" w:line="360" w:lineRule="auto"/>
        <w:jc w:val="center"/>
        <w:rPr>
          <w:b/>
          <w:bCs/>
          <w:sz w:val="30"/>
          <w:szCs w:val="30"/>
        </w:rPr>
      </w:pPr>
    </w:p>
    <w:p w14:paraId="18CD5784" w14:textId="77777777" w:rsidR="00210CA0" w:rsidRDefault="00210CA0" w:rsidP="00210CA0">
      <w:pPr>
        <w:spacing w:after="80" w:line="360" w:lineRule="auto"/>
        <w:jc w:val="center"/>
        <w:rPr>
          <w:b/>
          <w:bCs/>
          <w:sz w:val="30"/>
          <w:szCs w:val="30"/>
        </w:rPr>
      </w:pPr>
    </w:p>
    <w:p w14:paraId="47F8B995" w14:textId="77777777" w:rsidR="00210CA0" w:rsidRDefault="00210CA0" w:rsidP="00210CA0">
      <w:pPr>
        <w:spacing w:after="80" w:line="360" w:lineRule="auto"/>
        <w:jc w:val="center"/>
        <w:rPr>
          <w:b/>
          <w:bCs/>
          <w:sz w:val="30"/>
          <w:szCs w:val="30"/>
        </w:rPr>
      </w:pPr>
    </w:p>
    <w:p w14:paraId="5BE9DA38" w14:textId="77777777" w:rsidR="00210CA0" w:rsidRDefault="00210CA0" w:rsidP="00210CA0">
      <w:pPr>
        <w:spacing w:after="80" w:line="360" w:lineRule="auto"/>
        <w:jc w:val="center"/>
      </w:pPr>
    </w:p>
    <w:p w14:paraId="6D187475" w14:textId="77777777" w:rsidR="00615557" w:rsidRDefault="00000000" w:rsidP="003A2593">
      <w:pPr>
        <w:spacing w:after="120" w:line="360" w:lineRule="auto"/>
        <w:jc w:val="center"/>
      </w:pPr>
      <w:r>
        <w:rPr>
          <w:b/>
          <w:bCs/>
          <w:sz w:val="32"/>
          <w:szCs w:val="32"/>
        </w:rPr>
        <w:t>Marketing Strategies Portfolio</w:t>
      </w:r>
    </w:p>
    <w:p w14:paraId="5E38AF41" w14:textId="77777777" w:rsidR="00615557" w:rsidRDefault="00000000" w:rsidP="003A2593">
      <w:pPr>
        <w:spacing w:after="800" w:line="360" w:lineRule="auto"/>
        <w:jc w:val="center"/>
      </w:pPr>
      <w:r>
        <w:rPr>
          <w:b/>
          <w:bCs/>
          <w:sz w:val="26"/>
          <w:szCs w:val="26"/>
        </w:rPr>
        <w:t>Brand Development: Google EduLens – Smart AR Glasses for Students</w:t>
      </w:r>
    </w:p>
    <w:p w14:paraId="3FA8291B" w14:textId="77777777" w:rsidR="00615557" w:rsidRDefault="00615557" w:rsidP="003A2593">
      <w:pPr>
        <w:spacing w:after="500" w:line="360" w:lineRule="auto"/>
        <w:jc w:val="both"/>
      </w:pPr>
    </w:p>
    <w:p w14:paraId="5C8BEACB" w14:textId="77777777" w:rsidR="00615557" w:rsidRDefault="00615557" w:rsidP="003A2593">
      <w:pPr>
        <w:spacing w:line="360" w:lineRule="auto"/>
        <w:sectPr w:rsidR="00615557">
          <w:pgSz w:w="11906" w:h="16838"/>
          <w:pgMar w:top="1440" w:right="1440" w:bottom="1440" w:left="1440" w:header="708" w:footer="708" w:gutter="0"/>
          <w:cols w:space="720"/>
          <w:docGrid w:linePitch="360"/>
        </w:sectPr>
      </w:pPr>
    </w:p>
    <w:p w14:paraId="7EBB4C4E" w14:textId="77777777" w:rsidR="00615557" w:rsidRDefault="00000000" w:rsidP="003A2593">
      <w:pPr>
        <w:spacing w:after="300" w:line="360" w:lineRule="auto"/>
      </w:pPr>
      <w:r>
        <w:rPr>
          <w:b/>
          <w:bCs/>
          <w:sz w:val="32"/>
          <w:szCs w:val="32"/>
        </w:rPr>
        <w:lastRenderedPageBreak/>
        <w:t>Table of Contents</w:t>
      </w:r>
    </w:p>
    <w:sdt>
      <w:sdtPr>
        <w:alias w:val="TOC"/>
        <w:id w:val="-245656622"/>
      </w:sdtPr>
      <w:sdtContent>
        <w:p w14:paraId="726B4604" w14:textId="77777777" w:rsidR="00145259" w:rsidRDefault="00000000" w:rsidP="003A2593">
          <w:pPr>
            <w:pStyle w:val="TOC1"/>
            <w:tabs>
              <w:tab w:val="right" w:leader="dot" w:pos="9016"/>
            </w:tabs>
            <w:spacing w:line="360" w:lineRule="auto"/>
            <w:rPr>
              <w:noProof/>
            </w:rPr>
          </w:pPr>
          <w:r>
            <w:fldChar w:fldCharType="begin"/>
          </w:r>
          <w:r>
            <w:instrText>TOC \h \o "1-2"</w:instrText>
          </w:r>
          <w:r>
            <w:fldChar w:fldCharType="separate"/>
          </w:r>
          <w:hyperlink w:anchor="_Toc225888629" w:history="1">
            <w:r w:rsidR="00145259" w:rsidRPr="00B76CAD">
              <w:rPr>
                <w:rStyle w:val="Hyperlink"/>
                <w:noProof/>
              </w:rPr>
              <w:t>Element 1: Brand Extension – Google EduLens</w:t>
            </w:r>
            <w:r w:rsidR="00145259">
              <w:rPr>
                <w:noProof/>
              </w:rPr>
              <w:tab/>
            </w:r>
            <w:r w:rsidR="00145259">
              <w:rPr>
                <w:noProof/>
              </w:rPr>
              <w:fldChar w:fldCharType="begin"/>
            </w:r>
            <w:r w:rsidR="00145259">
              <w:rPr>
                <w:noProof/>
              </w:rPr>
              <w:instrText xml:space="preserve"> PAGEREF _Toc225888629 \h </w:instrText>
            </w:r>
            <w:r w:rsidR="00145259">
              <w:rPr>
                <w:noProof/>
              </w:rPr>
            </w:r>
            <w:r w:rsidR="00145259">
              <w:rPr>
                <w:noProof/>
              </w:rPr>
              <w:fldChar w:fldCharType="separate"/>
            </w:r>
            <w:r w:rsidR="00145259">
              <w:rPr>
                <w:noProof/>
              </w:rPr>
              <w:t>1</w:t>
            </w:r>
            <w:r w:rsidR="00145259">
              <w:rPr>
                <w:noProof/>
              </w:rPr>
              <w:fldChar w:fldCharType="end"/>
            </w:r>
          </w:hyperlink>
        </w:p>
        <w:p w14:paraId="186A070F" w14:textId="77777777" w:rsidR="00145259" w:rsidRDefault="00145259" w:rsidP="003A2593">
          <w:pPr>
            <w:pStyle w:val="TOC1"/>
            <w:tabs>
              <w:tab w:val="right" w:leader="dot" w:pos="9016"/>
            </w:tabs>
            <w:spacing w:line="360" w:lineRule="auto"/>
            <w:rPr>
              <w:noProof/>
            </w:rPr>
          </w:pPr>
          <w:hyperlink w:anchor="_Toc225888630" w:history="1">
            <w:r w:rsidRPr="00B76CAD">
              <w:rPr>
                <w:rStyle w:val="Hyperlink"/>
                <w:noProof/>
              </w:rPr>
              <w:t>Element 2: Segmentation, Targeting, Differentiation, and Positioning (STDP) Analysis</w:t>
            </w:r>
            <w:r>
              <w:rPr>
                <w:noProof/>
              </w:rPr>
              <w:tab/>
            </w:r>
            <w:r>
              <w:rPr>
                <w:noProof/>
              </w:rPr>
              <w:fldChar w:fldCharType="begin"/>
            </w:r>
            <w:r>
              <w:rPr>
                <w:noProof/>
              </w:rPr>
              <w:instrText xml:space="preserve"> PAGEREF _Toc225888630 \h </w:instrText>
            </w:r>
            <w:r>
              <w:rPr>
                <w:noProof/>
              </w:rPr>
            </w:r>
            <w:r>
              <w:rPr>
                <w:noProof/>
              </w:rPr>
              <w:fldChar w:fldCharType="separate"/>
            </w:r>
            <w:r>
              <w:rPr>
                <w:noProof/>
              </w:rPr>
              <w:t>1</w:t>
            </w:r>
            <w:r>
              <w:rPr>
                <w:noProof/>
              </w:rPr>
              <w:fldChar w:fldCharType="end"/>
            </w:r>
          </w:hyperlink>
        </w:p>
        <w:p w14:paraId="369D8AD0" w14:textId="77777777" w:rsidR="00145259" w:rsidRDefault="00145259" w:rsidP="003A2593">
          <w:pPr>
            <w:pStyle w:val="TOC2"/>
            <w:tabs>
              <w:tab w:val="right" w:leader="dot" w:pos="9016"/>
            </w:tabs>
            <w:spacing w:line="360" w:lineRule="auto"/>
            <w:rPr>
              <w:noProof/>
            </w:rPr>
          </w:pPr>
          <w:hyperlink w:anchor="_Toc225888631" w:history="1">
            <w:r w:rsidRPr="00B76CAD">
              <w:rPr>
                <w:rStyle w:val="Hyperlink"/>
                <w:noProof/>
              </w:rPr>
              <w:t>2.1 Market Segmentation</w:t>
            </w:r>
            <w:r>
              <w:rPr>
                <w:noProof/>
              </w:rPr>
              <w:tab/>
            </w:r>
            <w:r>
              <w:rPr>
                <w:noProof/>
              </w:rPr>
              <w:fldChar w:fldCharType="begin"/>
            </w:r>
            <w:r>
              <w:rPr>
                <w:noProof/>
              </w:rPr>
              <w:instrText xml:space="preserve"> PAGEREF _Toc225888631 \h </w:instrText>
            </w:r>
            <w:r>
              <w:rPr>
                <w:noProof/>
              </w:rPr>
            </w:r>
            <w:r>
              <w:rPr>
                <w:noProof/>
              </w:rPr>
              <w:fldChar w:fldCharType="separate"/>
            </w:r>
            <w:r>
              <w:rPr>
                <w:noProof/>
              </w:rPr>
              <w:t>1</w:t>
            </w:r>
            <w:r>
              <w:rPr>
                <w:noProof/>
              </w:rPr>
              <w:fldChar w:fldCharType="end"/>
            </w:r>
          </w:hyperlink>
        </w:p>
        <w:p w14:paraId="54E32886" w14:textId="77777777" w:rsidR="00145259" w:rsidRDefault="00145259" w:rsidP="003A2593">
          <w:pPr>
            <w:pStyle w:val="TOC2"/>
            <w:tabs>
              <w:tab w:val="right" w:leader="dot" w:pos="9016"/>
            </w:tabs>
            <w:spacing w:line="360" w:lineRule="auto"/>
            <w:rPr>
              <w:noProof/>
            </w:rPr>
          </w:pPr>
          <w:hyperlink w:anchor="_Toc225888632" w:history="1">
            <w:r w:rsidRPr="00B76CAD">
              <w:rPr>
                <w:rStyle w:val="Hyperlink"/>
                <w:noProof/>
              </w:rPr>
              <w:t>2.2 Target Market</w:t>
            </w:r>
            <w:r>
              <w:rPr>
                <w:noProof/>
              </w:rPr>
              <w:tab/>
            </w:r>
            <w:r>
              <w:rPr>
                <w:noProof/>
              </w:rPr>
              <w:fldChar w:fldCharType="begin"/>
            </w:r>
            <w:r>
              <w:rPr>
                <w:noProof/>
              </w:rPr>
              <w:instrText xml:space="preserve"> PAGEREF _Toc225888632 \h </w:instrText>
            </w:r>
            <w:r>
              <w:rPr>
                <w:noProof/>
              </w:rPr>
            </w:r>
            <w:r>
              <w:rPr>
                <w:noProof/>
              </w:rPr>
              <w:fldChar w:fldCharType="separate"/>
            </w:r>
            <w:r>
              <w:rPr>
                <w:noProof/>
              </w:rPr>
              <w:t>1</w:t>
            </w:r>
            <w:r>
              <w:rPr>
                <w:noProof/>
              </w:rPr>
              <w:fldChar w:fldCharType="end"/>
            </w:r>
          </w:hyperlink>
        </w:p>
        <w:p w14:paraId="29968A27" w14:textId="77777777" w:rsidR="00145259" w:rsidRDefault="00145259" w:rsidP="003A2593">
          <w:pPr>
            <w:pStyle w:val="TOC2"/>
            <w:tabs>
              <w:tab w:val="right" w:leader="dot" w:pos="9016"/>
            </w:tabs>
            <w:spacing w:line="360" w:lineRule="auto"/>
            <w:rPr>
              <w:noProof/>
            </w:rPr>
          </w:pPr>
          <w:hyperlink w:anchor="_Toc225888633" w:history="1">
            <w:r w:rsidRPr="00B76CAD">
              <w:rPr>
                <w:rStyle w:val="Hyperlink"/>
                <w:noProof/>
              </w:rPr>
              <w:t>2.3 Differentiation</w:t>
            </w:r>
            <w:r>
              <w:rPr>
                <w:noProof/>
              </w:rPr>
              <w:tab/>
            </w:r>
            <w:r>
              <w:rPr>
                <w:noProof/>
              </w:rPr>
              <w:fldChar w:fldCharType="begin"/>
            </w:r>
            <w:r>
              <w:rPr>
                <w:noProof/>
              </w:rPr>
              <w:instrText xml:space="preserve"> PAGEREF _Toc225888633 \h </w:instrText>
            </w:r>
            <w:r>
              <w:rPr>
                <w:noProof/>
              </w:rPr>
            </w:r>
            <w:r>
              <w:rPr>
                <w:noProof/>
              </w:rPr>
              <w:fldChar w:fldCharType="separate"/>
            </w:r>
            <w:r>
              <w:rPr>
                <w:noProof/>
              </w:rPr>
              <w:t>1</w:t>
            </w:r>
            <w:r>
              <w:rPr>
                <w:noProof/>
              </w:rPr>
              <w:fldChar w:fldCharType="end"/>
            </w:r>
          </w:hyperlink>
        </w:p>
        <w:p w14:paraId="0F3EBC1C" w14:textId="77777777" w:rsidR="00145259" w:rsidRDefault="00145259" w:rsidP="003A2593">
          <w:pPr>
            <w:pStyle w:val="TOC2"/>
            <w:tabs>
              <w:tab w:val="right" w:leader="dot" w:pos="9016"/>
            </w:tabs>
            <w:spacing w:line="360" w:lineRule="auto"/>
            <w:rPr>
              <w:noProof/>
            </w:rPr>
          </w:pPr>
          <w:hyperlink w:anchor="_Toc225888634" w:history="1">
            <w:r w:rsidRPr="00B76CAD">
              <w:rPr>
                <w:rStyle w:val="Hyperlink"/>
                <w:noProof/>
              </w:rPr>
              <w:t>2.4 Positioning</w:t>
            </w:r>
            <w:r>
              <w:rPr>
                <w:noProof/>
              </w:rPr>
              <w:tab/>
            </w:r>
            <w:r>
              <w:rPr>
                <w:noProof/>
              </w:rPr>
              <w:fldChar w:fldCharType="begin"/>
            </w:r>
            <w:r>
              <w:rPr>
                <w:noProof/>
              </w:rPr>
              <w:instrText xml:space="preserve"> PAGEREF _Toc225888634 \h </w:instrText>
            </w:r>
            <w:r>
              <w:rPr>
                <w:noProof/>
              </w:rPr>
            </w:r>
            <w:r>
              <w:rPr>
                <w:noProof/>
              </w:rPr>
              <w:fldChar w:fldCharType="separate"/>
            </w:r>
            <w:r>
              <w:rPr>
                <w:noProof/>
              </w:rPr>
              <w:t>1</w:t>
            </w:r>
            <w:r>
              <w:rPr>
                <w:noProof/>
              </w:rPr>
              <w:fldChar w:fldCharType="end"/>
            </w:r>
          </w:hyperlink>
        </w:p>
        <w:p w14:paraId="74C32BA7" w14:textId="77777777" w:rsidR="00145259" w:rsidRDefault="00145259" w:rsidP="003A2593">
          <w:pPr>
            <w:pStyle w:val="TOC1"/>
            <w:tabs>
              <w:tab w:val="right" w:leader="dot" w:pos="9016"/>
            </w:tabs>
            <w:spacing w:line="360" w:lineRule="auto"/>
            <w:rPr>
              <w:noProof/>
            </w:rPr>
          </w:pPr>
          <w:hyperlink w:anchor="_Toc225888635" w:history="1">
            <w:r w:rsidRPr="00B76CAD">
              <w:rPr>
                <w:rStyle w:val="Hyperlink"/>
                <w:noProof/>
              </w:rPr>
              <w:t>Element 3: Marketing Mix (7Ps)</w:t>
            </w:r>
            <w:r>
              <w:rPr>
                <w:noProof/>
              </w:rPr>
              <w:tab/>
            </w:r>
            <w:r>
              <w:rPr>
                <w:noProof/>
              </w:rPr>
              <w:fldChar w:fldCharType="begin"/>
            </w:r>
            <w:r>
              <w:rPr>
                <w:noProof/>
              </w:rPr>
              <w:instrText xml:space="preserve"> PAGEREF _Toc225888635 \h </w:instrText>
            </w:r>
            <w:r>
              <w:rPr>
                <w:noProof/>
              </w:rPr>
            </w:r>
            <w:r>
              <w:rPr>
                <w:noProof/>
              </w:rPr>
              <w:fldChar w:fldCharType="separate"/>
            </w:r>
            <w:r>
              <w:rPr>
                <w:noProof/>
              </w:rPr>
              <w:t>1</w:t>
            </w:r>
            <w:r>
              <w:rPr>
                <w:noProof/>
              </w:rPr>
              <w:fldChar w:fldCharType="end"/>
            </w:r>
          </w:hyperlink>
        </w:p>
        <w:p w14:paraId="7E6E8952" w14:textId="77777777" w:rsidR="00145259" w:rsidRDefault="00145259" w:rsidP="003A2593">
          <w:pPr>
            <w:pStyle w:val="TOC2"/>
            <w:tabs>
              <w:tab w:val="right" w:leader="dot" w:pos="9016"/>
            </w:tabs>
            <w:spacing w:line="360" w:lineRule="auto"/>
            <w:rPr>
              <w:noProof/>
            </w:rPr>
          </w:pPr>
          <w:hyperlink w:anchor="_Toc225888636" w:history="1">
            <w:r w:rsidRPr="00B76CAD">
              <w:rPr>
                <w:rStyle w:val="Hyperlink"/>
                <w:noProof/>
              </w:rPr>
              <w:t>3.1 Product</w:t>
            </w:r>
            <w:r>
              <w:rPr>
                <w:noProof/>
              </w:rPr>
              <w:tab/>
            </w:r>
            <w:r>
              <w:rPr>
                <w:noProof/>
              </w:rPr>
              <w:fldChar w:fldCharType="begin"/>
            </w:r>
            <w:r>
              <w:rPr>
                <w:noProof/>
              </w:rPr>
              <w:instrText xml:space="preserve"> PAGEREF _Toc225888636 \h </w:instrText>
            </w:r>
            <w:r>
              <w:rPr>
                <w:noProof/>
              </w:rPr>
            </w:r>
            <w:r>
              <w:rPr>
                <w:noProof/>
              </w:rPr>
              <w:fldChar w:fldCharType="separate"/>
            </w:r>
            <w:r>
              <w:rPr>
                <w:noProof/>
              </w:rPr>
              <w:t>1</w:t>
            </w:r>
            <w:r>
              <w:rPr>
                <w:noProof/>
              </w:rPr>
              <w:fldChar w:fldCharType="end"/>
            </w:r>
          </w:hyperlink>
        </w:p>
        <w:p w14:paraId="7196FF1B" w14:textId="77777777" w:rsidR="00145259" w:rsidRDefault="00145259" w:rsidP="003A2593">
          <w:pPr>
            <w:pStyle w:val="TOC2"/>
            <w:tabs>
              <w:tab w:val="right" w:leader="dot" w:pos="9016"/>
            </w:tabs>
            <w:spacing w:line="360" w:lineRule="auto"/>
            <w:rPr>
              <w:noProof/>
            </w:rPr>
          </w:pPr>
          <w:hyperlink w:anchor="_Toc225888637" w:history="1">
            <w:r w:rsidRPr="00B76CAD">
              <w:rPr>
                <w:rStyle w:val="Hyperlink"/>
                <w:noProof/>
              </w:rPr>
              <w:t>3.2 Price</w:t>
            </w:r>
            <w:r>
              <w:rPr>
                <w:noProof/>
              </w:rPr>
              <w:tab/>
            </w:r>
            <w:r>
              <w:rPr>
                <w:noProof/>
              </w:rPr>
              <w:fldChar w:fldCharType="begin"/>
            </w:r>
            <w:r>
              <w:rPr>
                <w:noProof/>
              </w:rPr>
              <w:instrText xml:space="preserve"> PAGEREF _Toc225888637 \h </w:instrText>
            </w:r>
            <w:r>
              <w:rPr>
                <w:noProof/>
              </w:rPr>
            </w:r>
            <w:r>
              <w:rPr>
                <w:noProof/>
              </w:rPr>
              <w:fldChar w:fldCharType="separate"/>
            </w:r>
            <w:r>
              <w:rPr>
                <w:noProof/>
              </w:rPr>
              <w:t>1</w:t>
            </w:r>
            <w:r>
              <w:rPr>
                <w:noProof/>
              </w:rPr>
              <w:fldChar w:fldCharType="end"/>
            </w:r>
          </w:hyperlink>
        </w:p>
        <w:p w14:paraId="48C59370" w14:textId="77777777" w:rsidR="00145259" w:rsidRDefault="00145259" w:rsidP="003A2593">
          <w:pPr>
            <w:pStyle w:val="TOC2"/>
            <w:tabs>
              <w:tab w:val="right" w:leader="dot" w:pos="9016"/>
            </w:tabs>
            <w:spacing w:line="360" w:lineRule="auto"/>
            <w:rPr>
              <w:noProof/>
            </w:rPr>
          </w:pPr>
          <w:hyperlink w:anchor="_Toc225888638" w:history="1">
            <w:r w:rsidRPr="00B76CAD">
              <w:rPr>
                <w:rStyle w:val="Hyperlink"/>
                <w:noProof/>
              </w:rPr>
              <w:t>3.3 Place</w:t>
            </w:r>
            <w:r>
              <w:rPr>
                <w:noProof/>
              </w:rPr>
              <w:tab/>
            </w:r>
            <w:r>
              <w:rPr>
                <w:noProof/>
              </w:rPr>
              <w:fldChar w:fldCharType="begin"/>
            </w:r>
            <w:r>
              <w:rPr>
                <w:noProof/>
              </w:rPr>
              <w:instrText xml:space="preserve"> PAGEREF _Toc225888638 \h </w:instrText>
            </w:r>
            <w:r>
              <w:rPr>
                <w:noProof/>
              </w:rPr>
            </w:r>
            <w:r>
              <w:rPr>
                <w:noProof/>
              </w:rPr>
              <w:fldChar w:fldCharType="separate"/>
            </w:r>
            <w:r>
              <w:rPr>
                <w:noProof/>
              </w:rPr>
              <w:t>1</w:t>
            </w:r>
            <w:r>
              <w:rPr>
                <w:noProof/>
              </w:rPr>
              <w:fldChar w:fldCharType="end"/>
            </w:r>
          </w:hyperlink>
        </w:p>
        <w:p w14:paraId="5EB6076D" w14:textId="77777777" w:rsidR="00145259" w:rsidRDefault="00145259" w:rsidP="003A2593">
          <w:pPr>
            <w:pStyle w:val="TOC2"/>
            <w:tabs>
              <w:tab w:val="right" w:leader="dot" w:pos="9016"/>
            </w:tabs>
            <w:spacing w:line="360" w:lineRule="auto"/>
            <w:rPr>
              <w:noProof/>
            </w:rPr>
          </w:pPr>
          <w:hyperlink w:anchor="_Toc225888639" w:history="1">
            <w:r w:rsidRPr="00B76CAD">
              <w:rPr>
                <w:rStyle w:val="Hyperlink"/>
                <w:noProof/>
              </w:rPr>
              <w:t>3.4 Promotion</w:t>
            </w:r>
            <w:r>
              <w:rPr>
                <w:noProof/>
              </w:rPr>
              <w:tab/>
            </w:r>
            <w:r>
              <w:rPr>
                <w:noProof/>
              </w:rPr>
              <w:fldChar w:fldCharType="begin"/>
            </w:r>
            <w:r>
              <w:rPr>
                <w:noProof/>
              </w:rPr>
              <w:instrText xml:space="preserve"> PAGEREF _Toc225888639 \h </w:instrText>
            </w:r>
            <w:r>
              <w:rPr>
                <w:noProof/>
              </w:rPr>
            </w:r>
            <w:r>
              <w:rPr>
                <w:noProof/>
              </w:rPr>
              <w:fldChar w:fldCharType="separate"/>
            </w:r>
            <w:r>
              <w:rPr>
                <w:noProof/>
              </w:rPr>
              <w:t>1</w:t>
            </w:r>
            <w:r>
              <w:rPr>
                <w:noProof/>
              </w:rPr>
              <w:fldChar w:fldCharType="end"/>
            </w:r>
          </w:hyperlink>
        </w:p>
        <w:p w14:paraId="0847D557" w14:textId="77777777" w:rsidR="00145259" w:rsidRDefault="00145259" w:rsidP="003A2593">
          <w:pPr>
            <w:pStyle w:val="TOC2"/>
            <w:tabs>
              <w:tab w:val="right" w:leader="dot" w:pos="9016"/>
            </w:tabs>
            <w:spacing w:line="360" w:lineRule="auto"/>
            <w:rPr>
              <w:noProof/>
            </w:rPr>
          </w:pPr>
          <w:hyperlink w:anchor="_Toc225888640" w:history="1">
            <w:r w:rsidRPr="00B76CAD">
              <w:rPr>
                <w:rStyle w:val="Hyperlink"/>
                <w:noProof/>
              </w:rPr>
              <w:t>3.5 People</w:t>
            </w:r>
            <w:r>
              <w:rPr>
                <w:noProof/>
              </w:rPr>
              <w:tab/>
            </w:r>
            <w:r>
              <w:rPr>
                <w:noProof/>
              </w:rPr>
              <w:fldChar w:fldCharType="begin"/>
            </w:r>
            <w:r>
              <w:rPr>
                <w:noProof/>
              </w:rPr>
              <w:instrText xml:space="preserve"> PAGEREF _Toc225888640 \h </w:instrText>
            </w:r>
            <w:r>
              <w:rPr>
                <w:noProof/>
              </w:rPr>
            </w:r>
            <w:r>
              <w:rPr>
                <w:noProof/>
              </w:rPr>
              <w:fldChar w:fldCharType="separate"/>
            </w:r>
            <w:r>
              <w:rPr>
                <w:noProof/>
              </w:rPr>
              <w:t>1</w:t>
            </w:r>
            <w:r>
              <w:rPr>
                <w:noProof/>
              </w:rPr>
              <w:fldChar w:fldCharType="end"/>
            </w:r>
          </w:hyperlink>
        </w:p>
        <w:p w14:paraId="46D01DEE" w14:textId="77777777" w:rsidR="00145259" w:rsidRDefault="00145259" w:rsidP="003A2593">
          <w:pPr>
            <w:pStyle w:val="TOC2"/>
            <w:tabs>
              <w:tab w:val="right" w:leader="dot" w:pos="9016"/>
            </w:tabs>
            <w:spacing w:line="360" w:lineRule="auto"/>
            <w:rPr>
              <w:noProof/>
            </w:rPr>
          </w:pPr>
          <w:hyperlink w:anchor="_Toc225888641" w:history="1">
            <w:r w:rsidRPr="00B76CAD">
              <w:rPr>
                <w:rStyle w:val="Hyperlink"/>
                <w:noProof/>
              </w:rPr>
              <w:t>3.6 Process</w:t>
            </w:r>
            <w:r>
              <w:rPr>
                <w:noProof/>
              </w:rPr>
              <w:tab/>
            </w:r>
            <w:r>
              <w:rPr>
                <w:noProof/>
              </w:rPr>
              <w:fldChar w:fldCharType="begin"/>
            </w:r>
            <w:r>
              <w:rPr>
                <w:noProof/>
              </w:rPr>
              <w:instrText xml:space="preserve"> PAGEREF _Toc225888641 \h </w:instrText>
            </w:r>
            <w:r>
              <w:rPr>
                <w:noProof/>
              </w:rPr>
            </w:r>
            <w:r>
              <w:rPr>
                <w:noProof/>
              </w:rPr>
              <w:fldChar w:fldCharType="separate"/>
            </w:r>
            <w:r>
              <w:rPr>
                <w:noProof/>
              </w:rPr>
              <w:t>1</w:t>
            </w:r>
            <w:r>
              <w:rPr>
                <w:noProof/>
              </w:rPr>
              <w:fldChar w:fldCharType="end"/>
            </w:r>
          </w:hyperlink>
        </w:p>
        <w:p w14:paraId="39191D8F" w14:textId="77777777" w:rsidR="00145259" w:rsidRDefault="00145259" w:rsidP="003A2593">
          <w:pPr>
            <w:pStyle w:val="TOC2"/>
            <w:tabs>
              <w:tab w:val="right" w:leader="dot" w:pos="9016"/>
            </w:tabs>
            <w:spacing w:line="360" w:lineRule="auto"/>
            <w:rPr>
              <w:noProof/>
            </w:rPr>
          </w:pPr>
          <w:hyperlink w:anchor="_Toc225888642" w:history="1">
            <w:r w:rsidRPr="00B76CAD">
              <w:rPr>
                <w:rStyle w:val="Hyperlink"/>
                <w:noProof/>
              </w:rPr>
              <w:t>3.7 Physical Evidence</w:t>
            </w:r>
            <w:r>
              <w:rPr>
                <w:noProof/>
              </w:rPr>
              <w:tab/>
            </w:r>
            <w:r>
              <w:rPr>
                <w:noProof/>
              </w:rPr>
              <w:fldChar w:fldCharType="begin"/>
            </w:r>
            <w:r>
              <w:rPr>
                <w:noProof/>
              </w:rPr>
              <w:instrText xml:space="preserve"> PAGEREF _Toc225888642 \h </w:instrText>
            </w:r>
            <w:r>
              <w:rPr>
                <w:noProof/>
              </w:rPr>
            </w:r>
            <w:r>
              <w:rPr>
                <w:noProof/>
              </w:rPr>
              <w:fldChar w:fldCharType="separate"/>
            </w:r>
            <w:r>
              <w:rPr>
                <w:noProof/>
              </w:rPr>
              <w:t>1</w:t>
            </w:r>
            <w:r>
              <w:rPr>
                <w:noProof/>
              </w:rPr>
              <w:fldChar w:fldCharType="end"/>
            </w:r>
          </w:hyperlink>
        </w:p>
        <w:p w14:paraId="138FD895" w14:textId="77777777" w:rsidR="00145259" w:rsidRDefault="00145259" w:rsidP="003A2593">
          <w:pPr>
            <w:pStyle w:val="TOC1"/>
            <w:tabs>
              <w:tab w:val="right" w:leader="dot" w:pos="9016"/>
            </w:tabs>
            <w:spacing w:line="360" w:lineRule="auto"/>
            <w:rPr>
              <w:noProof/>
            </w:rPr>
          </w:pPr>
          <w:hyperlink w:anchor="_Toc225888643" w:history="1">
            <w:r w:rsidRPr="00B76CAD">
              <w:rPr>
                <w:rStyle w:val="Hyperlink"/>
                <w:noProof/>
              </w:rPr>
              <w:t>Element 4: Reflection</w:t>
            </w:r>
            <w:r>
              <w:rPr>
                <w:noProof/>
              </w:rPr>
              <w:tab/>
            </w:r>
            <w:r>
              <w:rPr>
                <w:noProof/>
              </w:rPr>
              <w:fldChar w:fldCharType="begin"/>
            </w:r>
            <w:r>
              <w:rPr>
                <w:noProof/>
              </w:rPr>
              <w:instrText xml:space="preserve"> PAGEREF _Toc225888643 \h </w:instrText>
            </w:r>
            <w:r>
              <w:rPr>
                <w:noProof/>
              </w:rPr>
            </w:r>
            <w:r>
              <w:rPr>
                <w:noProof/>
              </w:rPr>
              <w:fldChar w:fldCharType="separate"/>
            </w:r>
            <w:r>
              <w:rPr>
                <w:noProof/>
              </w:rPr>
              <w:t>1</w:t>
            </w:r>
            <w:r>
              <w:rPr>
                <w:noProof/>
              </w:rPr>
              <w:fldChar w:fldCharType="end"/>
            </w:r>
          </w:hyperlink>
        </w:p>
        <w:p w14:paraId="1074999C" w14:textId="77777777" w:rsidR="00145259" w:rsidRDefault="00145259" w:rsidP="003A2593">
          <w:pPr>
            <w:pStyle w:val="TOC1"/>
            <w:tabs>
              <w:tab w:val="right" w:leader="dot" w:pos="9016"/>
            </w:tabs>
            <w:spacing w:line="360" w:lineRule="auto"/>
            <w:rPr>
              <w:noProof/>
            </w:rPr>
          </w:pPr>
          <w:hyperlink w:anchor="_Toc225888644" w:history="1">
            <w:r w:rsidRPr="00B76CAD">
              <w:rPr>
                <w:rStyle w:val="Hyperlink"/>
                <w:noProof/>
              </w:rPr>
              <w:t>Reference List</w:t>
            </w:r>
            <w:r>
              <w:rPr>
                <w:noProof/>
              </w:rPr>
              <w:tab/>
            </w:r>
            <w:r>
              <w:rPr>
                <w:noProof/>
              </w:rPr>
              <w:fldChar w:fldCharType="begin"/>
            </w:r>
            <w:r>
              <w:rPr>
                <w:noProof/>
              </w:rPr>
              <w:instrText xml:space="preserve"> PAGEREF _Toc225888644 \h </w:instrText>
            </w:r>
            <w:r>
              <w:rPr>
                <w:noProof/>
              </w:rPr>
            </w:r>
            <w:r>
              <w:rPr>
                <w:noProof/>
              </w:rPr>
              <w:fldChar w:fldCharType="separate"/>
            </w:r>
            <w:r>
              <w:rPr>
                <w:noProof/>
              </w:rPr>
              <w:t>1</w:t>
            </w:r>
            <w:r>
              <w:rPr>
                <w:noProof/>
              </w:rPr>
              <w:fldChar w:fldCharType="end"/>
            </w:r>
          </w:hyperlink>
        </w:p>
        <w:p w14:paraId="6435A21A" w14:textId="77777777" w:rsidR="00615557" w:rsidRDefault="00000000" w:rsidP="003A2593">
          <w:pPr>
            <w:spacing w:line="360" w:lineRule="auto"/>
          </w:pPr>
          <w:r>
            <w:fldChar w:fldCharType="end"/>
          </w:r>
        </w:p>
      </w:sdtContent>
    </w:sdt>
    <w:p w14:paraId="7898B4A1" w14:textId="77777777" w:rsidR="00615557" w:rsidRDefault="00000000" w:rsidP="003A2593">
      <w:pPr>
        <w:spacing w:line="360" w:lineRule="auto"/>
      </w:pPr>
      <w:r>
        <w:br w:type="page"/>
      </w:r>
    </w:p>
    <w:p w14:paraId="155687FE" w14:textId="77777777" w:rsidR="00615557" w:rsidRDefault="00615557" w:rsidP="003A2593">
      <w:pPr>
        <w:spacing w:line="360" w:lineRule="auto"/>
        <w:sectPr w:rsidR="00615557">
          <w:headerReference w:type="default" r:id="rId8"/>
          <w:footerReference w:type="default" r:id="rId9"/>
          <w:pgSz w:w="11906" w:h="16838"/>
          <w:pgMar w:top="1440" w:right="1440" w:bottom="1440" w:left="1440" w:header="708" w:footer="708" w:gutter="0"/>
          <w:cols w:space="720"/>
          <w:docGrid w:linePitch="360"/>
        </w:sectPr>
      </w:pPr>
    </w:p>
    <w:p w14:paraId="33ABC65C" w14:textId="77777777" w:rsidR="00615557" w:rsidRDefault="00000000" w:rsidP="003A2593">
      <w:pPr>
        <w:pStyle w:val="Heading1"/>
        <w:spacing w:line="360" w:lineRule="auto"/>
      </w:pPr>
      <w:bookmarkStart w:id="0" w:name="_Toc225888629"/>
      <w:r>
        <w:lastRenderedPageBreak/>
        <w:t>Element 1: Brand Extension – Google EduLens</w:t>
      </w:r>
      <w:bookmarkEnd w:id="0"/>
    </w:p>
    <w:p w14:paraId="4CAD435B" w14:textId="77777777" w:rsidR="00DD10ED" w:rsidRDefault="00DD10ED" w:rsidP="003A2593">
      <w:pPr>
        <w:spacing w:after="120" w:line="360" w:lineRule="auto"/>
        <w:jc w:val="both"/>
      </w:pPr>
      <w:r>
        <w:t>Google EduLens proposed brand extension builds on the already established brand equity of Google to access the higher education wearable augmented reality market. According to Kotler and Keller (2012), brand extension is the use of a brand name, which is already being used to introduce a new product in a different market. As a subsidiary company of Alphabet Inc., Google is a technology powerhouse that has seven products with more than two billion monthly active users such as Search, YouTube, Chrome and Gmail. The market capitalisation of the company is greater than 3.3 trillion US dollars that means that there is a high level of consumer confidence and brand awareness.</w:t>
      </w:r>
    </w:p>
    <w:p w14:paraId="01CF4DE0" w14:textId="2DFDDC37" w:rsidR="00615557" w:rsidRDefault="00DD10ED" w:rsidP="003A2593">
      <w:pPr>
        <w:spacing w:after="120" w:line="360" w:lineRule="auto"/>
        <w:jc w:val="both"/>
      </w:pPr>
      <w:r>
        <w:t>EduLens focuses on students attending universities providing intelligent real-time tutoring AI, transcription of lectures, laboratory simulation in 3D, and navigation around the campus using lightweight AR glasses. The product is opportunistic with the emergent trends such as the 348 billion US dollars EdTech market by 2030 (Grand View Research, 2025), and the 44.4 per cent upswing in the shipment of extended reality devices in 2025 (IDC, 2026). EduLens is consistent with the sustainability agenda of Google since it has recycled aluminium frames, energy efficient processing, and paperless learning (Google, 2024).</w:t>
      </w:r>
    </w:p>
    <w:p w14:paraId="08EB2EA5" w14:textId="5EF1AA93" w:rsidR="00615557" w:rsidRDefault="00145259" w:rsidP="003A2593">
      <w:pPr>
        <w:spacing w:before="200" w:after="200" w:line="360" w:lineRule="auto"/>
        <w:jc w:val="center"/>
      </w:pPr>
      <w:r>
        <w:rPr>
          <w:noProof/>
        </w:rPr>
        <w:drawing>
          <wp:inline distT="0" distB="0" distL="0" distR="0" wp14:anchorId="7829A6C3" wp14:editId="19D00C6B">
            <wp:extent cx="4724400" cy="2714462"/>
            <wp:effectExtent l="0" t="0" r="0" b="0"/>
            <wp:docPr id="1941520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520768" name=""/>
                    <pic:cNvPicPr/>
                  </pic:nvPicPr>
                  <pic:blipFill>
                    <a:blip r:embed="rId10"/>
                    <a:stretch>
                      <a:fillRect/>
                    </a:stretch>
                  </pic:blipFill>
                  <pic:spPr>
                    <a:xfrm>
                      <a:off x="0" y="0"/>
                      <a:ext cx="4737670" cy="2722086"/>
                    </a:xfrm>
                    <a:prstGeom prst="rect">
                      <a:avLst/>
                    </a:prstGeom>
                  </pic:spPr>
                </pic:pic>
              </a:graphicData>
            </a:graphic>
          </wp:inline>
        </w:drawing>
      </w:r>
    </w:p>
    <w:p w14:paraId="4169201F" w14:textId="2C49BCD3" w:rsidR="00615557" w:rsidRDefault="00145259" w:rsidP="003A2593">
      <w:pPr>
        <w:spacing w:before="200" w:after="200" w:line="360" w:lineRule="auto"/>
        <w:jc w:val="center"/>
      </w:pPr>
      <w:r w:rsidRPr="00145259">
        <w:t>Figure 1: Brand development strategies</w:t>
      </w:r>
      <w:r>
        <w:t xml:space="preserve"> </w:t>
      </w:r>
      <w:r w:rsidRPr="00145259">
        <w:t>(Source: adapted from Kotler and Keller, 2012)</w:t>
      </w:r>
    </w:p>
    <w:p w14:paraId="79022E39" w14:textId="77777777" w:rsidR="00615557" w:rsidRDefault="00000000" w:rsidP="003A2593">
      <w:pPr>
        <w:pStyle w:val="Heading1"/>
        <w:spacing w:line="360" w:lineRule="auto"/>
      </w:pPr>
      <w:bookmarkStart w:id="1" w:name="_Toc225888630"/>
      <w:r>
        <w:lastRenderedPageBreak/>
        <w:t>Element 2: Segmentation, Targeting, Differentiation, and Positioning (STDP) Analysis</w:t>
      </w:r>
      <w:bookmarkEnd w:id="1"/>
    </w:p>
    <w:p w14:paraId="63B443FB" w14:textId="15373C59" w:rsidR="00615557" w:rsidRDefault="00145259" w:rsidP="003A2593">
      <w:pPr>
        <w:spacing w:before="200" w:after="200" w:line="360" w:lineRule="auto"/>
        <w:jc w:val="center"/>
      </w:pPr>
      <w:r w:rsidRPr="00145259">
        <w:rPr>
          <w:noProof/>
        </w:rPr>
        <w:drawing>
          <wp:inline distT="0" distB="0" distL="0" distR="0" wp14:anchorId="0312F0F0" wp14:editId="7DC510F3">
            <wp:extent cx="5731510" cy="4199255"/>
            <wp:effectExtent l="0" t="0" r="2540" b="0"/>
            <wp:docPr id="1930248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48045" name=""/>
                    <pic:cNvPicPr/>
                  </pic:nvPicPr>
                  <pic:blipFill>
                    <a:blip r:embed="rId11"/>
                    <a:stretch>
                      <a:fillRect/>
                    </a:stretch>
                  </pic:blipFill>
                  <pic:spPr>
                    <a:xfrm>
                      <a:off x="0" y="0"/>
                      <a:ext cx="5731510" cy="4199255"/>
                    </a:xfrm>
                    <a:prstGeom prst="rect">
                      <a:avLst/>
                    </a:prstGeom>
                  </pic:spPr>
                </pic:pic>
              </a:graphicData>
            </a:graphic>
          </wp:inline>
        </w:drawing>
      </w:r>
    </w:p>
    <w:p w14:paraId="7F98D40B" w14:textId="1B54615E" w:rsidR="00145259" w:rsidRDefault="00145259" w:rsidP="003A2593">
      <w:pPr>
        <w:spacing w:before="200" w:after="200" w:line="360" w:lineRule="auto"/>
        <w:jc w:val="center"/>
      </w:pPr>
      <w:r w:rsidRPr="00145259">
        <w:t>Figure 2: STDP analysis for Google EduLens</w:t>
      </w:r>
      <w:r>
        <w:t xml:space="preserve"> </w:t>
      </w:r>
      <w:r w:rsidRPr="00145259">
        <w:t>(Source: author's own, based on Kotler and Keller, 2012; Sharp, Dawes and Victory, 2024)</w:t>
      </w:r>
    </w:p>
    <w:p w14:paraId="15A0D704" w14:textId="77777777" w:rsidR="00615557" w:rsidRDefault="00000000" w:rsidP="003A2593">
      <w:pPr>
        <w:pStyle w:val="Heading2"/>
        <w:spacing w:line="360" w:lineRule="auto"/>
      </w:pPr>
      <w:bookmarkStart w:id="2" w:name="_Toc225888631"/>
      <w:r>
        <w:t>2.1 Market Segmentation</w:t>
      </w:r>
      <w:bookmarkEnd w:id="2"/>
    </w:p>
    <w:p w14:paraId="56657E55" w14:textId="57E5384B" w:rsidR="00615557" w:rsidRDefault="003A2593" w:rsidP="003A2593">
      <w:pPr>
        <w:spacing w:after="120" w:line="360" w:lineRule="auto"/>
        <w:jc w:val="both"/>
      </w:pPr>
      <w:r w:rsidRPr="003A2593">
        <w:t>A proper brand extension strategy is built on good market segmentation. According to Kotler and Keller (2012), segmentation refers to the process of breaking down a general market into unique subgroups of consumers who have similar needs and aspects. In the case of Google EduLens, there are four bases of segmentation that are used to identify significant market groups in the sphere of higher education.</w:t>
      </w:r>
    </w:p>
    <w:p w14:paraId="0EAC6078" w14:textId="711B108D" w:rsidR="00615557" w:rsidRDefault="003A2593" w:rsidP="003A2593">
      <w:pPr>
        <w:spacing w:after="120" w:line="360" w:lineRule="auto"/>
        <w:jc w:val="both"/>
      </w:pPr>
      <w:r w:rsidRPr="003A2593">
        <w:t xml:space="preserve">The first place of launch will be the developed markets that have an established system of digital education, namely, North America, Western Europe, and the Asia-Pacific. Grand View Research (2025) has singled out North America as dominating more than 35 per cent. of the worldwide EdTech market share, and thus is the most </w:t>
      </w:r>
      <w:r w:rsidRPr="003A2593">
        <w:lastRenderedPageBreak/>
        <w:t>commercially viable market entry point, followed by expansion to the emerging economies as the digital infrastructure matures.</w:t>
      </w:r>
    </w:p>
    <w:p w14:paraId="05FD8A0E" w14:textId="06FC7D84" w:rsidR="00615557" w:rsidRDefault="003A2593" w:rsidP="003A2593">
      <w:pPr>
        <w:spacing w:after="120" w:line="360" w:lineRule="auto"/>
        <w:jc w:val="both"/>
      </w:pPr>
      <w:r w:rsidRPr="003A2593">
        <w:t>In the demographics, the main consumer group will include the university students between the ages of 18 to 30. This generation is Gen Z, and according to Theocharis and Tsekouropoulos (2025), Gen Z makes up about 25 to 30 per cent of the total number of consumers across the world, and the purchasing power of the generation is estimated at 360 billion US dollars. The institutional procurement officers form a secondary segment and who affect the decisions on bulk purchasing.</w:t>
      </w:r>
    </w:p>
    <w:p w14:paraId="6AA5DFE0" w14:textId="07B03FCE" w:rsidR="00615557" w:rsidRDefault="003A2593" w:rsidP="003A2593">
      <w:pPr>
        <w:spacing w:after="120" w:line="360" w:lineRule="auto"/>
        <w:jc w:val="both"/>
      </w:pPr>
      <w:r w:rsidRPr="003A2593">
        <w:t>Psychographically, the digital natives, who make up the target consumers, emphasise innovation, sustainability, and a smooth system of technology integration. As it is proven by Catana, Imbrisca and Veith (2025), Generation Z consumers have high levels of adoption intentions to the technological products that will fit the environmental awareness and individualised digital experiences.</w:t>
      </w:r>
    </w:p>
    <w:p w14:paraId="788A7554" w14:textId="26840918" w:rsidR="00615557" w:rsidRDefault="003A2593" w:rsidP="003A2593">
      <w:pPr>
        <w:spacing w:after="120" w:line="360" w:lineRule="auto"/>
        <w:jc w:val="both"/>
      </w:pPr>
      <w:r w:rsidRPr="003A2593">
        <w:t>The behaviour aspect of the target segment has early technology adopters that use digital tools on a regular basis in an academic setting. Theocharis et al. (2025) validate the fact that the Generation Z actively pursues creative products that demonstrate the recent advances in technologies. The students already using the Google Workspace, Google Classroom, and YouTube in their learning are the most likely segment of adopters.</w:t>
      </w:r>
    </w:p>
    <w:p w14:paraId="72C4195D" w14:textId="77777777" w:rsidR="00615557" w:rsidRDefault="00000000" w:rsidP="003A2593">
      <w:pPr>
        <w:pStyle w:val="Heading2"/>
        <w:spacing w:line="360" w:lineRule="auto"/>
      </w:pPr>
      <w:bookmarkStart w:id="3" w:name="_Toc225888632"/>
      <w:r>
        <w:t>2.2 Target Market</w:t>
      </w:r>
      <w:bookmarkEnd w:id="3"/>
    </w:p>
    <w:p w14:paraId="680DFCBE" w14:textId="55FD383D" w:rsidR="00615557" w:rsidRDefault="003A2593" w:rsidP="003A2593">
      <w:pPr>
        <w:spacing w:after="120" w:line="360" w:lineRule="auto"/>
        <w:jc w:val="both"/>
      </w:pPr>
      <w:r w:rsidRPr="003A2593">
        <w:t>It uses a differentiated targeting strategy whereby its main target is the students of STEM disciplines in the universities. According to Singh et al. (2024), the research in this area has indicated an upward trend since augmented reality in education was first initiated and out of all publications of AR-in-education studies, STEM has dominated the literature. This justifies the idea of focusing on the students of STEM as the first user base with future development of arts and social sciences. The second target consists of institutional buyers like the chief information officers capable of supporting campus-wide purchases.</w:t>
      </w:r>
    </w:p>
    <w:p w14:paraId="7BA5FDE1" w14:textId="06918B5A" w:rsidR="00615557" w:rsidRDefault="003A2593" w:rsidP="003A2593">
      <w:pPr>
        <w:spacing w:after="120" w:line="360" w:lineRule="auto"/>
        <w:jc w:val="both"/>
      </w:pPr>
      <w:r w:rsidRPr="003A2593">
        <w:t xml:space="preserve">Market statistics confirm the appeal of this segment. According to the projections of the global EdTech market reported by Grand View Research (2025), this market will reach 348 billion US dollars in the year 2030 with a compound annual growth rate of </w:t>
      </w:r>
      <w:r w:rsidRPr="003A2593">
        <w:lastRenderedPageBreak/>
        <w:t>13.3 per cent. According to IDC (2026), shipment of extended reality devices around the world has increased by 44.4 per cent in 2025 as a result of an increase in smart glasses. These statistics affirm the fact that the point of convergence between education technology and wearable AR is a high growth market.</w:t>
      </w:r>
    </w:p>
    <w:p w14:paraId="2A09A06B" w14:textId="77777777" w:rsidR="00615557" w:rsidRDefault="00000000" w:rsidP="003A2593">
      <w:pPr>
        <w:pStyle w:val="Heading2"/>
        <w:spacing w:line="360" w:lineRule="auto"/>
      </w:pPr>
      <w:bookmarkStart w:id="4" w:name="_Toc225888633"/>
      <w:r>
        <w:t>2.3 Differentiation</w:t>
      </w:r>
      <w:bookmarkEnd w:id="4"/>
    </w:p>
    <w:p w14:paraId="4E5BF021" w14:textId="119B70B4" w:rsidR="00615557" w:rsidRDefault="003A2593" w:rsidP="003A2593">
      <w:pPr>
        <w:spacing w:after="120" w:line="360" w:lineRule="auto"/>
        <w:jc w:val="both"/>
      </w:pPr>
      <w:r w:rsidRPr="003A2593">
        <w:t>Google EduLens has three strategic pillars that distinguish it. To begin with, the integration of the ecosystem is what makes EduLens stand out among its competitors like Meta Ray-Ban and Apple Vision Pro, all of which do not have native support of the connections with educational systems. EduLens is compatible with Google Classroom, Google drive, Google meet and Google YouTube. According to Falana, Aspara and Frosen (2024), the perceived fit between a parent brand and an extension is one of the key factors determining consumer acceptance, and Google is dominating in educational software, providing a strong level of perceived fit with a hardware extension.</w:t>
      </w:r>
    </w:p>
    <w:p w14:paraId="3817F1DD" w14:textId="6777978F" w:rsidR="00615557" w:rsidRDefault="003A2593" w:rsidP="003A2593">
      <w:pPr>
        <w:spacing w:after="120" w:line="360" w:lineRule="auto"/>
        <w:jc w:val="both"/>
      </w:pPr>
      <w:r w:rsidRPr="003A2593">
        <w:t>Secondly, EduLens focuses on affordability by providing a subscription price model, which the cost barrier to adoption of XR, identified by IDC (2026) as a barrier to XR uptake, is addressed by this product. Third, it is environmentally friendly in its usage where the product is made out of recycled materials and energy-saving components that align with the 24/7 carbon-free energy that Google is aiming to achieve by 2030 (Google, 2024).</w:t>
      </w:r>
    </w:p>
    <w:p w14:paraId="09A676E4" w14:textId="77777777" w:rsidR="00615557" w:rsidRDefault="00000000" w:rsidP="003A2593">
      <w:pPr>
        <w:pStyle w:val="Heading2"/>
        <w:spacing w:line="360" w:lineRule="auto"/>
      </w:pPr>
      <w:bookmarkStart w:id="5" w:name="_Toc225888634"/>
      <w:r>
        <w:t>2.4 Positioning</w:t>
      </w:r>
      <w:bookmarkEnd w:id="5"/>
    </w:p>
    <w:p w14:paraId="652B4EB3" w14:textId="0DB55D34" w:rsidR="00615557" w:rsidRDefault="003A2593" w:rsidP="003A2593">
      <w:pPr>
        <w:spacing w:after="120" w:line="360" w:lineRule="auto"/>
        <w:jc w:val="both"/>
      </w:pPr>
      <w:r w:rsidRPr="003A2593">
        <w:t>Google EduLens can be described as the intelligent, low-price, and sustainable AR companion of the contemporary university student. The three needs that are catered to in this statement are academic improvement, affordability, and environmental friendliness. Sharp, Dawes and Victory (2024) maintain that the development of a brand is based on the ability to create mental and physical presence in wide market segments instead of a limited niche. Based on this, EduLens will not be marketed as a luxury device, but an indispensable learning device, in the same way that laptops went through the stages of a high-end gadget to an educational requirement. The stance is taking advantage of the brand equity Google already possesses and is creating a name to itself in the wearable technology segment</w:t>
      </w:r>
      <w:r>
        <w:t>.</w:t>
      </w:r>
      <w:r>
        <w:br w:type="page"/>
      </w:r>
    </w:p>
    <w:p w14:paraId="497705DD" w14:textId="77777777" w:rsidR="00615557" w:rsidRDefault="00000000" w:rsidP="003A2593">
      <w:pPr>
        <w:pStyle w:val="Heading1"/>
        <w:spacing w:line="360" w:lineRule="auto"/>
      </w:pPr>
      <w:bookmarkStart w:id="6" w:name="_Toc225888635"/>
      <w:r>
        <w:lastRenderedPageBreak/>
        <w:t>Element 3: Marketing Mix (7Ps)</w:t>
      </w:r>
      <w:bookmarkEnd w:id="6"/>
    </w:p>
    <w:p w14:paraId="7628CB25" w14:textId="04434B32" w:rsidR="00615557" w:rsidRDefault="00145259" w:rsidP="003A2593">
      <w:pPr>
        <w:spacing w:before="200" w:after="200" w:line="360" w:lineRule="auto"/>
        <w:jc w:val="center"/>
      </w:pPr>
      <w:r w:rsidRPr="00145259">
        <w:rPr>
          <w:noProof/>
        </w:rPr>
        <w:drawing>
          <wp:inline distT="0" distB="0" distL="0" distR="0" wp14:anchorId="7F31F22D" wp14:editId="5CEAE412">
            <wp:extent cx="5731510" cy="4578985"/>
            <wp:effectExtent l="0" t="0" r="2540" b="0"/>
            <wp:docPr id="55142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424808" name=""/>
                    <pic:cNvPicPr/>
                  </pic:nvPicPr>
                  <pic:blipFill>
                    <a:blip r:embed="rId12"/>
                    <a:stretch>
                      <a:fillRect/>
                    </a:stretch>
                  </pic:blipFill>
                  <pic:spPr>
                    <a:xfrm>
                      <a:off x="0" y="0"/>
                      <a:ext cx="5731510" cy="4578985"/>
                    </a:xfrm>
                    <a:prstGeom prst="rect">
                      <a:avLst/>
                    </a:prstGeom>
                  </pic:spPr>
                </pic:pic>
              </a:graphicData>
            </a:graphic>
          </wp:inline>
        </w:drawing>
      </w:r>
      <w:r w:rsidRPr="00145259">
        <w:t>Figure 3: 7Ps marketing mix for Google EduLens(Source: author's own, based on Kotler and Keller, 2012; Nguyen et al., 2025)</w:t>
      </w:r>
    </w:p>
    <w:p w14:paraId="16063ECF" w14:textId="77777777" w:rsidR="00615557" w:rsidRDefault="00000000" w:rsidP="003A2593">
      <w:pPr>
        <w:pStyle w:val="Heading2"/>
        <w:spacing w:line="360" w:lineRule="auto"/>
      </w:pPr>
      <w:bookmarkStart w:id="7" w:name="_Toc225888636"/>
      <w:r>
        <w:t>3.1 Product</w:t>
      </w:r>
      <w:bookmarkEnd w:id="7"/>
    </w:p>
    <w:p w14:paraId="08A44220" w14:textId="3460EF6A" w:rsidR="00615557" w:rsidRDefault="003A2593" w:rsidP="003A2593">
      <w:pPr>
        <w:spacing w:after="120" w:line="360" w:lineRule="auto"/>
        <w:jc w:val="both"/>
      </w:pPr>
      <w:r w:rsidRPr="003A2593">
        <w:t xml:space="preserve">Google EduLens is a simple and compact smart AR glasses gadget meant to be used in institutions of higher learning. It has core products based on Gemini AI-assisted real-time tutoring, lecture-transcription with smart summarisation, 3D laboratory training simulations in STEM, and indoor campus navigation. Koumpouros (2024) defines that the sphere of mobile AR applications is growing rapidly worldwide, and the technology finds its application in the educational field. EduLens is riding on this trend by offering various AR learning functions under a single wearable device, which is comfortable to wear through the entire classroom duration and has a sub-80-gram frame and customisable fit. Garzon, Pavon and Baldiris (2019) report that the AR technology has medium-large positive impacts on student learning outcomes, which </w:t>
      </w:r>
      <w:r w:rsidRPr="003A2593">
        <w:lastRenderedPageBreak/>
        <w:t>is the empirical explanation why EduLens adopts the education-first design philosophy. The device will be based on the Android platform, which guarantees that it is compatible with other existing Google services and third-party learning applications.</w:t>
      </w:r>
    </w:p>
    <w:p w14:paraId="20897E93" w14:textId="77777777" w:rsidR="00615557" w:rsidRDefault="00000000" w:rsidP="003A2593">
      <w:pPr>
        <w:pStyle w:val="Heading2"/>
        <w:spacing w:line="360" w:lineRule="auto"/>
      </w:pPr>
      <w:bookmarkStart w:id="8" w:name="_Toc225888637"/>
      <w:r>
        <w:t>3.2 Price</w:t>
      </w:r>
      <w:bookmarkEnd w:id="8"/>
    </w:p>
    <w:p w14:paraId="55C982AD" w14:textId="2FB20900" w:rsidR="00615557" w:rsidRDefault="003A2593" w:rsidP="003A2593">
      <w:pPr>
        <w:spacing w:after="120" w:line="360" w:lineRule="auto"/>
        <w:jc w:val="both"/>
      </w:pPr>
      <w:r w:rsidRPr="003A2593">
        <w:t>The penetration pricing strategy and subscriptions model are followed to ensure the greatest market reach to price sensitive students. The hardware is sold at subsidised lower entry point of 299 US dollars, which is much less when compared to the competitors like the Apple vision pro. The premium AI functions such as the individual study plans and 3D simulations are also available at a monthly subscription of 9.99 US dollars. As Nguyen et al. (2025) show, in instances that the sustainability is incorporated in the value proposition, the green marketing mix strategies such as pricing play a significant role on the willingness of consumers to pay a premium. Correspondingly, a bundle of Green Campus services available at institutional prices is an incentive and incentive to scale in the adoption of EduLens by universities. The tiers approach will make it available to individual students but will raise some recurring subscription revenue that will sustain the software development.</w:t>
      </w:r>
    </w:p>
    <w:p w14:paraId="2EA7064F" w14:textId="77777777" w:rsidR="00615557" w:rsidRDefault="00000000" w:rsidP="003A2593">
      <w:pPr>
        <w:pStyle w:val="Heading2"/>
        <w:spacing w:line="360" w:lineRule="auto"/>
      </w:pPr>
      <w:bookmarkStart w:id="9" w:name="_Toc225888638"/>
      <w:r>
        <w:t>3.3 Place</w:t>
      </w:r>
      <w:bookmarkEnd w:id="9"/>
    </w:p>
    <w:p w14:paraId="58A9C7E9" w14:textId="41A4202B" w:rsidR="00615557" w:rsidRDefault="003A2593" w:rsidP="003A2593">
      <w:pPr>
        <w:spacing w:after="120" w:line="360" w:lineRule="auto"/>
        <w:jc w:val="both"/>
      </w:pPr>
      <w:r w:rsidRPr="003A2593">
        <w:t>The distribution is by an omnichannel approach that incorporates both virtual and physical touchpoints. The main platform is the Google Store, which offers direct sales to consumers and built-in WebAR product demonstration. According to Catana, Imbrisca and Veith (2025) Generation Z customers are looking at online shopping experiences that are seamless with quick delivery and accessible customer service solutions, which the Google store system already offers. Secondary physical distribution outlets are strategic alliances with university bookstores and university campus technology centres. Also, the Google for Education institutional sales allow bulk purchases, and EduLens can be integrated with the EduLens into current Google Workspace for Education licensing contracts. The multi-layered strategy focuses on individual preferences of the consumer and the institutional acquisition procedures.</w:t>
      </w:r>
    </w:p>
    <w:p w14:paraId="04670CDD" w14:textId="77777777" w:rsidR="00615557" w:rsidRDefault="00000000" w:rsidP="003A2593">
      <w:pPr>
        <w:pStyle w:val="Heading2"/>
        <w:spacing w:line="360" w:lineRule="auto"/>
      </w:pPr>
      <w:bookmarkStart w:id="10" w:name="_Toc225888639"/>
      <w:r>
        <w:t>3.4 Promotion</w:t>
      </w:r>
      <w:bookmarkEnd w:id="10"/>
    </w:p>
    <w:p w14:paraId="00653E40" w14:textId="6022BFD3" w:rsidR="00615557" w:rsidRDefault="003A2593" w:rsidP="003A2593">
      <w:pPr>
        <w:spacing w:after="120" w:line="360" w:lineRule="auto"/>
        <w:jc w:val="both"/>
      </w:pPr>
      <w:r w:rsidRPr="003A2593">
        <w:lastRenderedPageBreak/>
        <w:t>The marketing plan combines digital marketing, experience campaigns, and the association with influencers. Theocharis et al. (2025) affirm that social media networks and the use of endorsements through influencers are the leading factors influencing the technology adoption decision of Generation Z. As a result, it has a "Campus Creator" programme that attracts student ambassadors in the target universities to produce authentic user-created content on TikTok, Instagram, and YouTube. Google Ads paid search campaigns are based on education-related keywords, and the possibility of trial is availed through practical demonstrations at university orientation events. There is institutional credibility when it comes to sponsoring academic conferences in events like EDUCAUSE. Theocharis and Tsekouropoulos (2025) also note that Generation Z attaches importance to brand realness and individuality in brand encounters, which once again supports the significance of peer-created content and the assumption of traditional corporate advertising.</w:t>
      </w:r>
    </w:p>
    <w:p w14:paraId="4711C70F" w14:textId="77777777" w:rsidR="00615557" w:rsidRDefault="00000000" w:rsidP="003A2593">
      <w:pPr>
        <w:pStyle w:val="Heading2"/>
        <w:spacing w:line="360" w:lineRule="auto"/>
      </w:pPr>
      <w:bookmarkStart w:id="11" w:name="_Toc225888640"/>
      <w:r>
        <w:t>3.5 People</w:t>
      </w:r>
      <w:bookmarkEnd w:id="11"/>
    </w:p>
    <w:p w14:paraId="100E71EE" w14:textId="746B718F" w:rsidR="00615557" w:rsidRDefault="003A2593" w:rsidP="003A2593">
      <w:pPr>
        <w:spacing w:after="120" w:line="360" w:lineRule="auto"/>
        <w:jc w:val="both"/>
      </w:pPr>
      <w:r w:rsidRPr="003A2593">
        <w:t>People element consists of a set of employees who interact with customers and general community of users. Partner universities employ Specialists called EduLens Specialists to assist students and academic staff with all issues related to onboarding, training, and troubleshooting. Kotler and Keller (2012) also note that service staff largely shape the view of the service quality and brand trust held by the consumer and that well-trained support personnel is an important part of a technology product entering the education industry. One can create a peer-support ecosystem by linking an online community of pupils, called EduLens Student Community, to Google Classroom, in which participants post study templates, AR education modules, and best-practice guides that are co-created to create brand loyalty.</w:t>
      </w:r>
    </w:p>
    <w:p w14:paraId="15357368" w14:textId="77777777" w:rsidR="00615557" w:rsidRDefault="00000000" w:rsidP="003A2593">
      <w:pPr>
        <w:pStyle w:val="Heading2"/>
        <w:spacing w:line="360" w:lineRule="auto"/>
      </w:pPr>
      <w:bookmarkStart w:id="12" w:name="_Toc225888641"/>
      <w:r>
        <w:t>3.6 Process</w:t>
      </w:r>
      <w:bookmarkEnd w:id="12"/>
    </w:p>
    <w:p w14:paraId="3E991C3F" w14:textId="5A324107" w:rsidR="00615557" w:rsidRDefault="003A2593" w:rsidP="003A2593">
      <w:pPr>
        <w:spacing w:after="120" w:line="360" w:lineRule="auto"/>
        <w:jc w:val="both"/>
      </w:pPr>
      <w:r w:rsidRPr="003A2593">
        <w:t xml:space="preserve">The customer experience is crafted to be frictionless and long term engagement. When a student buys EduLens, he/she sign in with his/her existing Google university account and EduLens is automatically connected to his/her Google Classroom schedule, Google Drive files and Google Calendar. Garzon, Pavon and Baldiris (2019) emphasize that one of the most crucial aspects of AR adoption in education is ease of use, which removes the technical barriers of wearable technology adoption that are </w:t>
      </w:r>
      <w:r w:rsidRPr="003A2593">
        <w:lastRenderedPageBreak/>
        <w:t>very common in most cases. Institutional buyers have access to 30 days free trial whereby they can fully access the features of the product before the university makes a commitment to procurement. Automatic updates to the firmware via Google Play after purchase keep improving it without having to use a manual update</w:t>
      </w:r>
      <w:r w:rsidR="00B34235">
        <w:t xml:space="preserve"> (</w:t>
      </w:r>
      <w:r w:rsidR="00B34235" w:rsidRPr="00AB5526">
        <w:t>Al-Emran</w:t>
      </w:r>
      <w:r w:rsidR="00B34235">
        <w:t xml:space="preserve"> et al, 2023)</w:t>
      </w:r>
      <w:r w:rsidRPr="003A2593">
        <w:t>.</w:t>
      </w:r>
    </w:p>
    <w:p w14:paraId="12DD70F6" w14:textId="77777777" w:rsidR="00615557" w:rsidRDefault="00000000" w:rsidP="003A2593">
      <w:pPr>
        <w:pStyle w:val="Heading2"/>
        <w:spacing w:line="360" w:lineRule="auto"/>
      </w:pPr>
      <w:bookmarkStart w:id="13" w:name="_Toc225888642"/>
      <w:r>
        <w:t>3.7 Physical Evidence</w:t>
      </w:r>
      <w:bookmarkEnd w:id="13"/>
    </w:p>
    <w:p w14:paraId="597FD673" w14:textId="77777777" w:rsidR="003A2593" w:rsidRPr="003A2593" w:rsidRDefault="003A2593" w:rsidP="003A2593">
      <w:pPr>
        <w:spacing w:after="120" w:line="360" w:lineRule="auto"/>
        <w:jc w:val="both"/>
      </w:pPr>
      <w:r w:rsidRPr="003A2593">
        <w:t>Brand credibility and the sustainability story is supported through physical evidence. The packaging of products is made of 100 per cent recycled cardboard printing with soy-based ink, which is in line with Google environmental policies (Google, 2024). The device itself has a recycled aluminium frame with a small Google logo of "G" lightly engraved on it producing a high-end yet low profile look. Statista (2025) estimates the global AR and VR market to grow to 75.9 billion US dollars in 2030, and the professional design of EduLens makes it an academic instrument and not a device that a consumer can purchase. Digital physical evidence has branded AR onboarding tutorials and a student dashboard with usage analytics and learning progress. According to Falana, Aspara and Frosen (2024), the perceived innovativeness of a brand extension depends to a large extent on the similarity in the design language of the extension and the identity of the parent brand. Thus, EduLens retain Google minimalistic design, which supports brand coherence within the range of products. Co-branded marketing content is given to university partners that further reinforce the actual presence of EduLens in the learning setting.</w:t>
      </w:r>
    </w:p>
    <w:p w14:paraId="54433933" w14:textId="020A2025" w:rsidR="00615557" w:rsidRDefault="00615557" w:rsidP="003A2593">
      <w:pPr>
        <w:spacing w:after="120" w:line="360" w:lineRule="auto"/>
        <w:jc w:val="both"/>
      </w:pPr>
    </w:p>
    <w:p w14:paraId="31F63D55" w14:textId="77777777" w:rsidR="00615557" w:rsidRDefault="00000000" w:rsidP="003A2593">
      <w:pPr>
        <w:spacing w:line="360" w:lineRule="auto"/>
      </w:pPr>
      <w:r>
        <w:br w:type="page"/>
      </w:r>
    </w:p>
    <w:p w14:paraId="4E9BBD9F" w14:textId="77777777" w:rsidR="00615557" w:rsidRDefault="00000000" w:rsidP="003A2593">
      <w:pPr>
        <w:pStyle w:val="Heading1"/>
        <w:spacing w:line="360" w:lineRule="auto"/>
      </w:pPr>
      <w:bookmarkStart w:id="14" w:name="_Toc225888643"/>
      <w:r>
        <w:lastRenderedPageBreak/>
        <w:t>Element 4: Reflection</w:t>
      </w:r>
      <w:bookmarkEnd w:id="14"/>
    </w:p>
    <w:p w14:paraId="6230CAE0" w14:textId="77777777" w:rsidR="00697D8A" w:rsidRDefault="00697D8A" w:rsidP="00697D8A">
      <w:pPr>
        <w:spacing w:after="120" w:line="360" w:lineRule="auto"/>
        <w:jc w:val="both"/>
      </w:pPr>
      <w:r>
        <w:t>Creating the Google EduLens brand extension portfolio has been a mentally and career enhancing opportunity. The experience of working through the entire marketing strategy process - from segmentation to the marketing mix - helped crystallise my understanding of how theory translates to practice in brand-building in the tech industry.</w:t>
      </w:r>
    </w:p>
    <w:p w14:paraId="04E3E6D8" w14:textId="77777777" w:rsidR="00697D8A" w:rsidRPr="00697D8A" w:rsidRDefault="00697D8A" w:rsidP="00697D8A">
      <w:pPr>
        <w:spacing w:after="120" w:line="360" w:lineRule="auto"/>
        <w:jc w:val="both"/>
        <w:rPr>
          <w:b/>
          <w:bCs/>
          <w:sz w:val="28"/>
          <w:szCs w:val="28"/>
        </w:rPr>
      </w:pPr>
      <w:r w:rsidRPr="00697D8A">
        <w:rPr>
          <w:b/>
          <w:bCs/>
          <w:sz w:val="28"/>
          <w:szCs w:val="28"/>
        </w:rPr>
        <w:t>Strengths</w:t>
      </w:r>
    </w:p>
    <w:p w14:paraId="361B9C6C" w14:textId="77777777" w:rsidR="00697D8A" w:rsidRDefault="00697D8A" w:rsidP="00697D8A">
      <w:pPr>
        <w:spacing w:after="120" w:line="360" w:lineRule="auto"/>
        <w:jc w:val="both"/>
      </w:pPr>
      <w:r>
        <w:t>A key strength for me in this project was to apply the STDP framework critically as opposed to descriptively. I started out thinking of segmentation purely in terms of categorisation, but reading Sharp, Dawes and Victory (2024) helped me to think beyond narrow targeting and the need for wider mental availability for a new brand extension. This resulted in a more complex and scholarly positioning strategy.</w:t>
      </w:r>
    </w:p>
    <w:p w14:paraId="5C4CBEAA" w14:textId="77777777" w:rsidR="00697D8A" w:rsidRDefault="00697D8A" w:rsidP="00697D8A">
      <w:pPr>
        <w:spacing w:after="120" w:line="360" w:lineRule="auto"/>
        <w:jc w:val="both"/>
      </w:pPr>
      <w:r>
        <w:t>The marketing mix module also saw my research and analytical skills grow. I could justify all the strategic decisions in the project with the use of academic and industry evidence and I found it particularly useful to integrate sustainability into the 7Ps rather than just promote it as a product selling point. Research by Nguyen et al. (2025) on green marketing mix strategies supported this approach, which I believe contributed to the portfolio's overall cohesion.</w:t>
      </w:r>
    </w:p>
    <w:p w14:paraId="073B5B06" w14:textId="77777777" w:rsidR="00697D8A" w:rsidRDefault="00697D8A" w:rsidP="00697D8A">
      <w:pPr>
        <w:spacing w:after="120" w:line="360" w:lineRule="auto"/>
        <w:jc w:val="both"/>
      </w:pPr>
      <w:r>
        <w:t>My other strength was presenting the poster. The need to distill a brand strategy into a single poster that would visually capture the audience's attention forced me to prioritise information and communicate succinctly. As a result, my presentation and communication skills in defending marketing strategies to a group also improved, a crucial skill for the workplace.</w:t>
      </w:r>
    </w:p>
    <w:p w14:paraId="0B1FB1CD" w14:textId="77777777" w:rsidR="00697D8A" w:rsidRPr="00697D8A" w:rsidRDefault="00697D8A" w:rsidP="00697D8A">
      <w:pPr>
        <w:spacing w:after="120" w:line="360" w:lineRule="auto"/>
        <w:jc w:val="both"/>
        <w:rPr>
          <w:b/>
          <w:bCs/>
          <w:sz w:val="28"/>
          <w:szCs w:val="28"/>
        </w:rPr>
      </w:pPr>
      <w:r w:rsidRPr="00697D8A">
        <w:rPr>
          <w:b/>
          <w:bCs/>
          <w:sz w:val="28"/>
          <w:szCs w:val="28"/>
        </w:rPr>
        <w:t>Weaknesses</w:t>
      </w:r>
    </w:p>
    <w:p w14:paraId="59F4B6ED" w14:textId="77777777" w:rsidR="00697D8A" w:rsidRDefault="00697D8A" w:rsidP="00697D8A">
      <w:pPr>
        <w:spacing w:after="120" w:line="360" w:lineRule="auto"/>
        <w:jc w:val="both"/>
      </w:pPr>
      <w:r>
        <w:t>A significant weakness of my work is the lack of primary data for the segmentation analysis. While I have cited reliable reports from Grand View Research (2025) and IDC (2026), I have not performed any primary research (e.g. surveys or focus groups) with students. This reduces the empirical rigour of my segmentation, as it is indicative of wider market trends, rather than the more specific needs and behaviours of my target consumers. Primary research would have provided more contextual and convincing evidence for the targeting strategies.</w:t>
      </w:r>
    </w:p>
    <w:p w14:paraId="1C1A7772" w14:textId="77777777" w:rsidR="00697D8A" w:rsidRDefault="00697D8A" w:rsidP="00697D8A">
      <w:pPr>
        <w:spacing w:after="120" w:line="360" w:lineRule="auto"/>
        <w:jc w:val="both"/>
      </w:pPr>
      <w:r>
        <w:lastRenderedPageBreak/>
        <w:t>The second issue is with the competitor analysis in the differentiation section. I benchmarked EduLens with Meta Ray-Ban and Apple Vision Pro, but this was done only at a high level. This could have been done by undertaking a more comprehensive competitor benchmarking process, looking at pricing, features and positioning in more detail.</w:t>
      </w:r>
    </w:p>
    <w:p w14:paraId="3E64FF9F" w14:textId="77777777" w:rsidR="00697D8A" w:rsidRPr="00697D8A" w:rsidRDefault="00697D8A" w:rsidP="00697D8A">
      <w:pPr>
        <w:spacing w:after="120" w:line="360" w:lineRule="auto"/>
        <w:jc w:val="both"/>
        <w:rPr>
          <w:b/>
          <w:bCs/>
          <w:sz w:val="28"/>
          <w:szCs w:val="28"/>
        </w:rPr>
      </w:pPr>
      <w:r w:rsidRPr="00697D8A">
        <w:rPr>
          <w:b/>
          <w:bCs/>
          <w:sz w:val="28"/>
          <w:szCs w:val="28"/>
        </w:rPr>
        <w:t>Action Plan for Improvement</w:t>
      </w:r>
    </w:p>
    <w:p w14:paraId="43AF3ADF" w14:textId="77777777" w:rsidR="00697D8A" w:rsidRDefault="00697D8A" w:rsidP="00697D8A">
      <w:pPr>
        <w:spacing w:after="120" w:line="360" w:lineRule="auto"/>
        <w:jc w:val="both"/>
      </w:pPr>
      <w:r>
        <w:t>To improve in these areas for future projects, I will:</w:t>
      </w:r>
    </w:p>
    <w:p w14:paraId="34725B1F" w14:textId="77777777" w:rsidR="00697D8A" w:rsidRDefault="00697D8A" w:rsidP="00697D8A">
      <w:pPr>
        <w:spacing w:after="120" w:line="360" w:lineRule="auto"/>
        <w:jc w:val="both"/>
      </w:pPr>
      <w:r>
        <w:t>First, I will include primary research in the early phases of the project. In the case of EduLens, this will be a brief structured questionnaire to university students, to understand intentions to use the technology, willingness to pay, and the importance of sustainability. This will be done in parallel with secondary research, so that the insights can inform the segmentation and targeting strategy.</w:t>
      </w:r>
    </w:p>
    <w:p w14:paraId="221E937F" w14:textId="77777777" w:rsidR="00697D8A" w:rsidRDefault="00697D8A" w:rsidP="00697D8A">
      <w:pPr>
        <w:spacing w:after="120" w:line="360" w:lineRule="auto"/>
        <w:jc w:val="both"/>
      </w:pPr>
      <w:r>
        <w:t>Second, I will undertake competitor analysis using tools such as a competitive matrix or perceptual mapping prior to finalising the positioning. This will help ensure that claims of differentiation are made on the basis of relative observation.</w:t>
      </w:r>
    </w:p>
    <w:p w14:paraId="29213CE4" w14:textId="0A0D43CF" w:rsidR="00615557" w:rsidRDefault="00697D8A" w:rsidP="00697D8A">
      <w:pPr>
        <w:spacing w:after="120" w:line="360" w:lineRule="auto"/>
        <w:jc w:val="both"/>
      </w:pPr>
      <w:r>
        <w:t>Third, to enhance my poster presentation, I will invest time in practise with feedback from peers prior to the presentation. This will allow me to control pacing, explanation clarity and confidently answer questions.</w:t>
      </w:r>
    </w:p>
    <w:p w14:paraId="7B29C5A6" w14:textId="77777777" w:rsidR="00615557" w:rsidRDefault="00000000" w:rsidP="003A2593">
      <w:pPr>
        <w:spacing w:line="360" w:lineRule="auto"/>
      </w:pPr>
      <w:r>
        <w:br w:type="page"/>
      </w:r>
    </w:p>
    <w:p w14:paraId="0C9074CF" w14:textId="77777777" w:rsidR="00615557" w:rsidRDefault="00000000" w:rsidP="003A2593">
      <w:pPr>
        <w:pStyle w:val="Heading1"/>
        <w:spacing w:line="360" w:lineRule="auto"/>
      </w:pPr>
      <w:bookmarkStart w:id="15" w:name="_Toc225888644"/>
      <w:r>
        <w:lastRenderedPageBreak/>
        <w:t>Reference List</w:t>
      </w:r>
      <w:bookmarkEnd w:id="15"/>
    </w:p>
    <w:p w14:paraId="5D11B628" w14:textId="00EF5FAD" w:rsidR="00E0155F" w:rsidRDefault="00E0155F" w:rsidP="00210CA0">
      <w:pPr>
        <w:pStyle w:val="ListParagraph"/>
        <w:numPr>
          <w:ilvl w:val="0"/>
          <w:numId w:val="2"/>
        </w:numPr>
        <w:spacing w:after="160" w:line="360" w:lineRule="auto"/>
        <w:jc w:val="both"/>
      </w:pPr>
      <w:r w:rsidRPr="00AB5526">
        <w:t>Al-Emran, M., Al-Nuaimi, M.N., Arpaci, I., Al-Sharafi, M.A. and Anthony, B. (2023) 'Towards a wearable education: Understanding the determinants affecting students' adoption of wearable technologies using machine learning algorithms', </w:t>
      </w:r>
      <w:r w:rsidRPr="00210CA0">
        <w:rPr>
          <w:i/>
          <w:iCs/>
        </w:rPr>
        <w:t>Education and Information Technologies</w:t>
      </w:r>
      <w:r w:rsidRPr="00AB5526">
        <w:t xml:space="preserve">, 28(3), pp. 2727–2746. Available at: </w:t>
      </w:r>
      <w:hyperlink r:id="rId13" w:history="1">
        <w:r w:rsidRPr="006F4EAC">
          <w:rPr>
            <w:rStyle w:val="Hyperlink"/>
          </w:rPr>
          <w:t>https://doi.org/10.1007/s10639-022-11294-z</w:t>
        </w:r>
      </w:hyperlink>
      <w:r>
        <w:t xml:space="preserve"> (Accessed: 31 March 2026).</w:t>
      </w:r>
    </w:p>
    <w:p w14:paraId="0B8602A9" w14:textId="4A76570E" w:rsidR="00E0155F" w:rsidRDefault="00E0155F" w:rsidP="00210CA0">
      <w:pPr>
        <w:pStyle w:val="ListParagraph"/>
        <w:numPr>
          <w:ilvl w:val="0"/>
          <w:numId w:val="2"/>
        </w:numPr>
        <w:spacing w:after="160" w:line="360" w:lineRule="auto"/>
        <w:jc w:val="both"/>
      </w:pPr>
      <w:r>
        <w:t xml:space="preserve">Catana, S., Imbrisca, C. and Veith, C. (2025) ‘Understanding Generation Z’s purchasing behaviour on online marketplaces: a TAM-based approach’, Journal of Theoretical and Applied Electronic Commerce Research, 20(4), 260. Available at: </w:t>
      </w:r>
      <w:hyperlink r:id="rId14" w:history="1">
        <w:r w:rsidRPr="00A05A83">
          <w:rPr>
            <w:rStyle w:val="Hyperlink"/>
          </w:rPr>
          <w:t>https://doi.org/10.3390/jtaer20040260</w:t>
        </w:r>
      </w:hyperlink>
      <w:r>
        <w:t xml:space="preserve">  (Accessed: 31 March 2026).</w:t>
      </w:r>
    </w:p>
    <w:p w14:paraId="2F20D6FA" w14:textId="2D8EBBD6" w:rsidR="00E0155F" w:rsidRDefault="00E0155F" w:rsidP="00210CA0">
      <w:pPr>
        <w:pStyle w:val="ListParagraph"/>
        <w:numPr>
          <w:ilvl w:val="0"/>
          <w:numId w:val="2"/>
        </w:numPr>
        <w:spacing w:after="160" w:line="360" w:lineRule="auto"/>
        <w:jc w:val="both"/>
      </w:pPr>
      <w:r>
        <w:t xml:space="preserve">Falana, W.O., Aspara, J. and Frosen, J. (2024) ‘The impact of Janus fit brand extensions on perceived brand innovativeness’, Journal of Business Research, 179, 114674. Available at: </w:t>
      </w:r>
      <w:hyperlink r:id="rId15" w:history="1">
        <w:r w:rsidRPr="00A05A83">
          <w:rPr>
            <w:rStyle w:val="Hyperlink"/>
          </w:rPr>
          <w:t>https://doi.org/10.1016/j.jbusres.2024.114674</w:t>
        </w:r>
      </w:hyperlink>
      <w:r>
        <w:t xml:space="preserve">  (Accessed: 31 March 2026).</w:t>
      </w:r>
    </w:p>
    <w:p w14:paraId="19E3F689" w14:textId="58612F99" w:rsidR="00E0155F" w:rsidRDefault="00E0155F" w:rsidP="00210CA0">
      <w:pPr>
        <w:pStyle w:val="ListParagraph"/>
        <w:numPr>
          <w:ilvl w:val="0"/>
          <w:numId w:val="2"/>
        </w:numPr>
        <w:spacing w:after="160" w:line="360" w:lineRule="auto"/>
        <w:jc w:val="both"/>
      </w:pPr>
      <w:r>
        <w:t xml:space="preserve">Garzon, J., Pavon, J. and Baldiris, S. (2019) ‘Systematic review and meta-analysis of augmented reality in educational settings’, Virtual Reality, 23, pp. 447–480. Available at: </w:t>
      </w:r>
      <w:hyperlink r:id="rId16" w:history="1">
        <w:r w:rsidRPr="00A05A83">
          <w:rPr>
            <w:rStyle w:val="Hyperlink"/>
          </w:rPr>
          <w:t>https://doi.org/10.1007/s10055-019-00379-9</w:t>
        </w:r>
      </w:hyperlink>
      <w:r>
        <w:t xml:space="preserve">  (Accessed: 31 March 2026).</w:t>
      </w:r>
    </w:p>
    <w:p w14:paraId="5975A4B5" w14:textId="232ACB17" w:rsidR="00E0155F" w:rsidRDefault="00E0155F" w:rsidP="00210CA0">
      <w:pPr>
        <w:pStyle w:val="ListParagraph"/>
        <w:numPr>
          <w:ilvl w:val="0"/>
          <w:numId w:val="2"/>
        </w:numPr>
        <w:spacing w:after="160" w:line="360" w:lineRule="auto"/>
        <w:jc w:val="both"/>
      </w:pPr>
      <w:r>
        <w:t xml:space="preserve">Google (2024) Google environmental report 2024. Available at: </w:t>
      </w:r>
      <w:hyperlink r:id="rId17" w:history="1">
        <w:r w:rsidRPr="00A05A83">
          <w:rPr>
            <w:rStyle w:val="Hyperlink"/>
          </w:rPr>
          <w:t>https://sustainability.google</w:t>
        </w:r>
      </w:hyperlink>
      <w:r>
        <w:t xml:space="preserve">  (Accessed: 31 March 2026).</w:t>
      </w:r>
    </w:p>
    <w:p w14:paraId="113CA3C6" w14:textId="6B38EE0C" w:rsidR="00E0155F" w:rsidRDefault="00E0155F" w:rsidP="00210CA0">
      <w:pPr>
        <w:pStyle w:val="ListParagraph"/>
        <w:numPr>
          <w:ilvl w:val="0"/>
          <w:numId w:val="2"/>
        </w:numPr>
        <w:spacing w:after="160" w:line="360" w:lineRule="auto"/>
        <w:jc w:val="both"/>
      </w:pPr>
      <w:r>
        <w:t xml:space="preserve">Grand View Research (2025) Education technology market size, share &amp; trends analysis report, 2025-2030. Available at: </w:t>
      </w:r>
      <w:hyperlink r:id="rId18" w:history="1">
        <w:r w:rsidRPr="00A05A83">
          <w:rPr>
            <w:rStyle w:val="Hyperlink"/>
          </w:rPr>
          <w:t>https://www.grandviewresearch.com/industry-analysis/education-technology-market</w:t>
        </w:r>
      </w:hyperlink>
      <w:r>
        <w:t xml:space="preserve">  (Accessed: 31 March 2026).</w:t>
      </w:r>
    </w:p>
    <w:p w14:paraId="5E63AB9C" w14:textId="6872D613" w:rsidR="00E0155F" w:rsidRDefault="00E0155F" w:rsidP="00210CA0">
      <w:pPr>
        <w:pStyle w:val="ListParagraph"/>
        <w:numPr>
          <w:ilvl w:val="0"/>
          <w:numId w:val="2"/>
        </w:numPr>
        <w:spacing w:after="160" w:line="360" w:lineRule="auto"/>
        <w:jc w:val="both"/>
      </w:pPr>
      <w:r>
        <w:t xml:space="preserve">IDC (2026) XR market expands 44.4% in 2025 as smart glasses take center stage. Available at: </w:t>
      </w:r>
      <w:hyperlink r:id="rId19" w:history="1">
        <w:r w:rsidRPr="00A05A83">
          <w:rPr>
            <w:rStyle w:val="Hyperlink"/>
          </w:rPr>
          <w:t>https://www.idc.com/promo/arvr/</w:t>
        </w:r>
      </w:hyperlink>
      <w:r>
        <w:t xml:space="preserve">  (Accessed: 31 March 2026).</w:t>
      </w:r>
    </w:p>
    <w:p w14:paraId="30BB60DB" w14:textId="4AAB1577" w:rsidR="00E0155F" w:rsidRDefault="00E0155F" w:rsidP="00210CA0">
      <w:pPr>
        <w:pStyle w:val="ListParagraph"/>
        <w:numPr>
          <w:ilvl w:val="0"/>
          <w:numId w:val="2"/>
        </w:numPr>
        <w:spacing w:after="160" w:line="360" w:lineRule="auto"/>
        <w:jc w:val="both"/>
      </w:pPr>
      <w:r>
        <w:lastRenderedPageBreak/>
        <w:t xml:space="preserve">Kotler, P. and Keller, K. (2012) Marketing management. 14th edn. Upper Saddle River: Pearson Education. Available at: </w:t>
      </w:r>
      <w:hyperlink r:id="rId20" w:history="1">
        <w:r w:rsidRPr="00A05A83">
          <w:rPr>
            <w:rStyle w:val="Hyperlink"/>
          </w:rPr>
          <w:t>https://gnindia.dronacharya.info/MBA/1stSem/Downloads/MarketingManagement/Books/Marketing-Management-text-book-1.pdf</w:t>
        </w:r>
      </w:hyperlink>
      <w:r>
        <w:t xml:space="preserve">  (Accessed: 31 March 2026).</w:t>
      </w:r>
    </w:p>
    <w:p w14:paraId="1F7F7B97" w14:textId="64687C65" w:rsidR="00E0155F" w:rsidRDefault="00E0155F" w:rsidP="00210CA0">
      <w:pPr>
        <w:pStyle w:val="ListParagraph"/>
        <w:numPr>
          <w:ilvl w:val="0"/>
          <w:numId w:val="2"/>
        </w:numPr>
        <w:spacing w:after="160" w:line="360" w:lineRule="auto"/>
        <w:jc w:val="both"/>
      </w:pPr>
      <w:r>
        <w:t xml:space="preserve">Koumpouros, Y. (2024) ‘Revealing the true potential and prospects of augmented reality in education’, Smart Learning Environments, 11(1). Available at: </w:t>
      </w:r>
      <w:hyperlink r:id="rId21" w:history="1">
        <w:r w:rsidRPr="00A05A83">
          <w:rPr>
            <w:rStyle w:val="Hyperlink"/>
          </w:rPr>
          <w:t>https://doi.org/10.1186/s40561-023-00288-0</w:t>
        </w:r>
      </w:hyperlink>
      <w:r>
        <w:t xml:space="preserve">  (Accessed: 31 March 2026).</w:t>
      </w:r>
    </w:p>
    <w:p w14:paraId="78B51503" w14:textId="3590E48F" w:rsidR="00E0155F" w:rsidRDefault="00E0155F" w:rsidP="00210CA0">
      <w:pPr>
        <w:pStyle w:val="ListParagraph"/>
        <w:numPr>
          <w:ilvl w:val="0"/>
          <w:numId w:val="2"/>
        </w:numPr>
        <w:spacing w:after="160" w:line="360" w:lineRule="auto"/>
        <w:jc w:val="both"/>
      </w:pPr>
      <w:r>
        <w:t xml:space="preserve">Nguyen, K.M., Thi, L., Ngo, T.T., Thi, T., Dinh, P., Pham, H. and Nguyen, N.T. (2025) ‘The impact of 7Ps green marketing mix on customer commitment and willingness to pay a premium price: evidence from Vietnam’, Journal of Promotion Management, pp. 1–42. Available at: </w:t>
      </w:r>
      <w:hyperlink r:id="rId22" w:history="1">
        <w:r w:rsidRPr="00A05A83">
          <w:rPr>
            <w:rStyle w:val="Hyperlink"/>
          </w:rPr>
          <w:t>https://doi.org/10.1080/10496491.2025.2484712</w:t>
        </w:r>
      </w:hyperlink>
      <w:r>
        <w:t xml:space="preserve">  (Accessed: 31 March 2026).</w:t>
      </w:r>
    </w:p>
    <w:p w14:paraId="55F40707" w14:textId="08E9AC07" w:rsidR="00E0155F" w:rsidRDefault="00E0155F" w:rsidP="00210CA0">
      <w:pPr>
        <w:pStyle w:val="ListParagraph"/>
        <w:numPr>
          <w:ilvl w:val="0"/>
          <w:numId w:val="2"/>
        </w:numPr>
        <w:spacing w:after="160" w:line="360" w:lineRule="auto"/>
        <w:jc w:val="both"/>
      </w:pPr>
      <w:r>
        <w:t xml:space="preserve">Sharp, B., Dawes, J. and Victory, K. (2024) ‘The market-based assets theory of brand competition’, Journal of Retailing and Consumer Services, 76, 103566. Available at: </w:t>
      </w:r>
      <w:hyperlink r:id="rId23" w:history="1">
        <w:r w:rsidRPr="00A05A83">
          <w:rPr>
            <w:rStyle w:val="Hyperlink"/>
          </w:rPr>
          <w:t>https://doi.org/10.1016/j.jretconser.2023.103566</w:t>
        </w:r>
      </w:hyperlink>
      <w:r>
        <w:t xml:space="preserve">  (Accessed: 31 March 2026).</w:t>
      </w:r>
    </w:p>
    <w:p w14:paraId="0DBE89F6" w14:textId="36B687E4" w:rsidR="00E0155F" w:rsidRDefault="00E0155F" w:rsidP="00210CA0">
      <w:pPr>
        <w:pStyle w:val="ListParagraph"/>
        <w:numPr>
          <w:ilvl w:val="0"/>
          <w:numId w:val="2"/>
        </w:numPr>
        <w:spacing w:after="160" w:line="360" w:lineRule="auto"/>
        <w:jc w:val="both"/>
      </w:pPr>
      <w:r>
        <w:t xml:space="preserve">Singh, S., Kaur, A. and Gulzar, Y. (2024) ‘The impact of augmented reality on education: a bibliometric exploration’, Frontiers in Education, 9, 1458695. Available at: </w:t>
      </w:r>
      <w:hyperlink r:id="rId24" w:history="1">
        <w:r w:rsidRPr="00A05A83">
          <w:rPr>
            <w:rStyle w:val="Hyperlink"/>
          </w:rPr>
          <w:t>https://doi.org/10.3389/feduc.2024.1458695</w:t>
        </w:r>
      </w:hyperlink>
      <w:r>
        <w:t xml:space="preserve">  (Accessed: 31 March 2026).</w:t>
      </w:r>
    </w:p>
    <w:p w14:paraId="61BF63DA" w14:textId="7C587380" w:rsidR="00E0155F" w:rsidRDefault="00E0155F" w:rsidP="00210CA0">
      <w:pPr>
        <w:pStyle w:val="ListParagraph"/>
        <w:numPr>
          <w:ilvl w:val="0"/>
          <w:numId w:val="2"/>
        </w:numPr>
        <w:spacing w:after="160" w:line="360" w:lineRule="auto"/>
        <w:jc w:val="both"/>
      </w:pPr>
      <w:r>
        <w:t xml:space="preserve">Statista (2025) AR &amp; VR – worldwide: market forecast. Available at: </w:t>
      </w:r>
      <w:hyperlink r:id="rId25" w:history="1">
        <w:r w:rsidRPr="00A05A83">
          <w:rPr>
            <w:rStyle w:val="Hyperlink"/>
          </w:rPr>
          <w:t>https://www.statista.com/outlook/amo/ar-vr/worldwide/</w:t>
        </w:r>
      </w:hyperlink>
      <w:r>
        <w:t xml:space="preserve">  (Accessed: 31 March 2026).</w:t>
      </w:r>
    </w:p>
    <w:p w14:paraId="066698F6" w14:textId="6F6EDCE3" w:rsidR="00E0155F" w:rsidRDefault="00E0155F" w:rsidP="00210CA0">
      <w:pPr>
        <w:pStyle w:val="ListParagraph"/>
        <w:numPr>
          <w:ilvl w:val="0"/>
          <w:numId w:val="2"/>
        </w:numPr>
        <w:spacing w:after="160" w:line="360" w:lineRule="auto"/>
        <w:jc w:val="both"/>
      </w:pPr>
      <w:r>
        <w:t xml:space="preserve">Theocharis, D. and Tsekouropoulos, G. (2025) ‘Sustainable consumption and branding for Gen Z: how brand dimensions influence consumer behavior and adoption of newly launched technological products’, Sustainability, 17(9), 4124. Available at: </w:t>
      </w:r>
      <w:hyperlink r:id="rId26" w:history="1">
        <w:r w:rsidRPr="00A05A83">
          <w:rPr>
            <w:rStyle w:val="Hyperlink"/>
          </w:rPr>
          <w:t>https://doi.org/10.3390/su17094124</w:t>
        </w:r>
      </w:hyperlink>
      <w:r>
        <w:t xml:space="preserve">  (Accessed: 31 March 2026).</w:t>
      </w:r>
    </w:p>
    <w:p w14:paraId="26177CE6" w14:textId="0A45A39A" w:rsidR="00AB5526" w:rsidRPr="00210CA0" w:rsidRDefault="00E0155F" w:rsidP="00210CA0">
      <w:pPr>
        <w:pStyle w:val="ListParagraph"/>
        <w:numPr>
          <w:ilvl w:val="0"/>
          <w:numId w:val="2"/>
        </w:numPr>
        <w:spacing w:after="160" w:line="360" w:lineRule="auto"/>
        <w:jc w:val="both"/>
        <w:rPr>
          <w:color w:val="0563C1"/>
          <w:u w:val="single"/>
        </w:rPr>
      </w:pPr>
      <w:r>
        <w:t xml:space="preserve">Theocharis, D., Tsekouropoulos, G., Chatzigeorgiou, C. and Kokkinis, G. (2025) ‘Empirical categorization of factors affecting online consumer behavior of Gen Z regarding newly launched technological products and moderating </w:t>
      </w:r>
      <w:r>
        <w:lastRenderedPageBreak/>
        <w:t xml:space="preserve">impact of perceived risk’, Behavioral Sciences, 15(3), 371. Available at: </w:t>
      </w:r>
      <w:hyperlink r:id="rId27" w:history="1">
        <w:r w:rsidR="00767476" w:rsidRPr="00D54137">
          <w:rPr>
            <w:rStyle w:val="Hyperlink"/>
          </w:rPr>
          <w:t>https://doi.org/10.3390/bs15030371</w:t>
        </w:r>
      </w:hyperlink>
      <w:r>
        <w:t xml:space="preserve">  (Accessed: 31 March 2026).</w:t>
      </w:r>
    </w:p>
    <w:p w14:paraId="59ADC60B" w14:textId="77777777" w:rsidR="00767476" w:rsidRDefault="00767476">
      <w:pPr>
        <w:sectPr w:rsidR="00767476" w:rsidSect="00767476">
          <w:headerReference w:type="default" r:id="rId28"/>
          <w:footerReference w:type="default" r:id="rId29"/>
          <w:pgSz w:w="11906" w:h="16838"/>
          <w:pgMar w:top="1440" w:right="1440" w:bottom="1440" w:left="1440" w:header="708" w:footer="708" w:gutter="0"/>
          <w:cols w:space="720"/>
          <w:docGrid w:linePitch="360"/>
        </w:sectPr>
      </w:pPr>
      <w:r>
        <w:br w:type="page"/>
      </w:r>
    </w:p>
    <w:p w14:paraId="2D30C29E" w14:textId="255940E1" w:rsidR="00E0155F" w:rsidRDefault="00E0155F" w:rsidP="00E0155F">
      <w:pPr>
        <w:pStyle w:val="Heading1"/>
      </w:pPr>
      <w:r>
        <w:lastRenderedPageBreak/>
        <w:t>Appendix Poster:</w:t>
      </w:r>
    </w:p>
    <w:tbl>
      <w:tblPr>
        <w:tblW w:w="14878"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5398"/>
      </w:tblGrid>
      <w:tr w:rsidR="00E3757B" w:rsidRPr="00E3757B" w14:paraId="534C962D" w14:textId="77777777" w:rsidTr="00E3757B">
        <w:trPr>
          <w:trHeight w:val="25"/>
        </w:trPr>
        <w:tc>
          <w:tcPr>
            <w:tcW w:w="14878" w:type="dxa"/>
            <w:tcBorders>
              <w:top w:val="none" w:sz="0" w:space="0" w:color="FFFFFF"/>
              <w:left w:val="none" w:sz="0" w:space="0" w:color="FFFFFF"/>
              <w:bottom w:val="none" w:sz="0" w:space="0" w:color="FFFFFF"/>
              <w:right w:val="none" w:sz="0" w:space="0" w:color="FFFFFF"/>
            </w:tcBorders>
            <w:shd w:val="clear" w:color="auto" w:fill="0B1220"/>
            <w:tcMar>
              <w:top w:w="60" w:type="dxa"/>
              <w:left w:w="0" w:type="dxa"/>
              <w:bottom w:w="80" w:type="dxa"/>
              <w:right w:w="0" w:type="dxa"/>
            </w:tcMar>
            <w:vAlign w:val="center"/>
          </w:tcPr>
          <w:p w14:paraId="5B27F705" w14:textId="7742F8A4" w:rsidR="00E3757B" w:rsidRPr="00E3757B" w:rsidRDefault="00E3757B" w:rsidP="00DE5206">
            <w:pPr>
              <w:spacing w:after="40" w:line="260" w:lineRule="auto"/>
              <w:rPr>
                <w:rFonts w:ascii="Calibri" w:eastAsia="Calibri" w:hAnsi="Calibri" w:cs="Calibri"/>
                <w:b/>
                <w:bCs/>
                <w:color w:val="4285F4"/>
                <w:sz w:val="30"/>
                <w:szCs w:val="30"/>
              </w:rPr>
            </w:pPr>
            <w:r w:rsidRPr="00E3757B">
              <w:rPr>
                <w:rFonts w:ascii="Calibri" w:eastAsia="Calibri" w:hAnsi="Calibri" w:cs="Calibri"/>
                <w:b/>
                <w:bCs/>
                <w:color w:val="4285F4"/>
                <w:sz w:val="30"/>
                <w:szCs w:val="30"/>
              </w:rPr>
              <w:t>Google EduLens</w:t>
            </w:r>
          </w:p>
          <w:p w14:paraId="273C5555" w14:textId="77777777" w:rsidR="00E3757B" w:rsidRPr="00E3757B" w:rsidRDefault="00E3757B" w:rsidP="00DE5206">
            <w:pPr>
              <w:spacing w:after="30" w:line="230" w:lineRule="auto"/>
              <w:rPr>
                <w:sz w:val="14"/>
                <w:szCs w:val="14"/>
              </w:rPr>
            </w:pPr>
            <w:r w:rsidRPr="00E3757B">
              <w:rPr>
                <w:rFonts w:ascii="Calibri" w:eastAsia="Calibri" w:hAnsi="Calibri" w:cs="Calibri"/>
                <w:b/>
                <w:bCs/>
                <w:color w:val="60A5FA"/>
                <w:sz w:val="14"/>
                <w:szCs w:val="14"/>
              </w:rPr>
              <w:t>Smart AR Glasses for Students</w:t>
            </w:r>
          </w:p>
          <w:p w14:paraId="0AF7283E" w14:textId="5F49B1EC" w:rsidR="00E3757B" w:rsidRPr="00E3757B" w:rsidRDefault="00E3757B" w:rsidP="00DE5206">
            <w:pPr>
              <w:spacing w:after="60" w:line="230" w:lineRule="auto"/>
              <w:rPr>
                <w:rFonts w:ascii="Calibri" w:eastAsia="Calibri" w:hAnsi="Calibri" w:cs="Calibri"/>
                <w:color w:val="94A3B8"/>
                <w:sz w:val="14"/>
                <w:szCs w:val="14"/>
              </w:rPr>
            </w:pPr>
            <w:r w:rsidRPr="00E3757B">
              <w:rPr>
                <w:rFonts w:ascii="Calibri" w:eastAsia="Calibri" w:hAnsi="Calibri" w:cs="Calibri"/>
                <w:color w:val="94A3B8"/>
                <w:sz w:val="14"/>
                <w:szCs w:val="14"/>
              </w:rPr>
              <w:t>A Brand Extension Strategy for Next-Generation Education</w:t>
            </w:r>
          </w:p>
          <w:tbl>
            <w:tblPr>
              <w:tblW w:w="15398"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508"/>
              <w:gridCol w:w="190"/>
              <w:gridCol w:w="5613"/>
              <w:gridCol w:w="190"/>
              <w:gridCol w:w="3897"/>
            </w:tblGrid>
            <w:tr w:rsidR="00E3757B" w:rsidRPr="00E3757B" w14:paraId="39E8BE4A" w14:textId="77777777" w:rsidTr="00E3757B">
              <w:trPr>
                <w:trHeight w:val="1493"/>
              </w:trPr>
              <w:tc>
                <w:tcPr>
                  <w:tcW w:w="5508" w:type="dxa"/>
                  <w:tcBorders>
                    <w:top w:val="single" w:sz="18" w:space="0" w:color="3B82F6"/>
                    <w:left w:val="none" w:sz="0" w:space="0" w:color="FFFFFF"/>
                    <w:bottom w:val="none" w:sz="0" w:space="0" w:color="FFFFFF"/>
                    <w:right w:val="none" w:sz="0" w:space="0" w:color="FFFFFF"/>
                  </w:tcBorders>
                  <w:shd w:val="clear" w:color="auto" w:fill="111827"/>
                  <w:tcMar>
                    <w:top w:w="150" w:type="dxa"/>
                    <w:left w:w="180" w:type="dxa"/>
                    <w:bottom w:w="150" w:type="dxa"/>
                    <w:right w:w="180" w:type="dxa"/>
                  </w:tcMar>
                </w:tcPr>
                <w:p w14:paraId="20069095" w14:textId="77777777" w:rsidR="00E3757B" w:rsidRPr="00E3757B" w:rsidRDefault="00E3757B" w:rsidP="00767476">
                  <w:pPr>
                    <w:spacing w:after="100" w:line="260" w:lineRule="auto"/>
                    <w:rPr>
                      <w:sz w:val="14"/>
                      <w:szCs w:val="14"/>
                    </w:rPr>
                  </w:pPr>
                  <w:r w:rsidRPr="00E3757B">
                    <w:rPr>
                      <w:rFonts w:ascii="Calibri" w:eastAsia="Calibri" w:hAnsi="Calibri" w:cs="Calibri"/>
                      <w:color w:val="E5E7EB"/>
                      <w:sz w:val="14"/>
                      <w:szCs w:val="14"/>
                    </w:rPr>
                    <w:t xml:space="preserve">🌐  </w:t>
                  </w:r>
                  <w:r w:rsidRPr="00E3757B">
                    <w:rPr>
                      <w:rFonts w:ascii="Calibri" w:eastAsia="Calibri" w:hAnsi="Calibri" w:cs="Calibri"/>
                      <w:b/>
                      <w:bCs/>
                      <w:color w:val="FFFFFF"/>
                      <w:sz w:val="14"/>
                      <w:szCs w:val="14"/>
                    </w:rPr>
                    <w:t>1. Introduction</w:t>
                  </w:r>
                </w:p>
                <w:p w14:paraId="36E57AAC" w14:textId="77777777" w:rsidR="00E3757B" w:rsidRPr="00E3757B" w:rsidRDefault="00E3757B" w:rsidP="00767476">
                  <w:pPr>
                    <w:spacing w:after="60" w:line="230" w:lineRule="auto"/>
                    <w:rPr>
                      <w:sz w:val="14"/>
                      <w:szCs w:val="14"/>
                    </w:rPr>
                  </w:pPr>
                  <w:r w:rsidRPr="00E3757B">
                    <w:rPr>
                      <w:rFonts w:ascii="Calibri" w:eastAsia="Calibri" w:hAnsi="Calibri" w:cs="Calibri"/>
                      <w:b/>
                      <w:bCs/>
                      <w:color w:val="FFFFFF"/>
                      <w:sz w:val="14"/>
                      <w:szCs w:val="14"/>
                    </w:rPr>
                    <w:t>Google LLC</w:t>
                  </w:r>
                  <w:r w:rsidRPr="00E3757B">
                    <w:rPr>
                      <w:rFonts w:ascii="Calibri" w:eastAsia="Calibri" w:hAnsi="Calibri" w:cs="Calibri"/>
                      <w:color w:val="E5E7EB"/>
                      <w:sz w:val="14"/>
                      <w:szCs w:val="14"/>
                    </w:rPr>
                    <w:t xml:space="preserve">, a subsidiary of Alphabet Inc., is a global technology leader with a market capitalisation exceeding </w:t>
                  </w:r>
                  <w:r w:rsidRPr="00E3757B">
                    <w:rPr>
                      <w:rFonts w:ascii="Calibri" w:eastAsia="Calibri" w:hAnsi="Calibri" w:cs="Calibri"/>
                      <w:b/>
                      <w:bCs/>
                      <w:color w:val="FFFFFF"/>
                      <w:sz w:val="14"/>
                      <w:szCs w:val="14"/>
                    </w:rPr>
                    <w:t>$3.3 trillion</w:t>
                  </w:r>
                  <w:r w:rsidRPr="00E3757B">
                    <w:rPr>
                      <w:rFonts w:ascii="Calibri" w:eastAsia="Calibri" w:hAnsi="Calibri" w:cs="Calibri"/>
                      <w:color w:val="E5E7EB"/>
                      <w:sz w:val="14"/>
                      <w:szCs w:val="14"/>
                    </w:rPr>
                    <w:t xml:space="preserve"> and over </w:t>
                  </w:r>
                  <w:r w:rsidRPr="00E3757B">
                    <w:rPr>
                      <w:rFonts w:ascii="Calibri" w:eastAsia="Calibri" w:hAnsi="Calibri" w:cs="Calibri"/>
                      <w:b/>
                      <w:bCs/>
                      <w:color w:val="FFFFFF"/>
                      <w:sz w:val="14"/>
                      <w:szCs w:val="14"/>
                    </w:rPr>
                    <w:t>two billion monthly active users</w:t>
                  </w:r>
                  <w:r w:rsidRPr="00E3757B">
                    <w:rPr>
                      <w:rFonts w:ascii="Calibri" w:eastAsia="Calibri" w:hAnsi="Calibri" w:cs="Calibri"/>
                      <w:color w:val="E5E7EB"/>
                      <w:sz w:val="14"/>
                      <w:szCs w:val="14"/>
                    </w:rPr>
                    <w:t xml:space="preserve"> across Search, YouTube, Chrome, and Gmail (Alphabet Inc., 2024). Renowned for search, cloud computing, and artificial intelligence, Google has consistently expanded into hardware categories including </w:t>
                  </w:r>
                  <w:r w:rsidRPr="00E3757B">
                    <w:rPr>
                      <w:rFonts w:ascii="Calibri" w:eastAsia="Calibri" w:hAnsi="Calibri" w:cs="Calibri"/>
                      <w:b/>
                      <w:bCs/>
                      <w:color w:val="FFFFFF"/>
                      <w:sz w:val="14"/>
                      <w:szCs w:val="14"/>
                    </w:rPr>
                    <w:t>Pixel smartphones, Nest smart home devices, and Fitbit wearables</w:t>
                  </w:r>
                  <w:r w:rsidRPr="00E3757B">
                    <w:rPr>
                      <w:rFonts w:ascii="Calibri" w:eastAsia="Calibri" w:hAnsi="Calibri" w:cs="Calibri"/>
                      <w:color w:val="E5E7EB"/>
                      <w:sz w:val="14"/>
                      <w:szCs w:val="14"/>
                    </w:rPr>
                    <w:t xml:space="preserve"> (Kotler and Keller, 2012). This poster presents </w:t>
                  </w:r>
                  <w:r w:rsidRPr="00E3757B">
                    <w:rPr>
                      <w:rFonts w:ascii="Calibri" w:eastAsia="Calibri" w:hAnsi="Calibri" w:cs="Calibri"/>
                      <w:b/>
                      <w:bCs/>
                      <w:color w:val="FFFFFF"/>
                      <w:sz w:val="14"/>
                      <w:szCs w:val="14"/>
                    </w:rPr>
                    <w:t>Google EduLens</w:t>
                  </w:r>
                  <w:r w:rsidRPr="00E3757B">
                    <w:rPr>
                      <w:rFonts w:ascii="Calibri" w:eastAsia="Calibri" w:hAnsi="Calibri" w:cs="Calibri"/>
                      <w:color w:val="E5E7EB"/>
                      <w:sz w:val="14"/>
                      <w:szCs w:val="14"/>
                    </w:rPr>
                    <w:t xml:space="preserve"> — a proposed brand extension into the wearable augmented reality market for university students.</w:t>
                  </w: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1C9FEA75"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5613" w:type="dxa"/>
                  <w:tcBorders>
                    <w:top w:val="single" w:sz="18" w:space="0" w:color="EF4444"/>
                    <w:left w:val="none" w:sz="0" w:space="0" w:color="FFFFFF"/>
                    <w:bottom w:val="none" w:sz="0" w:space="0" w:color="FFFFFF"/>
                    <w:right w:val="none" w:sz="0" w:space="0" w:color="FFFFFF"/>
                  </w:tcBorders>
                  <w:shd w:val="clear" w:color="auto" w:fill="111827"/>
                  <w:tcMar>
                    <w:top w:w="150" w:type="dxa"/>
                    <w:left w:w="180" w:type="dxa"/>
                    <w:bottom w:w="150" w:type="dxa"/>
                    <w:right w:w="180" w:type="dxa"/>
                  </w:tcMar>
                </w:tcPr>
                <w:p w14:paraId="3DF25967" w14:textId="77777777" w:rsidR="00E3757B" w:rsidRPr="00E3757B" w:rsidRDefault="00E3757B" w:rsidP="00767476">
                  <w:pPr>
                    <w:spacing w:after="100" w:line="260" w:lineRule="auto"/>
                    <w:rPr>
                      <w:sz w:val="14"/>
                      <w:szCs w:val="14"/>
                    </w:rPr>
                  </w:pPr>
                  <w:r w:rsidRPr="00E3757B">
                    <w:rPr>
                      <w:rFonts w:ascii="Calibri" w:eastAsia="Calibri" w:hAnsi="Calibri" w:cs="Calibri"/>
                      <w:color w:val="E5E7EB"/>
                      <w:sz w:val="14"/>
                      <w:szCs w:val="14"/>
                    </w:rPr>
                    <w:t xml:space="preserve">🚀  </w:t>
                  </w:r>
                  <w:r w:rsidRPr="00E3757B">
                    <w:rPr>
                      <w:rFonts w:ascii="Calibri" w:eastAsia="Calibri" w:hAnsi="Calibri" w:cs="Calibri"/>
                      <w:b/>
                      <w:bCs/>
                      <w:color w:val="FFFFFF"/>
                      <w:sz w:val="14"/>
                      <w:szCs w:val="14"/>
                    </w:rPr>
                    <w:t>2. Brand Extension</w:t>
                  </w:r>
                </w:p>
                <w:p w14:paraId="155CA886" w14:textId="77777777" w:rsidR="00E3757B" w:rsidRPr="00E3757B" w:rsidRDefault="00E3757B" w:rsidP="00767476">
                  <w:pPr>
                    <w:spacing w:after="60" w:line="230" w:lineRule="auto"/>
                    <w:rPr>
                      <w:sz w:val="14"/>
                      <w:szCs w:val="14"/>
                    </w:rPr>
                  </w:pPr>
                  <w:r w:rsidRPr="00E3757B">
                    <w:rPr>
                      <w:rFonts w:ascii="Calibri" w:eastAsia="Calibri" w:hAnsi="Calibri" w:cs="Calibri"/>
                      <w:color w:val="E5E7EB"/>
                      <w:sz w:val="14"/>
                      <w:szCs w:val="14"/>
                    </w:rPr>
                    <w:t xml:space="preserve">A brand extension uses an established brand name to enter a new product category (Kotler and Keller, 2012). </w:t>
                  </w:r>
                  <w:r w:rsidRPr="00E3757B">
                    <w:rPr>
                      <w:rFonts w:ascii="Calibri" w:eastAsia="Calibri" w:hAnsi="Calibri" w:cs="Calibri"/>
                      <w:b/>
                      <w:bCs/>
                      <w:color w:val="FFFFFF"/>
                      <w:sz w:val="14"/>
                      <w:szCs w:val="14"/>
                    </w:rPr>
                    <w:t>Google EduLens</w:t>
                  </w:r>
                  <w:r w:rsidRPr="00E3757B">
                    <w:rPr>
                      <w:rFonts w:ascii="Calibri" w:eastAsia="Calibri" w:hAnsi="Calibri" w:cs="Calibri"/>
                      <w:color w:val="E5E7EB"/>
                      <w:sz w:val="14"/>
                      <w:szCs w:val="14"/>
                    </w:rPr>
                    <w:t xml:space="preserve"> is a proposed lightweight smart AR glasses product designed </w:t>
                  </w:r>
                  <w:r w:rsidRPr="00E3757B">
                    <w:rPr>
                      <w:rFonts w:ascii="Calibri" w:eastAsia="Calibri" w:hAnsi="Calibri" w:cs="Calibri"/>
                      <w:b/>
                      <w:bCs/>
                      <w:color w:val="FFFFFF"/>
                      <w:sz w:val="14"/>
                      <w:szCs w:val="14"/>
                    </w:rPr>
                    <w:t>exclusively for higher education</w:t>
                  </w:r>
                  <w:r w:rsidRPr="00E3757B">
                    <w:rPr>
                      <w:rFonts w:ascii="Calibri" w:eastAsia="Calibri" w:hAnsi="Calibri" w:cs="Calibri"/>
                      <w:color w:val="E5E7EB"/>
                      <w:sz w:val="14"/>
                      <w:szCs w:val="14"/>
                    </w:rPr>
                    <w:t xml:space="preserve">. Utilising Google's existing </w:t>
                  </w:r>
                  <w:r w:rsidRPr="00E3757B">
                    <w:rPr>
                      <w:rFonts w:ascii="Calibri" w:eastAsia="Calibri" w:hAnsi="Calibri" w:cs="Calibri"/>
                      <w:b/>
                      <w:bCs/>
                      <w:color w:val="FFFFFF"/>
                      <w:sz w:val="14"/>
                      <w:szCs w:val="14"/>
                    </w:rPr>
                    <w:t>AI (Gemini), Cloud platform, and Android ecosystem</w:t>
                  </w:r>
                  <w:r w:rsidRPr="00E3757B">
                    <w:rPr>
                      <w:rFonts w:ascii="Calibri" w:eastAsia="Calibri" w:hAnsi="Calibri" w:cs="Calibri"/>
                      <w:color w:val="E5E7EB"/>
                      <w:sz w:val="14"/>
                      <w:szCs w:val="14"/>
                    </w:rPr>
                    <w:t xml:space="preserve">, EduLens extends the brand into the wearable EdTech space. The device offers </w:t>
                  </w:r>
                  <w:r w:rsidRPr="00E3757B">
                    <w:rPr>
                      <w:rFonts w:ascii="Calibri" w:eastAsia="Calibri" w:hAnsi="Calibri" w:cs="Calibri"/>
                      <w:b/>
                      <w:bCs/>
                      <w:color w:val="FFFFFF"/>
                      <w:sz w:val="14"/>
                      <w:szCs w:val="14"/>
                    </w:rPr>
                    <w:t>real-time lecture transcription, AI-powered study overlays, immersive 3D lab simulations</w:t>
                  </w:r>
                  <w:r w:rsidRPr="00E3757B">
                    <w:rPr>
                      <w:rFonts w:ascii="Calibri" w:eastAsia="Calibri" w:hAnsi="Calibri" w:cs="Calibri"/>
                      <w:color w:val="E5E7EB"/>
                      <w:sz w:val="14"/>
                      <w:szCs w:val="14"/>
                    </w:rPr>
                    <w:t xml:space="preserve"> for STEM subjects, and </w:t>
                  </w:r>
                  <w:r w:rsidRPr="00E3757B">
                    <w:rPr>
                      <w:rFonts w:ascii="Calibri" w:eastAsia="Calibri" w:hAnsi="Calibri" w:cs="Calibri"/>
                      <w:b/>
                      <w:bCs/>
                      <w:color w:val="FFFFFF"/>
                      <w:sz w:val="14"/>
                      <w:szCs w:val="14"/>
                    </w:rPr>
                    <w:t>indoor campus navigation</w:t>
                  </w:r>
                  <w:r w:rsidRPr="00E3757B">
                    <w:rPr>
                      <w:rFonts w:ascii="Calibri" w:eastAsia="Calibri" w:hAnsi="Calibri" w:cs="Calibri"/>
                      <w:color w:val="E5E7EB"/>
                      <w:sz w:val="14"/>
                      <w:szCs w:val="14"/>
                    </w:rPr>
                    <w:t xml:space="preserve"> — all integrated seamlessly with Google Classroom, Drive, and Meet.</w:t>
                  </w: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1EB9E9EF"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897" w:type="dxa"/>
                  <w:tcBorders>
                    <w:top w:val="single" w:sz="18" w:space="0" w:color="60A5FA"/>
                    <w:left w:val="none" w:sz="0" w:space="0" w:color="FFFFFF"/>
                    <w:bottom w:val="none" w:sz="0" w:space="0" w:color="FFFFFF"/>
                    <w:right w:val="none" w:sz="0" w:space="0" w:color="FFFFFF"/>
                  </w:tcBorders>
                  <w:shd w:val="clear" w:color="auto" w:fill="0F172A"/>
                  <w:tcMar>
                    <w:top w:w="150" w:type="dxa"/>
                    <w:left w:w="180" w:type="dxa"/>
                    <w:bottom w:w="150" w:type="dxa"/>
                    <w:right w:w="180" w:type="dxa"/>
                  </w:tcMar>
                </w:tcPr>
                <w:p w14:paraId="562D0DAF" w14:textId="62E25E25" w:rsidR="00E3757B" w:rsidRDefault="00E3757B" w:rsidP="00767476">
                  <w:pPr>
                    <w:spacing w:after="40" w:line="230" w:lineRule="auto"/>
                    <w:jc w:val="center"/>
                    <w:rPr>
                      <w:rFonts w:ascii="Calibri" w:eastAsia="Calibri" w:hAnsi="Calibri" w:cs="Calibri"/>
                      <w:b/>
                      <w:bCs/>
                      <w:color w:val="FFFFFF"/>
                      <w:sz w:val="14"/>
                      <w:szCs w:val="14"/>
                    </w:rPr>
                  </w:pPr>
                  <w:r>
                    <w:rPr>
                      <w:rFonts w:ascii="Calibri" w:eastAsia="Calibri" w:hAnsi="Calibri" w:cs="Calibri"/>
                      <w:color w:val="60A5FA"/>
                      <w:sz w:val="80"/>
                      <w:szCs w:val="80"/>
                    </w:rPr>
                    <w:t>👓</w:t>
                  </w:r>
                  <w:r w:rsidRPr="00E3757B">
                    <w:rPr>
                      <w:rFonts w:ascii="Calibri" w:eastAsia="Calibri" w:hAnsi="Calibri" w:cs="Calibri"/>
                      <w:b/>
                      <w:bCs/>
                      <w:color w:val="FFFFFF"/>
                      <w:sz w:val="14"/>
                      <w:szCs w:val="14"/>
                    </w:rPr>
                    <w:t xml:space="preserve"> </w:t>
                  </w:r>
                </w:p>
                <w:p w14:paraId="68DCCEAB" w14:textId="1E9506A8" w:rsidR="00E3757B" w:rsidRPr="00E3757B" w:rsidRDefault="00E3757B" w:rsidP="00767476">
                  <w:pPr>
                    <w:spacing w:after="40" w:line="230" w:lineRule="auto"/>
                    <w:jc w:val="center"/>
                    <w:rPr>
                      <w:sz w:val="14"/>
                      <w:szCs w:val="14"/>
                    </w:rPr>
                  </w:pPr>
                  <w:r w:rsidRPr="00E3757B">
                    <w:rPr>
                      <w:rFonts w:ascii="Calibri" w:eastAsia="Calibri" w:hAnsi="Calibri" w:cs="Calibri"/>
                      <w:b/>
                      <w:bCs/>
                      <w:color w:val="FFFFFF"/>
                      <w:sz w:val="14"/>
                      <w:szCs w:val="14"/>
                    </w:rPr>
                    <w:t>AR-Powered Learning</w:t>
                  </w:r>
                </w:p>
                <w:p w14:paraId="79F15221" w14:textId="77777777" w:rsidR="00E3757B" w:rsidRPr="00E3757B" w:rsidRDefault="00E3757B" w:rsidP="00767476">
                  <w:pPr>
                    <w:spacing w:after="60" w:line="230" w:lineRule="auto"/>
                    <w:jc w:val="center"/>
                    <w:rPr>
                      <w:sz w:val="14"/>
                      <w:szCs w:val="14"/>
                    </w:rPr>
                  </w:pPr>
                  <w:r w:rsidRPr="00E3757B">
                    <w:rPr>
                      <w:rFonts w:ascii="Calibri" w:eastAsia="Calibri" w:hAnsi="Calibri" w:cs="Calibri"/>
                      <w:i/>
                      <w:iCs/>
                      <w:color w:val="94A3B8"/>
                      <w:sz w:val="14"/>
                      <w:szCs w:val="14"/>
                    </w:rPr>
                    <w:t>Wearable EdTech for the Classroom</w:t>
                  </w:r>
                </w:p>
              </w:tc>
            </w:tr>
            <w:tr w:rsidR="00E3757B" w:rsidRPr="00E3757B" w14:paraId="7C958055" w14:textId="77777777" w:rsidTr="00E3757B">
              <w:trPr>
                <w:trHeight w:val="74"/>
              </w:trPr>
              <w:tc>
                <w:tcPr>
                  <w:tcW w:w="5508"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30D8F1ED"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0DC5F129"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5613"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7DC1601F"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7E91883C"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897"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3024531E"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r>
            <w:tr w:rsidR="00E3757B" w:rsidRPr="00E3757B" w14:paraId="04CFB4D3" w14:textId="77777777" w:rsidTr="00E3757B">
              <w:trPr>
                <w:trHeight w:val="2773"/>
              </w:trPr>
              <w:tc>
                <w:tcPr>
                  <w:tcW w:w="5508" w:type="dxa"/>
                  <w:tcBorders>
                    <w:top w:val="single" w:sz="18" w:space="0" w:color="FBBF24"/>
                    <w:left w:val="none" w:sz="0" w:space="0" w:color="FFFFFF"/>
                    <w:bottom w:val="none" w:sz="0" w:space="0" w:color="FFFFFF"/>
                    <w:right w:val="none" w:sz="0" w:space="0" w:color="FFFFFF"/>
                  </w:tcBorders>
                  <w:shd w:val="clear" w:color="auto" w:fill="111827"/>
                  <w:tcMar>
                    <w:top w:w="150" w:type="dxa"/>
                    <w:left w:w="180" w:type="dxa"/>
                    <w:bottom w:w="150" w:type="dxa"/>
                    <w:right w:w="180" w:type="dxa"/>
                  </w:tcMar>
                </w:tcPr>
                <w:p w14:paraId="0E69464D" w14:textId="77777777" w:rsidR="00E3757B" w:rsidRPr="00E3757B" w:rsidRDefault="00E3757B" w:rsidP="00767476">
                  <w:pPr>
                    <w:spacing w:after="100" w:line="260" w:lineRule="auto"/>
                    <w:rPr>
                      <w:sz w:val="14"/>
                      <w:szCs w:val="14"/>
                    </w:rPr>
                  </w:pPr>
                  <w:r w:rsidRPr="00E3757B">
                    <w:rPr>
                      <w:rFonts w:ascii="Calibri" w:eastAsia="Calibri" w:hAnsi="Calibri" w:cs="Calibri"/>
                      <w:color w:val="E5E7EB"/>
                      <w:sz w:val="14"/>
                      <w:szCs w:val="14"/>
                    </w:rPr>
                    <w:t xml:space="preserve">📈  </w:t>
                  </w:r>
                  <w:r w:rsidRPr="00E3757B">
                    <w:rPr>
                      <w:rFonts w:ascii="Calibri" w:eastAsia="Calibri" w:hAnsi="Calibri" w:cs="Calibri"/>
                      <w:b/>
                      <w:bCs/>
                      <w:color w:val="FFFFFF"/>
                      <w:sz w:val="14"/>
                      <w:szCs w:val="14"/>
                    </w:rPr>
                    <w:t>3. Brand Extension &amp; Current Trends</w:t>
                  </w:r>
                </w:p>
                <w:p w14:paraId="77BAB08A" w14:textId="77777777" w:rsidR="00E3757B" w:rsidRPr="00E3757B" w:rsidRDefault="00E3757B" w:rsidP="00767476">
                  <w:pPr>
                    <w:spacing w:after="160" w:line="230" w:lineRule="auto"/>
                    <w:rPr>
                      <w:sz w:val="14"/>
                      <w:szCs w:val="14"/>
                    </w:rPr>
                  </w:pPr>
                  <w:r w:rsidRPr="00E3757B">
                    <w:rPr>
                      <w:rFonts w:ascii="Calibri" w:eastAsia="Calibri" w:hAnsi="Calibri" w:cs="Calibri"/>
                      <w:color w:val="E5E7EB"/>
                      <w:sz w:val="14"/>
                      <w:szCs w:val="14"/>
                    </w:rPr>
                    <w:t>EduLens responds to converging market trends that make this brand extension timely and commercially viable:</w:t>
                  </w:r>
                </w:p>
                <w:tbl>
                  <w:tblPr>
                    <w:tblW w:w="469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515"/>
                    <w:gridCol w:w="54"/>
                    <w:gridCol w:w="1515"/>
                    <w:gridCol w:w="54"/>
                    <w:gridCol w:w="1552"/>
                  </w:tblGrid>
                  <w:tr w:rsidR="00E3757B" w:rsidRPr="00E3757B" w14:paraId="495FB642" w14:textId="77777777" w:rsidTr="00E3757B">
                    <w:trPr>
                      <w:trHeight w:val="635"/>
                    </w:trPr>
                    <w:tc>
                      <w:tcPr>
                        <w:tcW w:w="1515" w:type="dxa"/>
                        <w:tcBorders>
                          <w:top w:val="none" w:sz="0" w:space="0" w:color="FFFFFF"/>
                          <w:left w:val="none" w:sz="0" w:space="0" w:color="FFFFFF"/>
                          <w:bottom w:val="none" w:sz="0" w:space="0" w:color="FFFFFF"/>
                          <w:right w:val="none" w:sz="0" w:space="0" w:color="FFFFFF"/>
                        </w:tcBorders>
                        <w:shd w:val="clear" w:color="auto" w:fill="1F2937"/>
                        <w:tcMar>
                          <w:top w:w="100" w:type="dxa"/>
                          <w:left w:w="80" w:type="dxa"/>
                          <w:bottom w:w="100" w:type="dxa"/>
                          <w:right w:w="80" w:type="dxa"/>
                        </w:tcMar>
                        <w:vAlign w:val="center"/>
                      </w:tcPr>
                      <w:p w14:paraId="5013A3A8" w14:textId="77777777" w:rsidR="00E3757B" w:rsidRPr="00E3757B" w:rsidRDefault="00E3757B" w:rsidP="00767476">
                        <w:pPr>
                          <w:spacing w:after="30" w:line="260" w:lineRule="auto"/>
                          <w:jc w:val="center"/>
                          <w:rPr>
                            <w:sz w:val="14"/>
                            <w:szCs w:val="14"/>
                          </w:rPr>
                        </w:pPr>
                        <w:r w:rsidRPr="00E3757B">
                          <w:rPr>
                            <w:rFonts w:ascii="Calibri" w:eastAsia="Calibri" w:hAnsi="Calibri" w:cs="Calibri"/>
                            <w:b/>
                            <w:bCs/>
                            <w:color w:val="60A5FA"/>
                            <w:sz w:val="14"/>
                            <w:szCs w:val="14"/>
                          </w:rPr>
                          <w:t>$348B</w:t>
                        </w:r>
                      </w:p>
                      <w:p w14:paraId="1C7A31E2" w14:textId="77777777" w:rsidR="00E3757B" w:rsidRPr="00E3757B" w:rsidRDefault="00E3757B" w:rsidP="00767476">
                        <w:pPr>
                          <w:spacing w:after="30" w:line="200" w:lineRule="auto"/>
                          <w:jc w:val="center"/>
                          <w:rPr>
                            <w:sz w:val="14"/>
                            <w:szCs w:val="14"/>
                          </w:rPr>
                        </w:pPr>
                        <w:r w:rsidRPr="00E3757B">
                          <w:rPr>
                            <w:rFonts w:ascii="Calibri" w:eastAsia="Calibri" w:hAnsi="Calibri" w:cs="Calibri"/>
                            <w:color w:val="E5E7EB"/>
                            <w:sz w:val="14"/>
                            <w:szCs w:val="14"/>
                          </w:rPr>
                          <w:t>Global EdTech market projected by 2030</w:t>
                        </w:r>
                      </w:p>
                      <w:p w14:paraId="16D87A61" w14:textId="77777777" w:rsidR="00E3757B" w:rsidRPr="00E3757B" w:rsidRDefault="00E3757B" w:rsidP="00767476">
                        <w:pPr>
                          <w:spacing w:after="60" w:line="180" w:lineRule="auto"/>
                          <w:jc w:val="center"/>
                          <w:rPr>
                            <w:sz w:val="14"/>
                            <w:szCs w:val="14"/>
                          </w:rPr>
                        </w:pPr>
                        <w:r w:rsidRPr="00E3757B">
                          <w:rPr>
                            <w:rFonts w:ascii="Calibri" w:eastAsia="Calibri" w:hAnsi="Calibri" w:cs="Calibri"/>
                            <w:i/>
                            <w:iCs/>
                            <w:color w:val="94A3B8"/>
                            <w:sz w:val="14"/>
                            <w:szCs w:val="14"/>
                          </w:rPr>
                          <w:t>(Grand View Research, 2025)</w:t>
                        </w:r>
                      </w:p>
                    </w:tc>
                    <w:tc>
                      <w:tcPr>
                        <w:tcW w:w="54"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09DB9576"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1515" w:type="dxa"/>
                        <w:tcBorders>
                          <w:top w:val="none" w:sz="0" w:space="0" w:color="FFFFFF"/>
                          <w:left w:val="none" w:sz="0" w:space="0" w:color="FFFFFF"/>
                          <w:bottom w:val="none" w:sz="0" w:space="0" w:color="FFFFFF"/>
                          <w:right w:val="none" w:sz="0" w:space="0" w:color="FFFFFF"/>
                        </w:tcBorders>
                        <w:shd w:val="clear" w:color="auto" w:fill="1F2937"/>
                        <w:tcMar>
                          <w:top w:w="100" w:type="dxa"/>
                          <w:left w:w="80" w:type="dxa"/>
                          <w:bottom w:w="100" w:type="dxa"/>
                          <w:right w:w="80" w:type="dxa"/>
                        </w:tcMar>
                        <w:vAlign w:val="center"/>
                      </w:tcPr>
                      <w:p w14:paraId="48018883" w14:textId="77777777" w:rsidR="00E3757B" w:rsidRPr="00E3757B" w:rsidRDefault="00E3757B" w:rsidP="00767476">
                        <w:pPr>
                          <w:spacing w:after="30" w:line="260" w:lineRule="auto"/>
                          <w:jc w:val="center"/>
                          <w:rPr>
                            <w:sz w:val="14"/>
                            <w:szCs w:val="14"/>
                          </w:rPr>
                        </w:pPr>
                        <w:r w:rsidRPr="00E3757B">
                          <w:rPr>
                            <w:rFonts w:ascii="Calibri" w:eastAsia="Calibri" w:hAnsi="Calibri" w:cs="Calibri"/>
                            <w:b/>
                            <w:bCs/>
                            <w:color w:val="34D399"/>
                            <w:sz w:val="14"/>
                            <w:szCs w:val="14"/>
                          </w:rPr>
                          <w:t>44.4%</w:t>
                        </w:r>
                      </w:p>
                      <w:p w14:paraId="7DDEEFB7" w14:textId="77777777" w:rsidR="00E3757B" w:rsidRPr="00E3757B" w:rsidRDefault="00E3757B" w:rsidP="00767476">
                        <w:pPr>
                          <w:spacing w:after="30" w:line="200" w:lineRule="auto"/>
                          <w:jc w:val="center"/>
                          <w:rPr>
                            <w:sz w:val="14"/>
                            <w:szCs w:val="14"/>
                          </w:rPr>
                        </w:pPr>
                        <w:r w:rsidRPr="00E3757B">
                          <w:rPr>
                            <w:rFonts w:ascii="Calibri" w:eastAsia="Calibri" w:hAnsi="Calibri" w:cs="Calibri"/>
                            <w:color w:val="E5E7EB"/>
                            <w:sz w:val="14"/>
                            <w:szCs w:val="14"/>
                          </w:rPr>
                          <w:t>XR device shipment growth in 2025</w:t>
                        </w:r>
                      </w:p>
                      <w:p w14:paraId="6C9F2F6C" w14:textId="77777777" w:rsidR="00E3757B" w:rsidRPr="00E3757B" w:rsidRDefault="00E3757B" w:rsidP="00767476">
                        <w:pPr>
                          <w:spacing w:after="60" w:line="180" w:lineRule="auto"/>
                          <w:jc w:val="center"/>
                          <w:rPr>
                            <w:sz w:val="14"/>
                            <w:szCs w:val="14"/>
                          </w:rPr>
                        </w:pPr>
                        <w:r w:rsidRPr="00E3757B">
                          <w:rPr>
                            <w:rFonts w:ascii="Calibri" w:eastAsia="Calibri" w:hAnsi="Calibri" w:cs="Calibri"/>
                            <w:i/>
                            <w:iCs/>
                            <w:color w:val="94A3B8"/>
                            <w:sz w:val="14"/>
                            <w:szCs w:val="14"/>
                          </w:rPr>
                          <w:t>(IDC, 2026)</w:t>
                        </w:r>
                      </w:p>
                    </w:tc>
                    <w:tc>
                      <w:tcPr>
                        <w:tcW w:w="54"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31EB2A76"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1552" w:type="dxa"/>
                        <w:tcBorders>
                          <w:top w:val="none" w:sz="0" w:space="0" w:color="FFFFFF"/>
                          <w:left w:val="none" w:sz="0" w:space="0" w:color="FFFFFF"/>
                          <w:bottom w:val="none" w:sz="0" w:space="0" w:color="FFFFFF"/>
                          <w:right w:val="none" w:sz="0" w:space="0" w:color="FFFFFF"/>
                        </w:tcBorders>
                        <w:shd w:val="clear" w:color="auto" w:fill="1F2937"/>
                        <w:tcMar>
                          <w:top w:w="100" w:type="dxa"/>
                          <w:left w:w="80" w:type="dxa"/>
                          <w:bottom w:w="100" w:type="dxa"/>
                          <w:right w:w="80" w:type="dxa"/>
                        </w:tcMar>
                        <w:vAlign w:val="center"/>
                      </w:tcPr>
                      <w:p w14:paraId="25C8BDD2" w14:textId="77777777" w:rsidR="00E3757B" w:rsidRPr="00E3757B" w:rsidRDefault="00E3757B" w:rsidP="00767476">
                        <w:pPr>
                          <w:spacing w:after="30" w:line="260" w:lineRule="auto"/>
                          <w:jc w:val="center"/>
                          <w:rPr>
                            <w:sz w:val="14"/>
                            <w:szCs w:val="14"/>
                          </w:rPr>
                        </w:pPr>
                        <w:r w:rsidRPr="00E3757B">
                          <w:rPr>
                            <w:rFonts w:ascii="Calibri" w:eastAsia="Calibri" w:hAnsi="Calibri" w:cs="Calibri"/>
                            <w:b/>
                            <w:bCs/>
                            <w:color w:val="FBBF24"/>
                            <w:sz w:val="14"/>
                            <w:szCs w:val="14"/>
                          </w:rPr>
                          <w:t>$75.9B</w:t>
                        </w:r>
                      </w:p>
                      <w:p w14:paraId="2126E9AC" w14:textId="77777777" w:rsidR="00E3757B" w:rsidRPr="00E3757B" w:rsidRDefault="00E3757B" w:rsidP="00767476">
                        <w:pPr>
                          <w:spacing w:after="30" w:line="200" w:lineRule="auto"/>
                          <w:jc w:val="center"/>
                          <w:rPr>
                            <w:sz w:val="14"/>
                            <w:szCs w:val="14"/>
                          </w:rPr>
                        </w:pPr>
                        <w:r w:rsidRPr="00E3757B">
                          <w:rPr>
                            <w:rFonts w:ascii="Calibri" w:eastAsia="Calibri" w:hAnsi="Calibri" w:cs="Calibri"/>
                            <w:color w:val="E5E7EB"/>
                            <w:sz w:val="14"/>
                            <w:szCs w:val="14"/>
                          </w:rPr>
                          <w:t>AR/VR market projected by 2030</w:t>
                        </w:r>
                      </w:p>
                      <w:p w14:paraId="6CDF30CA" w14:textId="77777777" w:rsidR="00E3757B" w:rsidRPr="00E3757B" w:rsidRDefault="00E3757B" w:rsidP="00767476">
                        <w:pPr>
                          <w:spacing w:after="60" w:line="180" w:lineRule="auto"/>
                          <w:jc w:val="center"/>
                          <w:rPr>
                            <w:sz w:val="14"/>
                            <w:szCs w:val="14"/>
                          </w:rPr>
                        </w:pPr>
                        <w:r w:rsidRPr="00E3757B">
                          <w:rPr>
                            <w:rFonts w:ascii="Calibri" w:eastAsia="Calibri" w:hAnsi="Calibri" w:cs="Calibri"/>
                            <w:i/>
                            <w:iCs/>
                            <w:color w:val="94A3B8"/>
                            <w:sz w:val="14"/>
                            <w:szCs w:val="14"/>
                          </w:rPr>
                          <w:t>(Statista, 2025)</w:t>
                        </w:r>
                      </w:p>
                    </w:tc>
                  </w:tr>
                </w:tbl>
                <w:p w14:paraId="77DFEBFF" w14:textId="77777777" w:rsidR="00E3757B" w:rsidRPr="00E3757B" w:rsidRDefault="00E3757B" w:rsidP="00767476">
                  <w:pPr>
                    <w:spacing w:after="40"/>
                    <w:rPr>
                      <w:sz w:val="14"/>
                      <w:szCs w:val="14"/>
                    </w:rPr>
                  </w:pPr>
                  <w:r w:rsidRPr="00E3757B">
                    <w:rPr>
                      <w:rFonts w:ascii="Calibri" w:eastAsia="Calibri" w:hAnsi="Calibri" w:cs="Calibri"/>
                      <w:color w:val="E5E7EB"/>
                      <w:sz w:val="14"/>
                      <w:szCs w:val="14"/>
                    </w:rPr>
                    <w:t xml:space="preserve"> </w:t>
                  </w:r>
                </w:p>
                <w:p w14:paraId="646D96A9" w14:textId="6F47DFCF" w:rsidR="00E3757B" w:rsidRPr="00E3757B" w:rsidRDefault="00E3757B" w:rsidP="00767476">
                  <w:pPr>
                    <w:spacing w:after="60" w:line="230" w:lineRule="auto"/>
                    <w:rPr>
                      <w:sz w:val="14"/>
                      <w:szCs w:val="14"/>
                    </w:rPr>
                  </w:pPr>
                  <w:r w:rsidRPr="00E3757B">
                    <w:rPr>
                      <w:rFonts w:ascii="Calibri" w:eastAsia="Calibri" w:hAnsi="Calibri" w:cs="Calibri"/>
                      <w:b/>
                      <w:bCs/>
                      <w:color w:val="FFFFFF"/>
                      <w:sz w:val="14"/>
                      <w:szCs w:val="14"/>
                    </w:rPr>
                    <w:t>Koumpouros (2024)</w:t>
                  </w:r>
                  <w:r w:rsidRPr="00E3757B">
                    <w:rPr>
                      <w:rFonts w:ascii="Calibri" w:eastAsia="Calibri" w:hAnsi="Calibri" w:cs="Calibri"/>
                      <w:color w:val="E5E7EB"/>
                      <w:sz w:val="14"/>
                      <w:szCs w:val="14"/>
                    </w:rPr>
                    <w:t xml:space="preserve"> confirms mobile AR applications are experiencing rapid adoption in education, while </w:t>
                  </w:r>
                  <w:r w:rsidRPr="00E3757B">
                    <w:rPr>
                      <w:rFonts w:ascii="Calibri" w:eastAsia="Calibri" w:hAnsi="Calibri" w:cs="Calibri"/>
                      <w:b/>
                      <w:bCs/>
                      <w:color w:val="FFFFFF"/>
                      <w:sz w:val="14"/>
                      <w:szCs w:val="14"/>
                    </w:rPr>
                    <w:t>Singh et al. (2024)</w:t>
                  </w:r>
                  <w:r w:rsidRPr="00E3757B">
                    <w:rPr>
                      <w:rFonts w:ascii="Calibri" w:eastAsia="Calibri" w:hAnsi="Calibri" w:cs="Calibri"/>
                      <w:color w:val="E5E7EB"/>
                      <w:sz w:val="14"/>
                      <w:szCs w:val="14"/>
                    </w:rPr>
                    <w:t xml:space="preserve"> report a consistently upward trajectory in AR-in-education research, particularly within STEM disciplines</w:t>
                  </w:r>
                  <w:r>
                    <w:rPr>
                      <w:rFonts w:ascii="Calibri" w:eastAsia="Calibri" w:hAnsi="Calibri" w:cs="Calibri"/>
                      <w:color w:val="E5E7EB"/>
                      <w:sz w:val="14"/>
                      <w:szCs w:val="14"/>
                    </w:rPr>
                    <w:t>.</w:t>
                  </w: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5B39C981"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5613" w:type="dxa"/>
                  <w:tcBorders>
                    <w:top w:val="single" w:sz="18" w:space="0" w:color="10B981"/>
                    <w:left w:val="none" w:sz="0" w:space="0" w:color="FFFFFF"/>
                    <w:bottom w:val="none" w:sz="0" w:space="0" w:color="FFFFFF"/>
                    <w:right w:val="none" w:sz="0" w:space="0" w:color="FFFFFF"/>
                  </w:tcBorders>
                  <w:shd w:val="clear" w:color="auto" w:fill="111827"/>
                  <w:tcMar>
                    <w:top w:w="150" w:type="dxa"/>
                    <w:left w:w="180" w:type="dxa"/>
                    <w:bottom w:w="150" w:type="dxa"/>
                    <w:right w:w="180" w:type="dxa"/>
                  </w:tcMar>
                </w:tcPr>
                <w:p w14:paraId="52F43A38" w14:textId="77777777" w:rsidR="00E3757B" w:rsidRPr="00E3757B" w:rsidRDefault="00E3757B" w:rsidP="00767476">
                  <w:pPr>
                    <w:spacing w:after="100" w:line="260" w:lineRule="auto"/>
                    <w:rPr>
                      <w:sz w:val="14"/>
                      <w:szCs w:val="14"/>
                    </w:rPr>
                  </w:pPr>
                  <w:r w:rsidRPr="00E3757B">
                    <w:rPr>
                      <w:rFonts w:ascii="Calibri" w:eastAsia="Calibri" w:hAnsi="Calibri" w:cs="Calibri"/>
                      <w:color w:val="E5E7EB"/>
                      <w:sz w:val="14"/>
                      <w:szCs w:val="14"/>
                    </w:rPr>
                    <w:t xml:space="preserve">♻️  </w:t>
                  </w:r>
                  <w:r w:rsidRPr="00E3757B">
                    <w:rPr>
                      <w:rFonts w:ascii="Calibri" w:eastAsia="Calibri" w:hAnsi="Calibri" w:cs="Calibri"/>
                      <w:b/>
                      <w:bCs/>
                      <w:color w:val="FFFFFF"/>
                      <w:sz w:val="14"/>
                      <w:szCs w:val="14"/>
                    </w:rPr>
                    <w:t>4. Brand Extension &amp; Sustainability</w:t>
                  </w:r>
                </w:p>
                <w:p w14:paraId="7E6A66CF" w14:textId="77777777" w:rsidR="00E3757B" w:rsidRPr="00E3757B" w:rsidRDefault="00E3757B" w:rsidP="00767476">
                  <w:pPr>
                    <w:spacing w:after="160" w:line="230" w:lineRule="auto"/>
                    <w:rPr>
                      <w:sz w:val="14"/>
                      <w:szCs w:val="14"/>
                    </w:rPr>
                  </w:pPr>
                  <w:r w:rsidRPr="00E3757B">
                    <w:rPr>
                      <w:rFonts w:ascii="Calibri" w:eastAsia="Calibri" w:hAnsi="Calibri" w:cs="Calibri"/>
                      <w:color w:val="E5E7EB"/>
                      <w:sz w:val="14"/>
                      <w:szCs w:val="14"/>
                    </w:rPr>
                    <w:t xml:space="preserve">EduLens aligns with Google's pledge to operate on </w:t>
                  </w:r>
                  <w:r w:rsidRPr="00E3757B">
                    <w:rPr>
                      <w:rFonts w:ascii="Calibri" w:eastAsia="Calibri" w:hAnsi="Calibri" w:cs="Calibri"/>
                      <w:b/>
                      <w:bCs/>
                      <w:color w:val="FFFFFF"/>
                      <w:sz w:val="14"/>
                      <w:szCs w:val="14"/>
                    </w:rPr>
                    <w:t>24/7 carbon-free energy</w:t>
                  </w:r>
                  <w:r w:rsidRPr="00E3757B">
                    <w:rPr>
                      <w:rFonts w:ascii="Calibri" w:eastAsia="Calibri" w:hAnsi="Calibri" w:cs="Calibri"/>
                      <w:color w:val="E5E7EB"/>
                      <w:sz w:val="14"/>
                      <w:szCs w:val="14"/>
                    </w:rPr>
                    <w:t xml:space="preserve"> by 2030 (Google, 2024) through three pillars:</w:t>
                  </w:r>
                </w:p>
                <w:tbl>
                  <w:tblPr>
                    <w:tblW w:w="4692"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27"/>
                    <w:gridCol w:w="73"/>
                    <w:gridCol w:w="3592"/>
                  </w:tblGrid>
                  <w:tr w:rsidR="00E3757B" w:rsidRPr="00E3757B" w14:paraId="7280BF81" w14:textId="77777777" w:rsidTr="00E3757B">
                    <w:trPr>
                      <w:trHeight w:val="272"/>
                    </w:trPr>
                    <w:tc>
                      <w:tcPr>
                        <w:tcW w:w="1027" w:type="dxa"/>
                        <w:tcBorders>
                          <w:top w:val="none" w:sz="0" w:space="0" w:color="FFFFFF"/>
                          <w:left w:val="none" w:sz="0" w:space="0" w:color="FFFFFF"/>
                          <w:bottom w:val="none" w:sz="0" w:space="0" w:color="FFFFFF"/>
                          <w:right w:val="none" w:sz="0" w:space="0" w:color="FFFFFF"/>
                        </w:tcBorders>
                        <w:shd w:val="clear" w:color="auto" w:fill="065F46"/>
                        <w:tcMar>
                          <w:top w:w="60" w:type="dxa"/>
                          <w:left w:w="60" w:type="dxa"/>
                          <w:bottom w:w="60" w:type="dxa"/>
                          <w:right w:w="60" w:type="dxa"/>
                        </w:tcMar>
                        <w:vAlign w:val="center"/>
                      </w:tcPr>
                      <w:p w14:paraId="52F705B0" w14:textId="77777777" w:rsidR="00E3757B" w:rsidRPr="00E3757B" w:rsidRDefault="00E3757B" w:rsidP="00767476">
                        <w:pPr>
                          <w:spacing w:after="60" w:line="220" w:lineRule="auto"/>
                          <w:jc w:val="center"/>
                          <w:rPr>
                            <w:sz w:val="14"/>
                            <w:szCs w:val="14"/>
                          </w:rPr>
                        </w:pPr>
                        <w:r w:rsidRPr="00E3757B">
                          <w:rPr>
                            <w:rFonts w:ascii="Calibri" w:eastAsia="Calibri" w:hAnsi="Calibri" w:cs="Calibri"/>
                            <w:b/>
                            <w:bCs/>
                            <w:color w:val="FFFFFF"/>
                            <w:sz w:val="14"/>
                            <w:szCs w:val="14"/>
                          </w:rPr>
                          <w:t>RECYCLED</w:t>
                        </w:r>
                      </w:p>
                    </w:tc>
                    <w:tc>
                      <w:tcPr>
                        <w:tcW w:w="73"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69A21FC1"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592" w:type="dxa"/>
                        <w:tcBorders>
                          <w:top w:val="none" w:sz="0" w:space="0" w:color="FFFFFF"/>
                          <w:left w:val="none" w:sz="0" w:space="0" w:color="FFFFFF"/>
                          <w:bottom w:val="none" w:sz="0" w:space="0" w:color="FFFFFF"/>
                          <w:right w:val="none" w:sz="0" w:space="0" w:color="FFFFFF"/>
                        </w:tcBorders>
                        <w:shd w:val="clear" w:color="auto" w:fill="111827"/>
                        <w:tcMar>
                          <w:top w:w="40" w:type="dxa"/>
                          <w:left w:w="60" w:type="dxa"/>
                          <w:bottom w:w="40" w:type="dxa"/>
                          <w:right w:w="60" w:type="dxa"/>
                        </w:tcMar>
                        <w:vAlign w:val="center"/>
                      </w:tcPr>
                      <w:p w14:paraId="0BA921C2" w14:textId="77777777" w:rsidR="00E3757B" w:rsidRPr="00E3757B" w:rsidRDefault="00E3757B" w:rsidP="00767476">
                        <w:pPr>
                          <w:spacing w:after="60" w:line="220" w:lineRule="auto"/>
                          <w:rPr>
                            <w:sz w:val="14"/>
                            <w:szCs w:val="14"/>
                          </w:rPr>
                        </w:pPr>
                        <w:r w:rsidRPr="00E3757B">
                          <w:rPr>
                            <w:rFonts w:ascii="Calibri" w:eastAsia="Calibri" w:hAnsi="Calibri" w:cs="Calibri"/>
                            <w:color w:val="E5E7EB"/>
                            <w:sz w:val="14"/>
                            <w:szCs w:val="14"/>
                          </w:rPr>
                          <w:t>100% recycled aluminium frame and recycled ocean plastics, reducing virgin material consumption (Google, 2024).</w:t>
                        </w:r>
                      </w:p>
                    </w:tc>
                  </w:tr>
                  <w:tr w:rsidR="00E3757B" w:rsidRPr="00E3757B" w14:paraId="717CF0ED" w14:textId="77777777" w:rsidTr="00E3757B">
                    <w:trPr>
                      <w:trHeight w:val="214"/>
                    </w:trPr>
                    <w:tc>
                      <w:tcPr>
                        <w:tcW w:w="1027"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503FA243"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73"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3440BB7C"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592"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3265410A"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r>
                  <w:tr w:rsidR="00E3757B" w:rsidRPr="00E3757B" w14:paraId="07A5F52E" w14:textId="77777777" w:rsidTr="00E3757B">
                    <w:trPr>
                      <w:trHeight w:val="272"/>
                    </w:trPr>
                    <w:tc>
                      <w:tcPr>
                        <w:tcW w:w="1027" w:type="dxa"/>
                        <w:tcBorders>
                          <w:top w:val="none" w:sz="0" w:space="0" w:color="FFFFFF"/>
                          <w:left w:val="none" w:sz="0" w:space="0" w:color="FFFFFF"/>
                          <w:bottom w:val="none" w:sz="0" w:space="0" w:color="FFFFFF"/>
                          <w:right w:val="none" w:sz="0" w:space="0" w:color="FFFFFF"/>
                        </w:tcBorders>
                        <w:shd w:val="clear" w:color="auto" w:fill="1E3A8A"/>
                        <w:tcMar>
                          <w:top w:w="60" w:type="dxa"/>
                          <w:left w:w="60" w:type="dxa"/>
                          <w:bottom w:w="60" w:type="dxa"/>
                          <w:right w:w="60" w:type="dxa"/>
                        </w:tcMar>
                        <w:vAlign w:val="center"/>
                      </w:tcPr>
                      <w:p w14:paraId="61339B33" w14:textId="77777777" w:rsidR="00E3757B" w:rsidRPr="00E3757B" w:rsidRDefault="00E3757B" w:rsidP="00767476">
                        <w:pPr>
                          <w:spacing w:after="60" w:line="220" w:lineRule="auto"/>
                          <w:jc w:val="center"/>
                          <w:rPr>
                            <w:sz w:val="14"/>
                            <w:szCs w:val="14"/>
                          </w:rPr>
                        </w:pPr>
                        <w:r w:rsidRPr="00E3757B">
                          <w:rPr>
                            <w:rFonts w:ascii="Calibri" w:eastAsia="Calibri" w:hAnsi="Calibri" w:cs="Calibri"/>
                            <w:b/>
                            <w:bCs/>
                            <w:color w:val="FFFFFF"/>
                            <w:sz w:val="14"/>
                            <w:szCs w:val="14"/>
                          </w:rPr>
                          <w:t>PAPERLESS</w:t>
                        </w:r>
                      </w:p>
                    </w:tc>
                    <w:tc>
                      <w:tcPr>
                        <w:tcW w:w="73"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13D5CAF9"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592" w:type="dxa"/>
                        <w:tcBorders>
                          <w:top w:val="none" w:sz="0" w:space="0" w:color="FFFFFF"/>
                          <w:left w:val="none" w:sz="0" w:space="0" w:color="FFFFFF"/>
                          <w:bottom w:val="none" w:sz="0" w:space="0" w:color="FFFFFF"/>
                          <w:right w:val="none" w:sz="0" w:space="0" w:color="FFFFFF"/>
                        </w:tcBorders>
                        <w:shd w:val="clear" w:color="auto" w:fill="111827"/>
                        <w:tcMar>
                          <w:top w:w="40" w:type="dxa"/>
                          <w:left w:w="60" w:type="dxa"/>
                          <w:bottom w:w="40" w:type="dxa"/>
                          <w:right w:w="60" w:type="dxa"/>
                        </w:tcMar>
                        <w:vAlign w:val="center"/>
                      </w:tcPr>
                      <w:p w14:paraId="0BD864F6" w14:textId="77777777" w:rsidR="00E3757B" w:rsidRPr="00E3757B" w:rsidRDefault="00E3757B" w:rsidP="00767476">
                        <w:pPr>
                          <w:spacing w:after="60" w:line="220" w:lineRule="auto"/>
                          <w:rPr>
                            <w:sz w:val="14"/>
                            <w:szCs w:val="14"/>
                          </w:rPr>
                        </w:pPr>
                        <w:r w:rsidRPr="00E3757B">
                          <w:rPr>
                            <w:rFonts w:ascii="Calibri" w:eastAsia="Calibri" w:hAnsi="Calibri" w:cs="Calibri"/>
                            <w:color w:val="E5E7EB"/>
                            <w:sz w:val="14"/>
                            <w:szCs w:val="14"/>
                          </w:rPr>
                          <w:t>Replaces printed textbooks and lab manuals with AR overlays, significantly reducing campus paper waste.</w:t>
                        </w:r>
                      </w:p>
                    </w:tc>
                  </w:tr>
                  <w:tr w:rsidR="00E3757B" w:rsidRPr="00E3757B" w14:paraId="09CE717C" w14:textId="77777777" w:rsidTr="00E3757B">
                    <w:trPr>
                      <w:trHeight w:val="205"/>
                    </w:trPr>
                    <w:tc>
                      <w:tcPr>
                        <w:tcW w:w="1027"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04BBA7F4"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73"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2E26DEA2"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592"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2437C006"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r>
                  <w:tr w:rsidR="00E3757B" w:rsidRPr="00E3757B" w14:paraId="2CA9A032" w14:textId="77777777" w:rsidTr="00E3757B">
                    <w:trPr>
                      <w:trHeight w:val="272"/>
                    </w:trPr>
                    <w:tc>
                      <w:tcPr>
                        <w:tcW w:w="1027" w:type="dxa"/>
                        <w:tcBorders>
                          <w:top w:val="none" w:sz="0" w:space="0" w:color="FFFFFF"/>
                          <w:left w:val="none" w:sz="0" w:space="0" w:color="FFFFFF"/>
                          <w:bottom w:val="none" w:sz="0" w:space="0" w:color="FFFFFF"/>
                          <w:right w:val="none" w:sz="0" w:space="0" w:color="FFFFFF"/>
                        </w:tcBorders>
                        <w:shd w:val="clear" w:color="auto" w:fill="78350F"/>
                        <w:tcMar>
                          <w:top w:w="60" w:type="dxa"/>
                          <w:left w:w="60" w:type="dxa"/>
                          <w:bottom w:w="60" w:type="dxa"/>
                          <w:right w:w="60" w:type="dxa"/>
                        </w:tcMar>
                        <w:vAlign w:val="center"/>
                      </w:tcPr>
                      <w:p w14:paraId="4FE46A94" w14:textId="77777777" w:rsidR="00E3757B" w:rsidRPr="00E3757B" w:rsidRDefault="00E3757B" w:rsidP="00767476">
                        <w:pPr>
                          <w:spacing w:after="60" w:line="220" w:lineRule="auto"/>
                          <w:jc w:val="center"/>
                          <w:rPr>
                            <w:sz w:val="14"/>
                            <w:szCs w:val="14"/>
                          </w:rPr>
                        </w:pPr>
                        <w:r w:rsidRPr="00E3757B">
                          <w:rPr>
                            <w:rFonts w:ascii="Calibri" w:eastAsia="Calibri" w:hAnsi="Calibri" w:cs="Calibri"/>
                            <w:b/>
                            <w:bCs/>
                            <w:color w:val="FFFFFF"/>
                            <w:sz w:val="14"/>
                            <w:szCs w:val="14"/>
                          </w:rPr>
                          <w:t>EFFICIENT</w:t>
                        </w:r>
                      </w:p>
                    </w:tc>
                    <w:tc>
                      <w:tcPr>
                        <w:tcW w:w="73"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08D98304"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592" w:type="dxa"/>
                        <w:tcBorders>
                          <w:top w:val="none" w:sz="0" w:space="0" w:color="FFFFFF"/>
                          <w:left w:val="none" w:sz="0" w:space="0" w:color="FFFFFF"/>
                          <w:bottom w:val="none" w:sz="0" w:space="0" w:color="FFFFFF"/>
                          <w:right w:val="none" w:sz="0" w:space="0" w:color="FFFFFF"/>
                        </w:tcBorders>
                        <w:shd w:val="clear" w:color="auto" w:fill="111827"/>
                        <w:tcMar>
                          <w:top w:w="40" w:type="dxa"/>
                          <w:left w:w="60" w:type="dxa"/>
                          <w:bottom w:w="40" w:type="dxa"/>
                          <w:right w:w="60" w:type="dxa"/>
                        </w:tcMar>
                        <w:vAlign w:val="center"/>
                      </w:tcPr>
                      <w:p w14:paraId="1B83DC5D" w14:textId="77777777" w:rsidR="00E3757B" w:rsidRPr="00E3757B" w:rsidRDefault="00E3757B" w:rsidP="00767476">
                        <w:pPr>
                          <w:spacing w:after="60" w:line="220" w:lineRule="auto"/>
                          <w:rPr>
                            <w:sz w:val="14"/>
                            <w:szCs w:val="14"/>
                          </w:rPr>
                        </w:pPr>
                        <w:r w:rsidRPr="00E3757B">
                          <w:rPr>
                            <w:rFonts w:ascii="Calibri" w:eastAsia="Calibri" w:hAnsi="Calibri" w:cs="Calibri"/>
                            <w:color w:val="E5E7EB"/>
                            <w:sz w:val="14"/>
                            <w:szCs w:val="14"/>
                          </w:rPr>
                          <w:t>Low-power ARM chip with solar-trickle charging, designed for all-day academic use with minimal environmental footprint.</w:t>
                        </w:r>
                      </w:p>
                    </w:tc>
                  </w:tr>
                </w:tbl>
                <w:p w14:paraId="027371CA" w14:textId="77777777" w:rsidR="00E3757B" w:rsidRPr="00E3757B" w:rsidRDefault="00E3757B" w:rsidP="00767476">
                  <w:pPr>
                    <w:spacing w:after="40"/>
                    <w:rPr>
                      <w:sz w:val="14"/>
                      <w:szCs w:val="14"/>
                    </w:rPr>
                  </w:pPr>
                  <w:r w:rsidRPr="00E3757B">
                    <w:rPr>
                      <w:rFonts w:ascii="Calibri" w:eastAsia="Calibri" w:hAnsi="Calibri" w:cs="Calibri"/>
                      <w:color w:val="E5E7EB"/>
                      <w:sz w:val="14"/>
                      <w:szCs w:val="14"/>
                    </w:rPr>
                    <w:t xml:space="preserve"> </w:t>
                  </w:r>
                </w:p>
                <w:p w14:paraId="21E0FAC5" w14:textId="77777777" w:rsidR="00E3757B" w:rsidRPr="00E3757B" w:rsidRDefault="00E3757B" w:rsidP="00767476">
                  <w:pPr>
                    <w:spacing w:after="60" w:line="230" w:lineRule="auto"/>
                    <w:rPr>
                      <w:sz w:val="14"/>
                      <w:szCs w:val="14"/>
                    </w:rPr>
                  </w:pPr>
                  <w:r w:rsidRPr="00E3757B">
                    <w:rPr>
                      <w:rFonts w:ascii="Calibri" w:eastAsia="Calibri" w:hAnsi="Calibri" w:cs="Calibri"/>
                      <w:b/>
                      <w:bCs/>
                      <w:color w:val="FFFFFF"/>
                      <w:sz w:val="14"/>
                      <w:szCs w:val="14"/>
                    </w:rPr>
                    <w:t>Theocharis and Tsekouropoulos (2025)</w:t>
                  </w:r>
                  <w:r w:rsidRPr="00E3757B">
                    <w:rPr>
                      <w:rFonts w:ascii="Calibri" w:eastAsia="Calibri" w:hAnsi="Calibri" w:cs="Calibri"/>
                      <w:color w:val="E5E7EB"/>
                      <w:sz w:val="14"/>
                      <w:szCs w:val="14"/>
                    </w:rPr>
                    <w:t xml:space="preserve"> confirm Gen Z consumers view green credentials as a competitive differentiator, not optional.</w:t>
                  </w: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4F012DBC"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897" w:type="dxa"/>
                  <w:tcBorders>
                    <w:top w:val="single" w:sz="18" w:space="0" w:color="60A5FA"/>
                    <w:left w:val="none" w:sz="0" w:space="0" w:color="FFFFFF"/>
                    <w:bottom w:val="none" w:sz="0" w:space="0" w:color="FFFFFF"/>
                    <w:right w:val="none" w:sz="0" w:space="0" w:color="FFFFFF"/>
                  </w:tcBorders>
                  <w:shd w:val="clear" w:color="auto" w:fill="0F172A"/>
                  <w:tcMar>
                    <w:top w:w="150" w:type="dxa"/>
                    <w:left w:w="180" w:type="dxa"/>
                    <w:bottom w:w="150" w:type="dxa"/>
                    <w:right w:w="180" w:type="dxa"/>
                  </w:tcMar>
                </w:tcPr>
                <w:p w14:paraId="7B4471CA" w14:textId="77777777" w:rsidR="00E3757B" w:rsidRPr="00E3757B" w:rsidRDefault="00E3757B" w:rsidP="00767476">
                  <w:pPr>
                    <w:spacing w:after="100" w:line="260" w:lineRule="auto"/>
                    <w:rPr>
                      <w:sz w:val="14"/>
                      <w:szCs w:val="14"/>
                    </w:rPr>
                  </w:pPr>
                  <w:r w:rsidRPr="00E3757B">
                    <w:rPr>
                      <w:rFonts w:ascii="Calibri" w:eastAsia="Calibri" w:hAnsi="Calibri" w:cs="Calibri"/>
                      <w:color w:val="E5E7EB"/>
                      <w:sz w:val="14"/>
                      <w:szCs w:val="14"/>
                    </w:rPr>
                    <w:t xml:space="preserve">💡  </w:t>
                  </w:r>
                  <w:r w:rsidRPr="00E3757B">
                    <w:rPr>
                      <w:rFonts w:ascii="Calibri" w:eastAsia="Calibri" w:hAnsi="Calibri" w:cs="Calibri"/>
                      <w:b/>
                      <w:bCs/>
                      <w:color w:val="FFFFFF"/>
                      <w:sz w:val="14"/>
                      <w:szCs w:val="14"/>
                    </w:rPr>
                    <w:t>Key Features</w:t>
                  </w:r>
                </w:p>
                <w:p w14:paraId="0BCE5330" w14:textId="77777777" w:rsidR="00E3757B" w:rsidRPr="00E3757B" w:rsidRDefault="00E3757B" w:rsidP="00767476">
                  <w:pPr>
                    <w:spacing w:after="20" w:line="220" w:lineRule="auto"/>
                    <w:rPr>
                      <w:sz w:val="14"/>
                      <w:szCs w:val="14"/>
                    </w:rPr>
                  </w:pPr>
                  <w:r w:rsidRPr="00E3757B">
                    <w:rPr>
                      <w:rFonts w:ascii="Calibri" w:eastAsia="Calibri" w:hAnsi="Calibri" w:cs="Calibri"/>
                      <w:b/>
                      <w:bCs/>
                      <w:color w:val="60A5FA"/>
                      <w:sz w:val="14"/>
                      <w:szCs w:val="14"/>
                    </w:rPr>
                    <w:t xml:space="preserve">●  </w:t>
                  </w:r>
                  <w:r w:rsidRPr="00E3757B">
                    <w:rPr>
                      <w:rFonts w:ascii="Calibri" w:eastAsia="Calibri" w:hAnsi="Calibri" w:cs="Calibri"/>
                      <w:b/>
                      <w:bCs/>
                      <w:color w:val="FFFFFF"/>
                      <w:sz w:val="14"/>
                      <w:szCs w:val="14"/>
                    </w:rPr>
                    <w:t>Gemini AI Tutor</w:t>
                  </w:r>
                </w:p>
                <w:p w14:paraId="055A1535" w14:textId="77777777" w:rsidR="00E3757B" w:rsidRPr="00E3757B" w:rsidRDefault="00E3757B" w:rsidP="00767476">
                  <w:pPr>
                    <w:spacing w:after="60" w:line="220" w:lineRule="auto"/>
                    <w:ind w:left="200"/>
                    <w:rPr>
                      <w:sz w:val="14"/>
                      <w:szCs w:val="14"/>
                    </w:rPr>
                  </w:pPr>
                  <w:r w:rsidRPr="00E3757B">
                    <w:rPr>
                      <w:rFonts w:ascii="Calibri" w:eastAsia="Calibri" w:hAnsi="Calibri" w:cs="Calibri"/>
                      <w:color w:val="E5E7EB"/>
                      <w:sz w:val="14"/>
                      <w:szCs w:val="14"/>
                    </w:rPr>
                    <w:t>Real-time AI assistance powered by Google Gemini</w:t>
                  </w:r>
                </w:p>
                <w:p w14:paraId="6BEC51A4" w14:textId="77777777" w:rsidR="00E3757B" w:rsidRPr="00E3757B" w:rsidRDefault="00E3757B" w:rsidP="00767476">
                  <w:pPr>
                    <w:spacing w:after="20" w:line="220" w:lineRule="auto"/>
                    <w:rPr>
                      <w:sz w:val="14"/>
                      <w:szCs w:val="14"/>
                    </w:rPr>
                  </w:pPr>
                  <w:r w:rsidRPr="00E3757B">
                    <w:rPr>
                      <w:rFonts w:ascii="Calibri" w:eastAsia="Calibri" w:hAnsi="Calibri" w:cs="Calibri"/>
                      <w:b/>
                      <w:bCs/>
                      <w:color w:val="EF4444"/>
                      <w:sz w:val="14"/>
                      <w:szCs w:val="14"/>
                    </w:rPr>
                    <w:t xml:space="preserve">●  </w:t>
                  </w:r>
                  <w:r w:rsidRPr="00E3757B">
                    <w:rPr>
                      <w:rFonts w:ascii="Calibri" w:eastAsia="Calibri" w:hAnsi="Calibri" w:cs="Calibri"/>
                      <w:b/>
                      <w:bCs/>
                      <w:color w:val="FFFFFF"/>
                      <w:sz w:val="14"/>
                      <w:szCs w:val="14"/>
                    </w:rPr>
                    <w:t>Live Transcription</w:t>
                  </w:r>
                </w:p>
                <w:p w14:paraId="6404F40A" w14:textId="77777777" w:rsidR="00E3757B" w:rsidRPr="00E3757B" w:rsidRDefault="00E3757B" w:rsidP="00767476">
                  <w:pPr>
                    <w:spacing w:after="60" w:line="220" w:lineRule="auto"/>
                    <w:ind w:left="200"/>
                    <w:rPr>
                      <w:sz w:val="14"/>
                      <w:szCs w:val="14"/>
                    </w:rPr>
                  </w:pPr>
                  <w:r w:rsidRPr="00E3757B">
                    <w:rPr>
                      <w:rFonts w:ascii="Calibri" w:eastAsia="Calibri" w:hAnsi="Calibri" w:cs="Calibri"/>
                      <w:color w:val="E5E7EB"/>
                      <w:sz w:val="14"/>
                      <w:szCs w:val="14"/>
                    </w:rPr>
                    <w:t>Automatic lecture notes with smart summarisation</w:t>
                  </w:r>
                </w:p>
                <w:p w14:paraId="2D132064" w14:textId="77777777" w:rsidR="00E3757B" w:rsidRPr="00E3757B" w:rsidRDefault="00E3757B" w:rsidP="00767476">
                  <w:pPr>
                    <w:spacing w:after="20" w:line="220" w:lineRule="auto"/>
                    <w:rPr>
                      <w:sz w:val="14"/>
                      <w:szCs w:val="14"/>
                    </w:rPr>
                  </w:pPr>
                  <w:r w:rsidRPr="00E3757B">
                    <w:rPr>
                      <w:rFonts w:ascii="Calibri" w:eastAsia="Calibri" w:hAnsi="Calibri" w:cs="Calibri"/>
                      <w:b/>
                      <w:bCs/>
                      <w:color w:val="FBBF24"/>
                      <w:sz w:val="14"/>
                      <w:szCs w:val="14"/>
                    </w:rPr>
                    <w:t xml:space="preserve">●  </w:t>
                  </w:r>
                  <w:r w:rsidRPr="00E3757B">
                    <w:rPr>
                      <w:rFonts w:ascii="Calibri" w:eastAsia="Calibri" w:hAnsi="Calibri" w:cs="Calibri"/>
                      <w:b/>
                      <w:bCs/>
                      <w:color w:val="FFFFFF"/>
                      <w:sz w:val="14"/>
                      <w:szCs w:val="14"/>
                    </w:rPr>
                    <w:t>3D Lab Simulations</w:t>
                  </w:r>
                </w:p>
                <w:p w14:paraId="51CE605D" w14:textId="77777777" w:rsidR="00E3757B" w:rsidRPr="00E3757B" w:rsidRDefault="00E3757B" w:rsidP="00767476">
                  <w:pPr>
                    <w:spacing w:after="60" w:line="220" w:lineRule="auto"/>
                    <w:ind w:left="200"/>
                    <w:rPr>
                      <w:sz w:val="14"/>
                      <w:szCs w:val="14"/>
                    </w:rPr>
                  </w:pPr>
                  <w:r w:rsidRPr="00E3757B">
                    <w:rPr>
                      <w:rFonts w:ascii="Calibri" w:eastAsia="Calibri" w:hAnsi="Calibri" w:cs="Calibri"/>
                      <w:color w:val="E5E7EB"/>
                      <w:sz w:val="14"/>
                      <w:szCs w:val="14"/>
                    </w:rPr>
                    <w:t>Immersive AR experiments for STEM disciplines</w:t>
                  </w:r>
                </w:p>
                <w:p w14:paraId="7553A6ED" w14:textId="77777777" w:rsidR="00E3757B" w:rsidRPr="00E3757B" w:rsidRDefault="00E3757B" w:rsidP="00767476">
                  <w:pPr>
                    <w:spacing w:after="20" w:line="220" w:lineRule="auto"/>
                    <w:rPr>
                      <w:sz w:val="14"/>
                      <w:szCs w:val="14"/>
                    </w:rPr>
                  </w:pPr>
                  <w:r w:rsidRPr="00E3757B">
                    <w:rPr>
                      <w:rFonts w:ascii="Calibri" w:eastAsia="Calibri" w:hAnsi="Calibri" w:cs="Calibri"/>
                      <w:b/>
                      <w:bCs/>
                      <w:color w:val="10B981"/>
                      <w:sz w:val="14"/>
                      <w:szCs w:val="14"/>
                    </w:rPr>
                    <w:t xml:space="preserve">●  </w:t>
                  </w:r>
                  <w:r w:rsidRPr="00E3757B">
                    <w:rPr>
                      <w:rFonts w:ascii="Calibri" w:eastAsia="Calibri" w:hAnsi="Calibri" w:cs="Calibri"/>
                      <w:b/>
                      <w:bCs/>
                      <w:color w:val="FFFFFF"/>
                      <w:sz w:val="14"/>
                      <w:szCs w:val="14"/>
                    </w:rPr>
                    <w:t>Campus Navigation</w:t>
                  </w:r>
                </w:p>
                <w:p w14:paraId="2537B574" w14:textId="77777777" w:rsidR="00E3757B" w:rsidRPr="00E3757B" w:rsidRDefault="00E3757B" w:rsidP="00767476">
                  <w:pPr>
                    <w:spacing w:after="60" w:line="220" w:lineRule="auto"/>
                    <w:ind w:left="200"/>
                    <w:rPr>
                      <w:sz w:val="14"/>
                      <w:szCs w:val="14"/>
                    </w:rPr>
                  </w:pPr>
                  <w:r w:rsidRPr="00E3757B">
                    <w:rPr>
                      <w:rFonts w:ascii="Calibri" w:eastAsia="Calibri" w:hAnsi="Calibri" w:cs="Calibri"/>
                      <w:color w:val="E5E7EB"/>
                      <w:sz w:val="14"/>
                      <w:szCs w:val="14"/>
                    </w:rPr>
                    <w:t>Indoor AR wayfinding for university campuses</w:t>
                  </w:r>
                </w:p>
                <w:p w14:paraId="6538F795" w14:textId="77777777" w:rsidR="00E3757B" w:rsidRPr="00E3757B" w:rsidRDefault="00E3757B" w:rsidP="00767476">
                  <w:pPr>
                    <w:spacing w:after="20" w:line="220" w:lineRule="auto"/>
                    <w:rPr>
                      <w:sz w:val="14"/>
                      <w:szCs w:val="14"/>
                    </w:rPr>
                  </w:pPr>
                  <w:r w:rsidRPr="00E3757B">
                    <w:rPr>
                      <w:rFonts w:ascii="Calibri" w:eastAsia="Calibri" w:hAnsi="Calibri" w:cs="Calibri"/>
                      <w:b/>
                      <w:bCs/>
                      <w:color w:val="60A5FA"/>
                      <w:sz w:val="14"/>
                      <w:szCs w:val="14"/>
                    </w:rPr>
                    <w:t xml:space="preserve">●  </w:t>
                  </w:r>
                  <w:r w:rsidRPr="00E3757B">
                    <w:rPr>
                      <w:rFonts w:ascii="Calibri" w:eastAsia="Calibri" w:hAnsi="Calibri" w:cs="Calibri"/>
                      <w:b/>
                      <w:bCs/>
                      <w:color w:val="FFFFFF"/>
                      <w:sz w:val="14"/>
                      <w:szCs w:val="14"/>
                    </w:rPr>
                    <w:t>Google Ecosystem</w:t>
                  </w:r>
                </w:p>
                <w:p w14:paraId="557F042A" w14:textId="77777777" w:rsidR="00E3757B" w:rsidRPr="00E3757B" w:rsidRDefault="00E3757B" w:rsidP="00767476">
                  <w:pPr>
                    <w:spacing w:after="60" w:line="220" w:lineRule="auto"/>
                    <w:ind w:left="200"/>
                    <w:rPr>
                      <w:sz w:val="14"/>
                      <w:szCs w:val="14"/>
                    </w:rPr>
                  </w:pPr>
                  <w:r w:rsidRPr="00E3757B">
                    <w:rPr>
                      <w:rFonts w:ascii="Calibri" w:eastAsia="Calibri" w:hAnsi="Calibri" w:cs="Calibri"/>
                      <w:color w:val="E5E7EB"/>
                      <w:sz w:val="14"/>
                      <w:szCs w:val="14"/>
                    </w:rPr>
                    <w:t>Seamless integration with Classroom, Drive &amp; Meet</w:t>
                  </w:r>
                </w:p>
              </w:tc>
            </w:tr>
            <w:tr w:rsidR="00E3757B" w:rsidRPr="00E3757B" w14:paraId="0704D89F" w14:textId="77777777" w:rsidTr="00E3757B">
              <w:trPr>
                <w:trHeight w:val="74"/>
              </w:trPr>
              <w:tc>
                <w:tcPr>
                  <w:tcW w:w="5508"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2F58B5E8" w14:textId="7AEA124F" w:rsidR="00E3757B" w:rsidRPr="00E3757B" w:rsidRDefault="00E3757B" w:rsidP="00767476">
                  <w:pPr>
                    <w:rPr>
                      <w:sz w:val="14"/>
                      <w:szCs w:val="14"/>
                    </w:rPr>
                  </w:pP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7947420C"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5613"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3DBDAC1D" w14:textId="00CD6819" w:rsidR="00E3757B" w:rsidRPr="00E3757B" w:rsidRDefault="00E3757B" w:rsidP="00767476">
                  <w:pPr>
                    <w:rPr>
                      <w:sz w:val="14"/>
                      <w:szCs w:val="14"/>
                    </w:rPr>
                  </w:pP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3080A1CA"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897"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51CB8046"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r>
            <w:tr w:rsidR="00E3757B" w:rsidRPr="00E3757B" w14:paraId="406174E7" w14:textId="77777777" w:rsidTr="00E3757B">
              <w:trPr>
                <w:trHeight w:val="1229"/>
              </w:trPr>
              <w:tc>
                <w:tcPr>
                  <w:tcW w:w="5508" w:type="dxa"/>
                  <w:tcBorders>
                    <w:top w:val="single" w:sz="18" w:space="0" w:color="3B82F6"/>
                    <w:left w:val="none" w:sz="0" w:space="0" w:color="FFFFFF"/>
                    <w:bottom w:val="none" w:sz="0" w:space="0" w:color="FFFFFF"/>
                    <w:right w:val="none" w:sz="0" w:space="0" w:color="FFFFFF"/>
                  </w:tcBorders>
                  <w:shd w:val="clear" w:color="auto" w:fill="111827"/>
                  <w:tcMar>
                    <w:top w:w="150" w:type="dxa"/>
                    <w:left w:w="180" w:type="dxa"/>
                    <w:bottom w:w="150" w:type="dxa"/>
                    <w:right w:w="180" w:type="dxa"/>
                  </w:tcMar>
                </w:tcPr>
                <w:p w14:paraId="5FF70169" w14:textId="77777777" w:rsidR="00E3757B" w:rsidRPr="00E3757B" w:rsidRDefault="00E3757B" w:rsidP="00767476">
                  <w:pPr>
                    <w:spacing w:after="100" w:line="260" w:lineRule="auto"/>
                    <w:rPr>
                      <w:sz w:val="14"/>
                      <w:szCs w:val="14"/>
                    </w:rPr>
                  </w:pPr>
                  <w:r w:rsidRPr="00E3757B">
                    <w:rPr>
                      <w:rFonts w:ascii="Calibri" w:eastAsia="Calibri" w:hAnsi="Calibri" w:cs="Calibri"/>
                      <w:color w:val="E5E7EB"/>
                      <w:sz w:val="14"/>
                      <w:szCs w:val="14"/>
                    </w:rPr>
                    <w:t xml:space="preserve">⭐  </w:t>
                  </w:r>
                  <w:r w:rsidRPr="00E3757B">
                    <w:rPr>
                      <w:rFonts w:ascii="Calibri" w:eastAsia="Calibri" w:hAnsi="Calibri" w:cs="Calibri"/>
                      <w:b/>
                      <w:bCs/>
                      <w:color w:val="FFFFFF"/>
                      <w:sz w:val="14"/>
                      <w:szCs w:val="14"/>
                    </w:rPr>
                    <w:t>5. Conclusion</w:t>
                  </w:r>
                </w:p>
                <w:p w14:paraId="21FDF515" w14:textId="77777777" w:rsidR="00E3757B" w:rsidRPr="00E3757B" w:rsidRDefault="00E3757B" w:rsidP="00767476">
                  <w:pPr>
                    <w:spacing w:after="60" w:line="230" w:lineRule="auto"/>
                    <w:rPr>
                      <w:sz w:val="14"/>
                      <w:szCs w:val="14"/>
                    </w:rPr>
                  </w:pPr>
                  <w:r w:rsidRPr="00E3757B">
                    <w:rPr>
                      <w:rFonts w:ascii="Calibri" w:eastAsia="Calibri" w:hAnsi="Calibri" w:cs="Calibri"/>
                      <w:color w:val="E5E7EB"/>
                      <w:sz w:val="14"/>
                      <w:szCs w:val="14"/>
                    </w:rPr>
                    <w:t xml:space="preserve">Google EduLens is a strategically sound brand extension that leverages Google's </w:t>
                  </w:r>
                  <w:r w:rsidRPr="00E3757B">
                    <w:rPr>
                      <w:rFonts w:ascii="Calibri" w:eastAsia="Calibri" w:hAnsi="Calibri" w:cs="Calibri"/>
                      <w:b/>
                      <w:bCs/>
                      <w:color w:val="FFFFFF"/>
                      <w:sz w:val="14"/>
                      <w:szCs w:val="14"/>
                    </w:rPr>
                    <w:t>brand equity, technological ecosystem, and sustainability credentials</w:t>
                  </w:r>
                  <w:r w:rsidRPr="00E3757B">
                    <w:rPr>
                      <w:rFonts w:ascii="Calibri" w:eastAsia="Calibri" w:hAnsi="Calibri" w:cs="Calibri"/>
                      <w:color w:val="E5E7EB"/>
                      <w:sz w:val="14"/>
                      <w:szCs w:val="14"/>
                    </w:rPr>
                    <w:t xml:space="preserve"> to enter the high-growth wearable AR education market. With the global EdTech market projected to reach </w:t>
                  </w:r>
                  <w:r w:rsidRPr="00E3757B">
                    <w:rPr>
                      <w:rFonts w:ascii="Calibri" w:eastAsia="Calibri" w:hAnsi="Calibri" w:cs="Calibri"/>
                      <w:b/>
                      <w:bCs/>
                      <w:color w:val="FFFFFF"/>
                      <w:sz w:val="14"/>
                      <w:szCs w:val="14"/>
                    </w:rPr>
                    <w:t>$348 billion by 2030</w:t>
                  </w:r>
                  <w:r w:rsidRPr="00E3757B">
                    <w:rPr>
                      <w:rFonts w:ascii="Calibri" w:eastAsia="Calibri" w:hAnsi="Calibri" w:cs="Calibri"/>
                      <w:color w:val="E5E7EB"/>
                      <w:sz w:val="14"/>
                      <w:szCs w:val="14"/>
                    </w:rPr>
                    <w:t xml:space="preserve"> and XR device shipments surging </w:t>
                  </w:r>
                  <w:r w:rsidRPr="00E3757B">
                    <w:rPr>
                      <w:rFonts w:ascii="Calibri" w:eastAsia="Calibri" w:hAnsi="Calibri" w:cs="Calibri"/>
                      <w:b/>
                      <w:bCs/>
                      <w:color w:val="FFFFFF"/>
                      <w:sz w:val="14"/>
                      <w:szCs w:val="14"/>
                    </w:rPr>
                    <w:t>44.4% in 2025</w:t>
                  </w:r>
                  <w:r w:rsidRPr="00E3757B">
                    <w:rPr>
                      <w:rFonts w:ascii="Calibri" w:eastAsia="Calibri" w:hAnsi="Calibri" w:cs="Calibri"/>
                      <w:color w:val="E5E7EB"/>
                      <w:sz w:val="14"/>
                      <w:szCs w:val="14"/>
                    </w:rPr>
                    <w:t>, the timing is commercially compelling for both investors and educational institutions.</w:t>
                  </w: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26AFFB99"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5613" w:type="dxa"/>
                  <w:tcBorders>
                    <w:top w:val="single" w:sz="18" w:space="0" w:color="3B82F6"/>
                    <w:left w:val="none" w:sz="0" w:space="0" w:color="FFFFFF"/>
                    <w:bottom w:val="none" w:sz="0" w:space="0" w:color="FFFFFF"/>
                    <w:right w:val="none" w:sz="0" w:space="0" w:color="FFFFFF"/>
                  </w:tcBorders>
                  <w:shd w:val="clear" w:color="auto" w:fill="111827"/>
                  <w:tcMar>
                    <w:top w:w="150" w:type="dxa"/>
                    <w:left w:w="180" w:type="dxa"/>
                    <w:bottom w:w="150" w:type="dxa"/>
                    <w:right w:w="180" w:type="dxa"/>
                  </w:tcMar>
                </w:tcPr>
                <w:p w14:paraId="4853F5AC" w14:textId="77777777" w:rsidR="00E3757B" w:rsidRPr="00E3757B" w:rsidRDefault="00E3757B" w:rsidP="00767476">
                  <w:pPr>
                    <w:spacing w:after="100" w:line="260" w:lineRule="auto"/>
                    <w:rPr>
                      <w:sz w:val="14"/>
                      <w:szCs w:val="14"/>
                    </w:rPr>
                  </w:pPr>
                  <w:r w:rsidRPr="00E3757B">
                    <w:rPr>
                      <w:rFonts w:ascii="Calibri" w:eastAsia="Calibri" w:hAnsi="Calibri" w:cs="Calibri"/>
                      <w:color w:val="E5E7EB"/>
                      <w:sz w:val="14"/>
                      <w:szCs w:val="14"/>
                    </w:rPr>
                    <w:t xml:space="preserve">📚  </w:t>
                  </w:r>
                  <w:r w:rsidRPr="00E3757B">
                    <w:rPr>
                      <w:rFonts w:ascii="Calibri" w:eastAsia="Calibri" w:hAnsi="Calibri" w:cs="Calibri"/>
                      <w:b/>
                      <w:bCs/>
                      <w:color w:val="FFFFFF"/>
                      <w:sz w:val="14"/>
                      <w:szCs w:val="14"/>
                    </w:rPr>
                    <w:t>6. References</w:t>
                  </w:r>
                </w:p>
                <w:p w14:paraId="5804A033"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Alphabet Inc. (2024) Q3 2024 earnings call transcript. Available at: https://abc.xyz/investor.</w:t>
                  </w:r>
                </w:p>
                <w:p w14:paraId="4482A0C4"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Google (2024) Google environmental report 2024. Available at: https://sustainability.google.</w:t>
                  </w:r>
                </w:p>
                <w:p w14:paraId="625E49AE"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Grand View Research (2025) Education technology market size report, 2025–2030.</w:t>
                  </w:r>
                </w:p>
                <w:p w14:paraId="563D872E"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IDC (2026) XR market expands 44.4% in 2025. Available at: https://www.idc.com.</w:t>
                  </w:r>
                </w:p>
                <w:p w14:paraId="1177C9EE"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Kotler, P. and Keller, K. (2012) Marketing management. 14th edn. Pearson Education.</w:t>
                  </w:r>
                </w:p>
                <w:p w14:paraId="3B8A5740"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Koumpouros, Y. (2024) Smart Learning Environments, 11(1).</w:t>
                  </w:r>
                </w:p>
                <w:p w14:paraId="4541F709"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Singh, S. et al. (2024) Frontiers in Education, 9, 1458695.</w:t>
                  </w:r>
                </w:p>
                <w:p w14:paraId="0EAEE45F"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Statista (2025) AR &amp; VR worldwide forecast. Available at: https://www.statista.com.</w:t>
                  </w:r>
                </w:p>
                <w:p w14:paraId="667BCAA7" w14:textId="77777777" w:rsidR="00E3757B" w:rsidRPr="00E3757B" w:rsidRDefault="00E3757B" w:rsidP="00767476">
                  <w:pPr>
                    <w:spacing w:after="20" w:line="210" w:lineRule="auto"/>
                    <w:rPr>
                      <w:sz w:val="14"/>
                      <w:szCs w:val="14"/>
                    </w:rPr>
                  </w:pPr>
                  <w:r w:rsidRPr="00E3757B">
                    <w:rPr>
                      <w:rFonts w:ascii="Calibri" w:eastAsia="Calibri" w:hAnsi="Calibri" w:cs="Calibri"/>
                      <w:color w:val="E5E7EB"/>
                      <w:sz w:val="14"/>
                      <w:szCs w:val="14"/>
                    </w:rPr>
                    <w:t>Theocharis, D. and Tsekouropoulos, G. (2025) Sustainability, 17(9), 4124.</w:t>
                  </w:r>
                </w:p>
              </w:tc>
              <w:tc>
                <w:tcPr>
                  <w:tcW w:w="190" w:type="dxa"/>
                  <w:tcBorders>
                    <w:top w:val="none" w:sz="0" w:space="0" w:color="FFFFFF"/>
                    <w:left w:val="none" w:sz="0" w:space="0" w:color="FFFFFF"/>
                    <w:bottom w:val="none" w:sz="0" w:space="0" w:color="FFFFFF"/>
                    <w:right w:val="none" w:sz="0" w:space="0" w:color="FFFFFF"/>
                  </w:tcBorders>
                  <w:shd w:val="clear" w:color="auto" w:fill="0B1220"/>
                  <w:tcMar>
                    <w:top w:w="0" w:type="dxa"/>
                    <w:left w:w="0" w:type="dxa"/>
                    <w:bottom w:w="0" w:type="dxa"/>
                    <w:right w:w="0" w:type="dxa"/>
                  </w:tcMar>
                </w:tcPr>
                <w:p w14:paraId="361A6713" w14:textId="77777777" w:rsidR="00E3757B" w:rsidRPr="00E3757B" w:rsidRDefault="00E3757B" w:rsidP="00767476">
                  <w:pPr>
                    <w:rPr>
                      <w:sz w:val="14"/>
                      <w:szCs w:val="14"/>
                    </w:rPr>
                  </w:pPr>
                  <w:r w:rsidRPr="00E3757B">
                    <w:rPr>
                      <w:rFonts w:ascii="Calibri" w:eastAsia="Calibri" w:hAnsi="Calibri" w:cs="Calibri"/>
                      <w:color w:val="E5E7EB"/>
                      <w:sz w:val="14"/>
                      <w:szCs w:val="14"/>
                    </w:rPr>
                    <w:t xml:space="preserve"> </w:t>
                  </w:r>
                </w:p>
              </w:tc>
              <w:tc>
                <w:tcPr>
                  <w:tcW w:w="3897" w:type="dxa"/>
                  <w:tcBorders>
                    <w:top w:val="single" w:sz="18" w:space="0" w:color="60A5FA"/>
                    <w:left w:val="none" w:sz="0" w:space="0" w:color="FFFFFF"/>
                    <w:bottom w:val="none" w:sz="0" w:space="0" w:color="FFFFFF"/>
                    <w:right w:val="none" w:sz="0" w:space="0" w:color="FFFFFF"/>
                  </w:tcBorders>
                  <w:shd w:val="clear" w:color="auto" w:fill="1E293B"/>
                  <w:tcMar>
                    <w:top w:w="150" w:type="dxa"/>
                    <w:left w:w="180" w:type="dxa"/>
                    <w:bottom w:w="150" w:type="dxa"/>
                    <w:right w:w="180" w:type="dxa"/>
                  </w:tcMar>
                </w:tcPr>
                <w:p w14:paraId="2DF107CA" w14:textId="77777777" w:rsidR="00E3757B" w:rsidRPr="00E3757B" w:rsidRDefault="00E3757B" w:rsidP="00767476">
                  <w:pPr>
                    <w:spacing w:after="40" w:line="230" w:lineRule="auto"/>
                    <w:jc w:val="center"/>
                    <w:rPr>
                      <w:sz w:val="14"/>
                      <w:szCs w:val="14"/>
                    </w:rPr>
                  </w:pPr>
                  <w:r w:rsidRPr="00E3757B">
                    <w:rPr>
                      <w:rFonts w:ascii="Calibri" w:eastAsia="Calibri" w:hAnsi="Calibri" w:cs="Calibri"/>
                      <w:b/>
                      <w:bCs/>
                      <w:color w:val="94A3B8"/>
                      <w:sz w:val="14"/>
                      <w:szCs w:val="14"/>
                    </w:rPr>
                    <w:t>STUDENT-TIER PRICING</w:t>
                  </w:r>
                </w:p>
                <w:p w14:paraId="12C49997" w14:textId="77777777" w:rsidR="00E3757B" w:rsidRPr="00E3757B" w:rsidRDefault="00E3757B" w:rsidP="00767476">
                  <w:pPr>
                    <w:spacing w:after="30" w:line="320" w:lineRule="auto"/>
                    <w:jc w:val="center"/>
                    <w:rPr>
                      <w:sz w:val="14"/>
                      <w:szCs w:val="14"/>
                    </w:rPr>
                  </w:pPr>
                  <w:r w:rsidRPr="00E3757B">
                    <w:rPr>
                      <w:rFonts w:ascii="Calibri" w:eastAsia="Calibri" w:hAnsi="Calibri" w:cs="Calibri"/>
                      <w:b/>
                      <w:bCs/>
                      <w:color w:val="34D399"/>
                      <w:sz w:val="14"/>
                      <w:szCs w:val="14"/>
                    </w:rPr>
                    <w:t>$299</w:t>
                  </w:r>
                </w:p>
                <w:p w14:paraId="1B44FB17" w14:textId="77777777" w:rsidR="00E3757B" w:rsidRPr="00E3757B" w:rsidRDefault="00E3757B" w:rsidP="00767476">
                  <w:pPr>
                    <w:spacing w:after="60" w:line="230" w:lineRule="auto"/>
                    <w:jc w:val="center"/>
                    <w:rPr>
                      <w:sz w:val="14"/>
                      <w:szCs w:val="14"/>
                    </w:rPr>
                  </w:pPr>
                  <w:r w:rsidRPr="00E3757B">
                    <w:rPr>
                      <w:rFonts w:ascii="Calibri" w:eastAsia="Calibri" w:hAnsi="Calibri" w:cs="Calibri"/>
                      <w:i/>
                      <w:iCs/>
                      <w:color w:val="E5E7EB"/>
                      <w:sz w:val="14"/>
                      <w:szCs w:val="14"/>
                    </w:rPr>
                    <w:t>Affordable entry into AR-powered learning</w:t>
                  </w:r>
                </w:p>
              </w:tc>
            </w:tr>
          </w:tbl>
          <w:p w14:paraId="50A2618A" w14:textId="77777777" w:rsidR="00E3757B" w:rsidRPr="00E3757B" w:rsidRDefault="00E3757B" w:rsidP="00DE5206">
            <w:pPr>
              <w:spacing w:after="60" w:line="230" w:lineRule="auto"/>
              <w:rPr>
                <w:sz w:val="14"/>
                <w:szCs w:val="14"/>
              </w:rPr>
            </w:pPr>
          </w:p>
        </w:tc>
      </w:tr>
    </w:tbl>
    <w:p w14:paraId="1A675F99" w14:textId="1E407D59" w:rsidR="00E0155F" w:rsidRDefault="00E0155F" w:rsidP="00E3757B">
      <w:pPr>
        <w:spacing w:after="160" w:line="360" w:lineRule="auto"/>
      </w:pPr>
    </w:p>
    <w:sectPr w:rsidR="00E0155F" w:rsidSect="00E3757B">
      <w:pgSz w:w="15840" w:h="12240" w:orient="landscape" w:code="1"/>
      <w:pgMar w:top="113" w:right="113" w:bottom="113" w:left="113"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06793" w14:textId="77777777" w:rsidR="00A83F46" w:rsidRDefault="00A83F46">
      <w:r>
        <w:separator/>
      </w:r>
    </w:p>
  </w:endnote>
  <w:endnote w:type="continuationSeparator" w:id="0">
    <w:p w14:paraId="0262B94A" w14:textId="77777777" w:rsidR="00A83F46" w:rsidRDefault="00A83F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59230" w14:textId="77777777" w:rsidR="00615557" w:rsidRDefault="00000000">
    <w:pPr>
      <w:jc w:val="center"/>
    </w:pPr>
    <w:r>
      <w:rPr>
        <w:sz w:val="20"/>
        <w:szCs w:val="20"/>
      </w:rPr>
      <w:fldChar w:fldCharType="begin"/>
    </w:r>
    <w:r>
      <w:rPr>
        <w:sz w:val="20"/>
        <w:szCs w:val="20"/>
      </w:rPr>
      <w:instrText>PAGE</w:instrText>
    </w:r>
    <w:r>
      <w:rPr>
        <w:sz w:val="20"/>
        <w:szCs w:val="20"/>
      </w:rPr>
      <w:fldChar w:fldCharType="separate"/>
    </w:r>
    <w:r w:rsidR="00145259">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396C40" w14:textId="77777777" w:rsidR="00615557" w:rsidRDefault="00000000">
    <w:pPr>
      <w:jc w:val="center"/>
    </w:pPr>
    <w:r>
      <w:rPr>
        <w:sz w:val="20"/>
        <w:szCs w:val="20"/>
      </w:rPr>
      <w:fldChar w:fldCharType="begin"/>
    </w:r>
    <w:r>
      <w:rPr>
        <w:sz w:val="20"/>
        <w:szCs w:val="20"/>
      </w:rPr>
      <w:instrText>PAGE</w:instrText>
    </w:r>
    <w:r>
      <w:rPr>
        <w:sz w:val="20"/>
        <w:szCs w:val="20"/>
      </w:rPr>
      <w:fldChar w:fldCharType="separate"/>
    </w:r>
    <w:r w:rsidR="00145259">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6621D" w14:textId="77777777" w:rsidR="00A83F46" w:rsidRDefault="00A83F46">
      <w:r>
        <w:separator/>
      </w:r>
    </w:p>
  </w:footnote>
  <w:footnote w:type="continuationSeparator" w:id="0">
    <w:p w14:paraId="4FED1A94" w14:textId="77777777" w:rsidR="00A83F46" w:rsidRDefault="00A83F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514B6" w14:textId="77777777" w:rsidR="00615557" w:rsidRDefault="00000000">
    <w:pPr>
      <w:jc w:val="right"/>
    </w:pPr>
    <w:r>
      <w:rPr>
        <w:i/>
        <w:iCs/>
        <w:sz w:val="18"/>
        <w:szCs w:val="18"/>
      </w:rPr>
      <w:t>LCMB7024 – Marketing Strategies Portfolio</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DB606" w14:textId="77777777" w:rsidR="00615557" w:rsidRDefault="00000000">
    <w:pPr>
      <w:jc w:val="right"/>
    </w:pPr>
    <w:r>
      <w:rPr>
        <w:i/>
        <w:iCs/>
        <w:sz w:val="18"/>
        <w:szCs w:val="18"/>
      </w:rPr>
      <w:t>LCMB7024 – Marketing Strategies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B3F94"/>
    <w:multiLevelType w:val="hybridMultilevel"/>
    <w:tmpl w:val="019888F4"/>
    <w:lvl w:ilvl="0" w:tplc="88800FEE">
      <w:start w:val="1"/>
      <w:numFmt w:val="bullet"/>
      <w:lvlText w:val="●"/>
      <w:lvlJc w:val="left"/>
      <w:pPr>
        <w:ind w:left="720" w:hanging="360"/>
      </w:pPr>
    </w:lvl>
    <w:lvl w:ilvl="1" w:tplc="7E5AE402">
      <w:start w:val="1"/>
      <w:numFmt w:val="bullet"/>
      <w:lvlText w:val="○"/>
      <w:lvlJc w:val="left"/>
      <w:pPr>
        <w:ind w:left="1440" w:hanging="360"/>
      </w:pPr>
    </w:lvl>
    <w:lvl w:ilvl="2" w:tplc="C41E57E6">
      <w:start w:val="1"/>
      <w:numFmt w:val="bullet"/>
      <w:lvlText w:val="■"/>
      <w:lvlJc w:val="left"/>
      <w:pPr>
        <w:ind w:left="2160" w:hanging="360"/>
      </w:pPr>
    </w:lvl>
    <w:lvl w:ilvl="3" w:tplc="68DE99CC">
      <w:start w:val="1"/>
      <w:numFmt w:val="bullet"/>
      <w:lvlText w:val="●"/>
      <w:lvlJc w:val="left"/>
      <w:pPr>
        <w:ind w:left="2880" w:hanging="360"/>
      </w:pPr>
    </w:lvl>
    <w:lvl w:ilvl="4" w:tplc="96D26800">
      <w:start w:val="1"/>
      <w:numFmt w:val="bullet"/>
      <w:lvlText w:val="○"/>
      <w:lvlJc w:val="left"/>
      <w:pPr>
        <w:ind w:left="3600" w:hanging="360"/>
      </w:pPr>
    </w:lvl>
    <w:lvl w:ilvl="5" w:tplc="43B61C4E">
      <w:start w:val="1"/>
      <w:numFmt w:val="bullet"/>
      <w:lvlText w:val="■"/>
      <w:lvlJc w:val="left"/>
      <w:pPr>
        <w:ind w:left="4320" w:hanging="360"/>
      </w:pPr>
    </w:lvl>
    <w:lvl w:ilvl="6" w:tplc="23BC42A2">
      <w:start w:val="1"/>
      <w:numFmt w:val="bullet"/>
      <w:lvlText w:val="●"/>
      <w:lvlJc w:val="left"/>
      <w:pPr>
        <w:ind w:left="5040" w:hanging="360"/>
      </w:pPr>
    </w:lvl>
    <w:lvl w:ilvl="7" w:tplc="C0561F10">
      <w:start w:val="1"/>
      <w:numFmt w:val="bullet"/>
      <w:lvlText w:val="●"/>
      <w:lvlJc w:val="left"/>
      <w:pPr>
        <w:ind w:left="5760" w:hanging="360"/>
      </w:pPr>
    </w:lvl>
    <w:lvl w:ilvl="8" w:tplc="EA123D76">
      <w:start w:val="1"/>
      <w:numFmt w:val="bullet"/>
      <w:lvlText w:val="●"/>
      <w:lvlJc w:val="left"/>
      <w:pPr>
        <w:ind w:left="6480" w:hanging="360"/>
      </w:pPr>
    </w:lvl>
  </w:abstractNum>
  <w:abstractNum w:abstractNumId="1" w15:restartNumberingAfterBreak="0">
    <w:nsid w:val="6A074CC5"/>
    <w:multiLevelType w:val="hybridMultilevel"/>
    <w:tmpl w:val="5498E5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05075330">
    <w:abstractNumId w:val="0"/>
    <w:lvlOverride w:ilvl="0">
      <w:startOverride w:val="1"/>
    </w:lvlOverride>
  </w:num>
  <w:num w:numId="2" w16cid:durableId="629239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557"/>
    <w:rsid w:val="00145259"/>
    <w:rsid w:val="00210CA0"/>
    <w:rsid w:val="003A2593"/>
    <w:rsid w:val="00466098"/>
    <w:rsid w:val="00486DBB"/>
    <w:rsid w:val="004E3F0D"/>
    <w:rsid w:val="0056553D"/>
    <w:rsid w:val="0059418F"/>
    <w:rsid w:val="005C6512"/>
    <w:rsid w:val="00615557"/>
    <w:rsid w:val="00697D8A"/>
    <w:rsid w:val="00767476"/>
    <w:rsid w:val="00813FC4"/>
    <w:rsid w:val="008A2DEF"/>
    <w:rsid w:val="009401B9"/>
    <w:rsid w:val="00A61961"/>
    <w:rsid w:val="00A83F46"/>
    <w:rsid w:val="00AB5526"/>
    <w:rsid w:val="00B06EC7"/>
    <w:rsid w:val="00B10A3F"/>
    <w:rsid w:val="00B329AD"/>
    <w:rsid w:val="00B34235"/>
    <w:rsid w:val="00B75D0C"/>
    <w:rsid w:val="00D06D72"/>
    <w:rsid w:val="00DD10ED"/>
    <w:rsid w:val="00E0155F"/>
    <w:rsid w:val="00E3757B"/>
    <w:rsid w:val="00EB3B9A"/>
    <w:rsid w:val="00ED7FF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2F3B2"/>
  <w15:docId w15:val="{F157D5A5-D632-436F-87C2-60F97B325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sz w:val="32"/>
      <w:szCs w:val="32"/>
    </w:rPr>
  </w:style>
  <w:style w:type="paragraph" w:styleId="Heading2">
    <w:name w:val="heading 2"/>
    <w:uiPriority w:val="9"/>
    <w:unhideWhenUsed/>
    <w:qFormat/>
    <w:pPr>
      <w:spacing w:before="280" w:after="160"/>
      <w:outlineLvl w:val="1"/>
    </w:pPr>
    <w:rPr>
      <w:b/>
      <w:bCs/>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145259"/>
    <w:pPr>
      <w:spacing w:after="100"/>
    </w:pPr>
  </w:style>
  <w:style w:type="paragraph" w:styleId="TOC2">
    <w:name w:val="toc 2"/>
    <w:basedOn w:val="Normal"/>
    <w:next w:val="Normal"/>
    <w:autoRedefine/>
    <w:uiPriority w:val="39"/>
    <w:unhideWhenUsed/>
    <w:rsid w:val="00145259"/>
    <w:pPr>
      <w:spacing w:after="100"/>
      <w:ind w:left="240"/>
    </w:pPr>
  </w:style>
  <w:style w:type="character" w:styleId="UnresolvedMention">
    <w:name w:val="Unresolved Mention"/>
    <w:basedOn w:val="DefaultParagraphFont"/>
    <w:uiPriority w:val="99"/>
    <w:semiHidden/>
    <w:unhideWhenUsed/>
    <w:rsid w:val="003A2593"/>
    <w:rPr>
      <w:color w:val="605E5C"/>
      <w:shd w:val="clear" w:color="auto" w:fill="E1DFDD"/>
    </w:rPr>
  </w:style>
  <w:style w:type="character" w:styleId="FollowedHyperlink">
    <w:name w:val="FollowedHyperlink"/>
    <w:basedOn w:val="DefaultParagraphFont"/>
    <w:uiPriority w:val="99"/>
    <w:semiHidden/>
    <w:unhideWhenUsed/>
    <w:rsid w:val="003A25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1007/s10639-022-11294-z" TargetMode="External"/><Relationship Id="rId18" Type="http://schemas.openxmlformats.org/officeDocument/2006/relationships/hyperlink" Target="https://www.grandviewresearch.com/industry-analysis/education-technology-market" TargetMode="External"/><Relationship Id="rId26" Type="http://schemas.openxmlformats.org/officeDocument/2006/relationships/hyperlink" Target="https://doi.org/10.3390/su17094124" TargetMode="External"/><Relationship Id="rId3" Type="http://schemas.openxmlformats.org/officeDocument/2006/relationships/settings" Target="settings.xml"/><Relationship Id="rId21" Type="http://schemas.openxmlformats.org/officeDocument/2006/relationships/hyperlink" Target="https://doi.org/10.1186/s40561-023-00288-0"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sustainability.google" TargetMode="External"/><Relationship Id="rId25" Type="http://schemas.openxmlformats.org/officeDocument/2006/relationships/hyperlink" Target="https://www.statista.com/outlook/amo/ar-vr/worldwide/" TargetMode="External"/><Relationship Id="rId2" Type="http://schemas.openxmlformats.org/officeDocument/2006/relationships/styles" Target="styles.xml"/><Relationship Id="rId16" Type="http://schemas.openxmlformats.org/officeDocument/2006/relationships/hyperlink" Target="https://doi.org/10.1007/s10055-019-00379-9" TargetMode="External"/><Relationship Id="rId20" Type="http://schemas.openxmlformats.org/officeDocument/2006/relationships/hyperlink" Target="https://gnindia.dronacharya.info/MBA/1stSem/Downloads/MarketingManagement/Books/Marketing-Management-text-book-1.pdf"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doi.org/10.3389/feduc.2024.1458695" TargetMode="External"/><Relationship Id="rId5" Type="http://schemas.openxmlformats.org/officeDocument/2006/relationships/footnotes" Target="footnotes.xml"/><Relationship Id="rId15" Type="http://schemas.openxmlformats.org/officeDocument/2006/relationships/hyperlink" Target="https://doi.org/10.1016/j.jbusres.2024.114674" TargetMode="External"/><Relationship Id="rId23" Type="http://schemas.openxmlformats.org/officeDocument/2006/relationships/hyperlink" Target="https://doi.org/10.1016/j.jretconser.2023.103566" TargetMode="External"/><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s://www.idc.com/promo/arvr/"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3390/jtaer20040260" TargetMode="External"/><Relationship Id="rId22" Type="http://schemas.openxmlformats.org/officeDocument/2006/relationships/hyperlink" Target="https://doi.org/10.1080/10496491.2025.2484712" TargetMode="External"/><Relationship Id="rId27" Type="http://schemas.openxmlformats.org/officeDocument/2006/relationships/hyperlink" Target="https://doi.org/10.3390/bs1503037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18</Pages>
  <Words>4235</Words>
  <Characters>24144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ronak devani</cp:lastModifiedBy>
  <cp:revision>11</cp:revision>
  <dcterms:created xsi:type="dcterms:W3CDTF">2026-03-31T17:58:00Z</dcterms:created>
  <dcterms:modified xsi:type="dcterms:W3CDTF">2026-05-01T06:59:00Z</dcterms:modified>
</cp:coreProperties>
</file>