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diagrams/drawing1.xml" ContentType="application/vnd.ms-office.drawingml.diagramDrawing+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numbering.xml" ContentType="application/vnd.openxmlformats-officedocument.wordprocessingml.numbering+xml"/>
  <Override PartName="/word/diagrams/data1.xml" ContentType="application/vnd.openxmlformats-officedocument.drawingml.diagramData+xml"/>
  <Override PartName="/word/diagrams/colors1.xml" ContentType="application/vnd.openxmlformats-officedocument.drawingml.diagramColors+xml"/>
  <Override PartName="/word/settings.xml" ContentType="application/vnd.openxmlformats-officedocument.wordprocessingml.settings+xml"/>
  <Override PartName="/docProps/custom.xml" ContentType="application/vnd.openxmlformats-officedocument.custom-properties+xml"/>
  <Override PartName="/word/diagrams/layout1.xml" ContentType="application/vnd.openxmlformats-officedocument.drawingml.diagramLayout+xml"/>
  <Override PartName="/word/document.xml" ContentType="application/vnd.openxmlformats-officedocument.wordprocessingml.document.main+xml"/>
  <Override PartName="/customXml/itemProps1.xml" ContentType="application/vnd.openxmlformats-officedocument.customXmlProperties+xml"/>
  <Override PartName="/word/diagrams/quickStyle1.xml" ContentType="application/vnd.openxmlformats-officedocument.drawingml.diagramStyle+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spacing w:before="280" w:after="240" w:lineRule="auto" w:line="360"/>
        <w:jc w:val="center"/>
        <w:rPr/>
      </w:pPr>
    </w:p>
    <w:p>
      <w:pPr>
        <w:spacing w:before="280" w:after="240" w:lineRule="auto" w:line="360"/>
        <w:jc w:val="center"/>
        <w:rPr/>
      </w:pPr>
    </w:p>
    <w:p>
      <w:pPr>
        <w:spacing w:before="280" w:after="240" w:lineRule="auto" w:line="360"/>
        <w:jc w:val="center"/>
        <w:rPr/>
      </w:pPr>
      <w:r>
        <w:rPr>
          <w:rFonts w:ascii="Arial" w:cs="Arial" w:eastAsia="Arial" w:hAnsi="Arial"/>
          <w:b/>
          <w:bCs/>
          <w:i w:val="false"/>
          <w:iCs w:val="false"/>
          <w:noProof/>
          <w:color w:val="auto"/>
          <w:kern w:val="0"/>
          <w:sz w:val="30"/>
          <w:szCs w:val="30"/>
          <w:highlight w:val="none"/>
          <w:vertAlign w:val="baseline"/>
          <w:em w:val="none"/>
          <w:lang w:val="en-IN" w:bidi="ar-SA" w:eastAsia="en-IN"/>
        </w:rPr>
        <w:drawing>
          <wp:inline distL="0" distT="0" distB="0" distR="0">
            <wp:extent cx="1958467" cy="1028827"/>
            <wp:effectExtent l="0" t="0" r="0" b="0"/>
            <wp:docPr id="1029"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Image"/>
                    <pic:cNvPicPr/>
                  </pic:nvPicPr>
                  <pic:blipFill>
                    <a:blip r:embed="rId2" cstate="print"/>
                    <a:srcRect l="0" t="0" r="0" b="0"/>
                    <a:stretch/>
                  </pic:blipFill>
                  <pic:spPr>
                    <a:xfrm rot="0">
                      <a:off x="0" y="0"/>
                      <a:ext cx="1958467" cy="1028827"/>
                    </a:xfrm>
                    <a:prstGeom prst="rect"/>
                  </pic:spPr>
                </pic:pic>
              </a:graphicData>
            </a:graphic>
          </wp:inline>
        </w:drawing>
      </w:r>
    </w:p>
    <w:p>
      <w:pPr>
        <w:spacing w:before="280" w:after="240" w:lineRule="auto" w:line="360"/>
        <w:jc w:val="center"/>
        <w:rPr/>
      </w:pPr>
      <w:r>
        <w:rPr>
          <w:rFonts w:ascii="Arial" w:cs="Arial" w:eastAsia="Arial" w:hAnsi="Arial" w:hint="default"/>
          <w:b/>
          <w:bCs/>
          <w:i w:val="false"/>
          <w:iCs w:val="false"/>
          <w:color w:val="auto"/>
          <w:kern w:val="0"/>
          <w:sz w:val="30"/>
          <w:szCs w:val="30"/>
          <w:highlight w:val="none"/>
          <w:vertAlign w:val="baseline"/>
          <w:em w:val="none"/>
          <w:lang w:val="en-IN" w:bidi="ar-SA" w:eastAsia="en-IN"/>
        </w:rPr>
        <w:t>Student</w:t>
      </w:r>
      <w:r>
        <w:rPr>
          <w:rFonts w:ascii="Arial" w:cs="Arial" w:eastAsia="Arial" w:hAnsi="Arial" w:hint="default"/>
          <w:b/>
          <w:bCs/>
          <w:i w:val="false"/>
          <w:iCs w:val="false"/>
          <w:color w:val="auto"/>
          <w:kern w:val="0"/>
          <w:sz w:val="30"/>
          <w:szCs w:val="30"/>
          <w:highlight w:val="none"/>
          <w:vertAlign w:val="baseline"/>
          <w:em w:val="none"/>
          <w:lang w:val="en-IN" w:bidi="ar-SA" w:eastAsia="en-IN"/>
        </w:rPr>
        <w:t xml:space="preserve"> </w:t>
      </w:r>
      <w:r>
        <w:rPr>
          <w:rFonts w:ascii="Arial" w:cs="Arial" w:eastAsia="Arial" w:hAnsi="Arial" w:hint="default"/>
          <w:b/>
          <w:bCs/>
          <w:i w:val="false"/>
          <w:iCs w:val="false"/>
          <w:color w:val="auto"/>
          <w:kern w:val="0"/>
          <w:sz w:val="30"/>
          <w:szCs w:val="30"/>
          <w:highlight w:val="none"/>
          <w:vertAlign w:val="baseline"/>
          <w:em w:val="none"/>
          <w:lang w:val="en-IN" w:bidi="ar-SA" w:eastAsia="en-IN"/>
        </w:rPr>
        <w:t>Name:</w:t>
      </w:r>
      <w:r>
        <w:rPr>
          <w:rFonts w:ascii="Arial" w:cs="Arial" w:eastAsia="Arial" w:hAnsi="Arial" w:hint="default"/>
          <w:b/>
          <w:bCs/>
          <w:i w:val="false"/>
          <w:iCs w:val="false"/>
          <w:color w:val="auto"/>
          <w:kern w:val="0"/>
          <w:sz w:val="30"/>
          <w:szCs w:val="30"/>
          <w:highlight w:val="none"/>
          <w:vertAlign w:val="baseline"/>
          <w:em w:val="none"/>
          <w:lang w:val="en-IN" w:bidi="ar-SA" w:eastAsia="en-IN"/>
        </w:rPr>
        <w:t xml:space="preserve"> </w:t>
      </w:r>
      <w:r>
        <w:rPr>
          <w:rFonts w:ascii="Arial" w:cs="Arial" w:eastAsia="Arial" w:hAnsi="Arial" w:hint="default"/>
          <w:b/>
          <w:bCs/>
          <w:i w:val="false"/>
          <w:iCs w:val="false"/>
          <w:color w:val="auto"/>
          <w:kern w:val="0"/>
          <w:sz w:val="30"/>
          <w:szCs w:val="30"/>
          <w:highlight w:val="none"/>
          <w:vertAlign w:val="baseline"/>
          <w:em w:val="none"/>
          <w:lang w:val="en-IN" w:bidi="ar-SA" w:eastAsia="en-IN"/>
        </w:rPr>
        <w:t>Krishna</w:t>
      </w:r>
      <w:r>
        <w:rPr>
          <w:rFonts w:ascii="Arial" w:cs="Arial" w:eastAsia="Arial" w:hAnsi="Arial" w:hint="default"/>
          <w:b/>
          <w:bCs/>
          <w:i w:val="false"/>
          <w:iCs w:val="false"/>
          <w:color w:val="auto"/>
          <w:kern w:val="0"/>
          <w:sz w:val="30"/>
          <w:szCs w:val="30"/>
          <w:highlight w:val="none"/>
          <w:vertAlign w:val="baseline"/>
          <w:em w:val="none"/>
          <w:lang w:val="en-IN" w:bidi="ar-SA" w:eastAsia="en-IN"/>
        </w:rPr>
        <w:t xml:space="preserve"> </w:t>
      </w:r>
      <w:r>
        <w:rPr>
          <w:rFonts w:ascii="Arial" w:cs="Arial" w:eastAsia="Arial" w:hAnsi="Arial" w:hint="default"/>
          <w:b/>
          <w:bCs/>
          <w:i w:val="false"/>
          <w:iCs w:val="false"/>
          <w:color w:val="auto"/>
          <w:kern w:val="0"/>
          <w:sz w:val="30"/>
          <w:szCs w:val="30"/>
          <w:highlight w:val="none"/>
          <w:vertAlign w:val="baseline"/>
          <w:em w:val="none"/>
          <w:lang w:val="en-IN" w:bidi="ar-SA" w:eastAsia="en-IN"/>
        </w:rPr>
        <w:t>Oghad</w:t>
      </w:r>
      <w:r>
        <w:rPr>
          <w:rFonts w:ascii="Arial" w:cs="Arial" w:eastAsia="Arial" w:hAnsi="Arial" w:hint="default"/>
          <w:b/>
          <w:bCs/>
          <w:i w:val="false"/>
          <w:iCs w:val="false"/>
          <w:color w:val="auto"/>
          <w:kern w:val="0"/>
          <w:sz w:val="30"/>
          <w:szCs w:val="30"/>
          <w:highlight w:val="none"/>
          <w:vertAlign w:val="baseline"/>
          <w:em w:val="none"/>
          <w:lang w:val="en-IN" w:bidi="ar-SA" w:eastAsia="en-IN"/>
        </w:rPr>
        <w:t xml:space="preserve"> </w:t>
      </w:r>
      <w:r>
        <w:rPr>
          <w:rFonts w:ascii="Arial" w:cs="Arial" w:eastAsia="Arial" w:hAnsi="Arial" w:hint="default"/>
          <w:b/>
          <w:bCs/>
          <w:i w:val="false"/>
          <w:iCs w:val="false"/>
          <w:color w:val="auto"/>
          <w:kern w:val="0"/>
          <w:sz w:val="30"/>
          <w:szCs w:val="30"/>
          <w:highlight w:val="none"/>
          <w:vertAlign w:val="baseline"/>
          <w:em w:val="none"/>
          <w:lang w:val="en-IN" w:bidi="ar-SA" w:eastAsia="en-IN"/>
        </w:rPr>
        <w:t>Modhavadiya</w:t>
      </w:r>
    </w:p>
    <w:p>
      <w:pPr>
        <w:spacing w:before="280" w:after="240" w:lineRule="auto" w:line="360"/>
        <w:jc w:val="center"/>
        <w:rPr/>
      </w:pPr>
      <w:r>
        <w:rPr>
          <w:rFonts w:ascii="Arial" w:cs="Arial" w:eastAsia="Arial" w:hAnsi="Arial" w:hint="default"/>
          <w:b/>
          <w:bCs/>
          <w:i w:val="false"/>
          <w:iCs w:val="false"/>
          <w:color w:val="auto"/>
          <w:kern w:val="0"/>
          <w:sz w:val="30"/>
          <w:szCs w:val="30"/>
          <w:highlight w:val="none"/>
          <w:vertAlign w:val="baseline"/>
          <w:em w:val="none"/>
          <w:lang w:val="en-IN" w:bidi="ar-SA" w:eastAsia="en-IN"/>
        </w:rPr>
        <w:t>Student</w:t>
      </w:r>
      <w:r>
        <w:rPr>
          <w:rFonts w:ascii="Arial" w:cs="Arial" w:eastAsia="Arial" w:hAnsi="Arial" w:hint="default"/>
          <w:b/>
          <w:bCs/>
          <w:i w:val="false"/>
          <w:iCs w:val="false"/>
          <w:color w:val="auto"/>
          <w:kern w:val="0"/>
          <w:sz w:val="30"/>
          <w:szCs w:val="30"/>
          <w:highlight w:val="none"/>
          <w:vertAlign w:val="baseline"/>
          <w:em w:val="none"/>
          <w:lang w:val="en-IN" w:bidi="ar-SA" w:eastAsia="en-IN"/>
        </w:rPr>
        <w:t xml:space="preserve"> </w:t>
      </w:r>
      <w:r>
        <w:rPr>
          <w:rFonts w:ascii="Arial" w:cs="Arial" w:eastAsia="Arial" w:hAnsi="Arial" w:hint="default"/>
          <w:b/>
          <w:bCs/>
          <w:i w:val="false"/>
          <w:iCs w:val="false"/>
          <w:color w:val="auto"/>
          <w:kern w:val="0"/>
          <w:sz w:val="30"/>
          <w:szCs w:val="30"/>
          <w:highlight w:val="none"/>
          <w:vertAlign w:val="baseline"/>
          <w:em w:val="none"/>
          <w:lang w:val="en-IN" w:bidi="ar-SA" w:eastAsia="en-IN"/>
        </w:rPr>
        <w:t>ID:</w:t>
      </w:r>
      <w:r>
        <w:rPr>
          <w:rFonts w:ascii="Arial" w:cs="Arial" w:eastAsia="Arial" w:hAnsi="Arial" w:hint="default"/>
          <w:b/>
          <w:bCs/>
          <w:i w:val="false"/>
          <w:iCs w:val="false"/>
          <w:color w:val="auto"/>
          <w:kern w:val="0"/>
          <w:sz w:val="30"/>
          <w:szCs w:val="30"/>
          <w:highlight w:val="none"/>
          <w:vertAlign w:val="baseline"/>
          <w:em w:val="none"/>
          <w:lang w:val="en-IN" w:bidi="ar-SA" w:eastAsia="en-IN"/>
        </w:rPr>
        <w:t xml:space="preserve"> </w:t>
      </w:r>
      <w:r>
        <w:rPr>
          <w:rFonts w:ascii="Arial" w:cs="Arial" w:eastAsia="Arial" w:hAnsi="Arial" w:hint="default"/>
          <w:b/>
          <w:bCs/>
          <w:i w:val="false"/>
          <w:iCs w:val="false"/>
          <w:color w:val="auto"/>
          <w:kern w:val="0"/>
          <w:sz w:val="30"/>
          <w:szCs w:val="30"/>
          <w:highlight w:val="none"/>
          <w:vertAlign w:val="baseline"/>
          <w:em w:val="none"/>
          <w:lang w:val="en-IN" w:bidi="ar-SA" w:eastAsia="en-IN"/>
        </w:rPr>
        <w:t>25</w:t>
      </w:r>
      <w:r>
        <w:rPr>
          <w:rFonts w:ascii="Arial" w:cs="Arial" w:eastAsia="Arial" w:hAnsi="Arial" w:hint="default"/>
          <w:b/>
          <w:bCs/>
          <w:i w:val="false"/>
          <w:iCs w:val="false"/>
          <w:color w:val="auto"/>
          <w:kern w:val="0"/>
          <w:sz w:val="30"/>
          <w:szCs w:val="30"/>
          <w:highlight w:val="none"/>
          <w:vertAlign w:val="baseline"/>
          <w:em w:val="none"/>
          <w:lang w:val="en-IN" w:bidi="ar-SA" w:eastAsia="en-IN"/>
        </w:rPr>
        <w:t>32584</w:t>
      </w:r>
    </w:p>
    <w:p>
      <w:pPr>
        <w:spacing w:before="280" w:after="240" w:lineRule="auto" w:line="360"/>
        <w:jc w:val="center"/>
        <w:rPr/>
      </w:pPr>
      <w:r>
        <w:rPr>
          <w:rFonts w:ascii="Arial" w:cs="Arial" w:eastAsia="Arial" w:hAnsi="Arial" w:hint="default"/>
          <w:b/>
          <w:bCs/>
          <w:i w:val="false"/>
          <w:iCs w:val="false"/>
          <w:color w:val="auto"/>
          <w:kern w:val="0"/>
          <w:sz w:val="30"/>
          <w:szCs w:val="30"/>
          <w:highlight w:val="none"/>
          <w:vertAlign w:val="baseline"/>
          <w:em w:val="none"/>
          <w:lang w:val="en-IN" w:bidi="ar-SA" w:eastAsia="en-IN"/>
        </w:rPr>
        <w:t>Module</w:t>
      </w:r>
      <w:r>
        <w:rPr>
          <w:rFonts w:ascii="Arial" w:cs="Arial" w:eastAsia="Arial" w:hAnsi="Arial" w:hint="default"/>
          <w:b/>
          <w:bCs/>
          <w:i w:val="false"/>
          <w:iCs w:val="false"/>
          <w:color w:val="auto"/>
          <w:kern w:val="0"/>
          <w:sz w:val="30"/>
          <w:szCs w:val="30"/>
          <w:highlight w:val="none"/>
          <w:vertAlign w:val="baseline"/>
          <w:em w:val="none"/>
          <w:lang w:val="en-IN" w:bidi="ar-SA" w:eastAsia="en-IN"/>
        </w:rPr>
        <w:t xml:space="preserve"> </w:t>
      </w:r>
      <w:r>
        <w:rPr>
          <w:rFonts w:ascii="Arial" w:cs="Arial" w:eastAsia="Arial" w:hAnsi="Arial" w:hint="default"/>
          <w:b/>
          <w:bCs/>
          <w:i w:val="false"/>
          <w:iCs w:val="false"/>
          <w:color w:val="auto"/>
          <w:kern w:val="0"/>
          <w:sz w:val="30"/>
          <w:szCs w:val="30"/>
          <w:highlight w:val="none"/>
          <w:vertAlign w:val="baseline"/>
          <w:em w:val="none"/>
          <w:lang w:val="en-IN" w:bidi="ar-SA" w:eastAsia="en-IN"/>
        </w:rPr>
        <w:t>Name:</w:t>
      </w:r>
      <w:r>
        <w:rPr>
          <w:rFonts w:ascii="Arial" w:cs="Arial" w:eastAsia="Arial" w:hAnsi="Arial" w:hint="default"/>
          <w:b/>
          <w:bCs/>
          <w:i w:val="false"/>
          <w:iCs w:val="false"/>
          <w:color w:val="auto"/>
          <w:kern w:val="0"/>
          <w:sz w:val="30"/>
          <w:szCs w:val="30"/>
          <w:highlight w:val="none"/>
          <w:vertAlign w:val="baseline"/>
          <w:em w:val="none"/>
          <w:lang w:val="en-IN" w:bidi="ar-SA" w:eastAsia="en-IN"/>
        </w:rPr>
        <w:t xml:space="preserve"> </w:t>
      </w:r>
      <w:r>
        <w:rPr>
          <w:rFonts w:ascii="Arial" w:cs="Arial" w:eastAsia="Arial" w:hAnsi="Arial" w:hint="default"/>
          <w:b/>
          <w:bCs/>
          <w:i w:val="false"/>
          <w:iCs w:val="false"/>
          <w:color w:val="auto"/>
          <w:kern w:val="0"/>
          <w:sz w:val="30"/>
          <w:szCs w:val="30"/>
          <w:highlight w:val="none"/>
          <w:vertAlign w:val="baseline"/>
          <w:em w:val="none"/>
          <w:lang w:val="en-IN" w:bidi="ar-SA" w:eastAsia="en-IN"/>
        </w:rPr>
        <w:t>Strategic</w:t>
      </w:r>
      <w:r>
        <w:rPr>
          <w:rFonts w:ascii="Arial" w:cs="Arial" w:eastAsia="Arial" w:hAnsi="Arial" w:hint="default"/>
          <w:b/>
          <w:bCs/>
          <w:i w:val="false"/>
          <w:iCs w:val="false"/>
          <w:color w:val="auto"/>
          <w:kern w:val="0"/>
          <w:sz w:val="30"/>
          <w:szCs w:val="30"/>
          <w:highlight w:val="none"/>
          <w:vertAlign w:val="baseline"/>
          <w:em w:val="none"/>
          <w:lang w:val="en-IN" w:bidi="ar-SA" w:eastAsia="en-IN"/>
        </w:rPr>
        <w:t xml:space="preserve"> </w:t>
      </w:r>
      <w:r>
        <w:rPr>
          <w:rFonts w:ascii="Arial" w:cs="Arial" w:eastAsia="Arial" w:hAnsi="Arial" w:hint="default"/>
          <w:b/>
          <w:bCs/>
          <w:i w:val="false"/>
          <w:iCs w:val="false"/>
          <w:color w:val="auto"/>
          <w:kern w:val="0"/>
          <w:sz w:val="30"/>
          <w:szCs w:val="30"/>
          <w:highlight w:val="none"/>
          <w:vertAlign w:val="baseline"/>
          <w:em w:val="none"/>
          <w:lang w:val="en-IN" w:bidi="ar-SA" w:eastAsia="en-IN"/>
        </w:rPr>
        <w:t>Management</w:t>
      </w:r>
      <w:r>
        <w:rPr>
          <w:rFonts w:ascii="Arial" w:cs="Arial" w:eastAsia="Arial" w:hAnsi="Arial" w:hint="default"/>
          <w:b/>
          <w:bCs/>
          <w:i w:val="false"/>
          <w:iCs w:val="false"/>
          <w:color w:val="auto"/>
          <w:kern w:val="0"/>
          <w:sz w:val="30"/>
          <w:szCs w:val="30"/>
          <w:highlight w:val="none"/>
          <w:vertAlign w:val="baseline"/>
          <w:em w:val="none"/>
          <w:lang w:val="en-IN" w:bidi="ar-SA" w:eastAsia="en-IN"/>
        </w:rPr>
        <w:t xml:space="preserve"> </w:t>
      </w:r>
      <w:r>
        <w:rPr>
          <w:rFonts w:ascii="Arial" w:cs="Arial" w:eastAsia="Arial" w:hAnsi="Arial" w:hint="default"/>
          <w:b/>
          <w:bCs/>
          <w:i w:val="false"/>
          <w:iCs w:val="false"/>
          <w:color w:val="auto"/>
          <w:kern w:val="0"/>
          <w:sz w:val="30"/>
          <w:szCs w:val="30"/>
          <w:highlight w:val="none"/>
          <w:vertAlign w:val="baseline"/>
          <w:em w:val="none"/>
          <w:lang w:val="en-IN" w:bidi="ar-SA" w:eastAsia="en-IN"/>
        </w:rPr>
        <w:t>(LCMB7003)</w:t>
      </w:r>
    </w:p>
    <w:p>
      <w:pPr>
        <w:spacing w:before="280" w:after="240" w:lineRule="auto" w:line="360"/>
        <w:jc w:val="center"/>
        <w:rPr/>
      </w:pPr>
      <w:r>
        <w:rPr>
          <w:rFonts w:ascii="Arial" w:cs="Arial" w:eastAsia="Arial" w:hAnsi="Arial" w:hint="default"/>
          <w:b/>
          <w:bCs/>
          <w:i w:val="false"/>
          <w:iCs w:val="false"/>
          <w:color w:val="auto"/>
          <w:kern w:val="0"/>
          <w:sz w:val="30"/>
          <w:szCs w:val="30"/>
          <w:highlight w:val="none"/>
          <w:vertAlign w:val="baseline"/>
          <w:em w:val="none"/>
          <w:lang w:val="en-IN" w:bidi="ar-SA" w:eastAsia="en-IN"/>
        </w:rPr>
        <w:t>Lecturer</w:t>
      </w:r>
      <w:r>
        <w:rPr>
          <w:rFonts w:ascii="Arial" w:cs="Arial" w:eastAsia="Arial" w:hAnsi="Arial" w:hint="default"/>
          <w:b/>
          <w:bCs/>
          <w:i w:val="false"/>
          <w:iCs w:val="false"/>
          <w:color w:val="auto"/>
          <w:kern w:val="0"/>
          <w:sz w:val="30"/>
          <w:szCs w:val="30"/>
          <w:highlight w:val="none"/>
          <w:vertAlign w:val="baseline"/>
          <w:em w:val="none"/>
          <w:lang w:val="en-IN" w:bidi="ar-SA" w:eastAsia="en-IN"/>
        </w:rPr>
        <w:t xml:space="preserve"> </w:t>
      </w:r>
      <w:r>
        <w:rPr>
          <w:rFonts w:ascii="Arial" w:cs="Arial" w:eastAsia="Arial" w:hAnsi="Arial" w:hint="default"/>
          <w:b/>
          <w:bCs/>
          <w:i w:val="false"/>
          <w:iCs w:val="false"/>
          <w:color w:val="auto"/>
          <w:kern w:val="0"/>
          <w:sz w:val="30"/>
          <w:szCs w:val="30"/>
          <w:highlight w:val="none"/>
          <w:vertAlign w:val="baseline"/>
          <w:em w:val="none"/>
          <w:lang w:val="en-IN" w:bidi="ar-SA" w:eastAsia="en-IN"/>
        </w:rPr>
        <w:t>Name:</w:t>
      </w:r>
      <w:r>
        <w:rPr>
          <w:rFonts w:ascii="Arial" w:cs="Arial" w:eastAsia="Arial" w:hAnsi="Arial" w:hint="default"/>
          <w:b/>
          <w:bCs/>
          <w:i w:val="false"/>
          <w:iCs w:val="false"/>
          <w:color w:val="auto"/>
          <w:kern w:val="0"/>
          <w:sz w:val="30"/>
          <w:szCs w:val="30"/>
          <w:highlight w:val="none"/>
          <w:vertAlign w:val="baseline"/>
          <w:em w:val="none"/>
          <w:lang w:val="en-IN" w:bidi="ar-SA" w:eastAsia="en-IN"/>
        </w:rPr>
        <w:t xml:space="preserve"> </w:t>
      </w:r>
      <w:r>
        <w:rPr>
          <w:rFonts w:ascii="Arial" w:cs="Arial" w:eastAsia="Arial" w:hAnsi="Arial" w:hint="default"/>
          <w:b/>
          <w:bCs/>
          <w:i w:val="false"/>
          <w:iCs w:val="false"/>
          <w:color w:val="auto"/>
          <w:kern w:val="0"/>
          <w:sz w:val="30"/>
          <w:szCs w:val="30"/>
          <w:highlight w:val="none"/>
          <w:vertAlign w:val="baseline"/>
          <w:em w:val="none"/>
          <w:lang w:val="en-IN" w:bidi="ar-SA" w:eastAsia="en-IN"/>
        </w:rPr>
        <w:t>Hoang</w:t>
      </w:r>
      <w:r>
        <w:rPr>
          <w:rFonts w:ascii="Arial" w:cs="Arial" w:eastAsia="Arial" w:hAnsi="Arial" w:hint="default"/>
          <w:b/>
          <w:bCs/>
          <w:i w:val="false"/>
          <w:iCs w:val="false"/>
          <w:color w:val="auto"/>
          <w:kern w:val="0"/>
          <w:sz w:val="30"/>
          <w:szCs w:val="30"/>
          <w:highlight w:val="none"/>
          <w:vertAlign w:val="baseline"/>
          <w:em w:val="none"/>
          <w:lang w:val="en-IN" w:bidi="ar-SA" w:eastAsia="en-IN"/>
        </w:rPr>
        <w:t xml:space="preserve"> </w:t>
      </w:r>
      <w:r>
        <w:rPr>
          <w:rFonts w:ascii="Arial" w:cs="Arial" w:eastAsia="Arial" w:hAnsi="Arial" w:hint="default"/>
          <w:b/>
          <w:bCs/>
          <w:i w:val="false"/>
          <w:iCs w:val="false"/>
          <w:color w:val="auto"/>
          <w:kern w:val="0"/>
          <w:sz w:val="30"/>
          <w:szCs w:val="30"/>
          <w:highlight w:val="none"/>
          <w:vertAlign w:val="baseline"/>
          <w:em w:val="none"/>
          <w:lang w:val="en-IN" w:bidi="ar-SA" w:eastAsia="en-IN"/>
        </w:rPr>
        <w:t>Nguyen</w:t>
      </w:r>
    </w:p>
    <w:p>
      <w:pPr>
        <w:spacing w:before="280" w:after="240" w:lineRule="auto" w:line="360"/>
        <w:jc w:val="center"/>
        <w:rPr/>
      </w:pPr>
      <w:r>
        <w:rPr>
          <w:rFonts w:ascii="Arial" w:cs="Arial" w:eastAsia="Arial" w:hAnsi="Arial" w:hint="default"/>
          <w:b/>
          <w:bCs/>
          <w:i w:val="false"/>
          <w:iCs w:val="false"/>
          <w:color w:val="auto"/>
          <w:kern w:val="0"/>
          <w:sz w:val="30"/>
          <w:szCs w:val="30"/>
          <w:highlight w:val="none"/>
          <w:vertAlign w:val="baseline"/>
          <w:em w:val="none"/>
          <w:lang w:val="en-IN" w:bidi="ar-SA" w:eastAsia="en-IN"/>
        </w:rPr>
        <w:t>Word</w:t>
      </w:r>
      <w:r>
        <w:rPr>
          <w:rFonts w:ascii="Arial" w:cs="Arial" w:eastAsia="Arial" w:hAnsi="Arial" w:hint="default"/>
          <w:b/>
          <w:bCs/>
          <w:i w:val="false"/>
          <w:iCs w:val="false"/>
          <w:color w:val="auto"/>
          <w:kern w:val="0"/>
          <w:sz w:val="30"/>
          <w:szCs w:val="30"/>
          <w:highlight w:val="none"/>
          <w:vertAlign w:val="baseline"/>
          <w:em w:val="none"/>
          <w:lang w:val="en-IN" w:bidi="ar-SA" w:eastAsia="en-IN"/>
        </w:rPr>
        <w:t xml:space="preserve"> </w:t>
      </w:r>
      <w:r>
        <w:rPr>
          <w:rFonts w:ascii="Arial" w:cs="Arial" w:eastAsia="Arial" w:hAnsi="Arial" w:hint="default"/>
          <w:b/>
          <w:bCs/>
          <w:i w:val="false"/>
          <w:iCs w:val="false"/>
          <w:color w:val="auto"/>
          <w:kern w:val="0"/>
          <w:sz w:val="30"/>
          <w:szCs w:val="30"/>
          <w:highlight w:val="none"/>
          <w:vertAlign w:val="baseline"/>
          <w:em w:val="none"/>
          <w:lang w:val="en-IN" w:bidi="ar-SA" w:eastAsia="en-IN"/>
        </w:rPr>
        <w:t>Count:</w:t>
      </w:r>
      <w:r>
        <w:rPr>
          <w:rFonts w:ascii="Arial" w:cs="Arial" w:eastAsia="Arial" w:hAnsi="Arial" w:hint="default"/>
          <w:b/>
          <w:bCs/>
          <w:i w:val="false"/>
          <w:iCs w:val="false"/>
          <w:color w:val="auto"/>
          <w:kern w:val="0"/>
          <w:sz w:val="30"/>
          <w:szCs w:val="30"/>
          <w:highlight w:val="none"/>
          <w:vertAlign w:val="baseline"/>
          <w:em w:val="none"/>
          <w:lang w:val="en-IN" w:bidi="ar-SA" w:eastAsia="en-IN"/>
        </w:rPr>
        <w:t xml:space="preserve"> </w:t>
      </w:r>
      <w:r>
        <w:rPr>
          <w:rFonts w:ascii="Arial" w:cs="Arial" w:eastAsia="Arial" w:hAnsi="Arial" w:hint="default"/>
          <w:b/>
          <w:bCs/>
          <w:i w:val="false"/>
          <w:iCs w:val="false"/>
          <w:color w:val="auto"/>
          <w:kern w:val="0"/>
          <w:sz w:val="30"/>
          <w:szCs w:val="30"/>
          <w:highlight w:val="none"/>
          <w:vertAlign w:val="baseline"/>
          <w:em w:val="none"/>
          <w:lang w:val="en-IN" w:bidi="ar-SA" w:eastAsia="en-IN"/>
        </w:rPr>
        <w:t>5089</w:t>
      </w:r>
    </w:p>
    <w:p>
      <w:pPr>
        <w:spacing w:after="80" w:lineRule="auto" w:line="360"/>
        <w:jc w:val="center"/>
        <w:rPr/>
      </w:pPr>
      <w:r>
        <w:rPr>
          <w:rFonts w:ascii="Arial" w:cs="Arial" w:eastAsia="Arial" w:hAnsi="Arial" w:hint="default"/>
          <w:b/>
          <w:bCs/>
          <w:i w:val="false"/>
          <w:iCs w:val="false"/>
          <w:color w:val="auto"/>
          <w:kern w:val="0"/>
          <w:sz w:val="30"/>
          <w:szCs w:val="30"/>
          <w:highlight w:val="none"/>
          <w:vertAlign w:val="baseline"/>
          <w:em w:val="none"/>
          <w:lang w:val="en-IN" w:bidi="ar-SA" w:eastAsia="en-IN"/>
        </w:rPr>
        <w:t>Submission</w:t>
      </w:r>
      <w:r>
        <w:rPr>
          <w:rFonts w:ascii="Arial" w:cs="Arial" w:eastAsia="Arial" w:hAnsi="Arial" w:hint="default"/>
          <w:b/>
          <w:bCs/>
          <w:i w:val="false"/>
          <w:iCs w:val="false"/>
          <w:color w:val="auto"/>
          <w:kern w:val="0"/>
          <w:sz w:val="30"/>
          <w:szCs w:val="30"/>
          <w:highlight w:val="none"/>
          <w:vertAlign w:val="baseline"/>
          <w:em w:val="none"/>
          <w:lang w:val="en-IN" w:bidi="ar-SA" w:eastAsia="en-IN"/>
        </w:rPr>
        <w:t xml:space="preserve"> </w:t>
      </w:r>
      <w:r>
        <w:rPr>
          <w:rFonts w:ascii="Arial" w:cs="Arial" w:eastAsia="Arial" w:hAnsi="Arial" w:hint="default"/>
          <w:b/>
          <w:bCs/>
          <w:i w:val="false"/>
          <w:iCs w:val="false"/>
          <w:color w:val="auto"/>
          <w:kern w:val="0"/>
          <w:sz w:val="30"/>
          <w:szCs w:val="30"/>
          <w:highlight w:val="none"/>
          <w:vertAlign w:val="baseline"/>
          <w:em w:val="none"/>
          <w:lang w:val="en-IN" w:bidi="ar-SA" w:eastAsia="en-IN"/>
        </w:rPr>
        <w:t>Deadline:</w:t>
      </w:r>
      <w:r>
        <w:rPr>
          <w:rFonts w:ascii="Arial" w:cs="Arial" w:eastAsia="Arial" w:hAnsi="Arial" w:hint="default"/>
          <w:b/>
          <w:bCs/>
          <w:i w:val="false"/>
          <w:iCs w:val="false"/>
          <w:color w:val="auto"/>
          <w:kern w:val="0"/>
          <w:sz w:val="30"/>
          <w:szCs w:val="30"/>
          <w:highlight w:val="none"/>
          <w:vertAlign w:val="baseline"/>
          <w:em w:val="none"/>
          <w:lang w:val="en-IN" w:bidi="ar-SA" w:eastAsia="en-IN"/>
        </w:rPr>
        <w:t xml:space="preserve"> </w:t>
      </w:r>
      <w:r>
        <w:rPr>
          <w:rFonts w:ascii="Arial" w:cs="Arial" w:eastAsia="Arial" w:hAnsi="Arial" w:hint="default"/>
          <w:b/>
          <w:bCs/>
          <w:i w:val="false"/>
          <w:iCs w:val="false"/>
          <w:color w:val="auto"/>
          <w:kern w:val="0"/>
          <w:sz w:val="30"/>
          <w:szCs w:val="30"/>
          <w:highlight w:val="none"/>
          <w:vertAlign w:val="baseline"/>
          <w:em w:val="none"/>
          <w:lang w:val="en-IN" w:bidi="ar-SA" w:eastAsia="en-IN"/>
        </w:rPr>
        <w:t>1</w:t>
      </w:r>
      <w:r>
        <w:rPr>
          <w:rFonts w:ascii="Arial" w:cs="Arial" w:eastAsia="Arial" w:hAnsi="Arial" w:hint="default"/>
          <w:b/>
          <w:bCs/>
          <w:i w:val="false"/>
          <w:iCs w:val="false"/>
          <w:color w:val="auto"/>
          <w:kern w:val="0"/>
          <w:sz w:val="30"/>
          <w:szCs w:val="30"/>
          <w:highlight w:val="none"/>
          <w:vertAlign w:val="baseline"/>
          <w:em w:val="none"/>
          <w:lang w:val="en-IN" w:bidi="ar-SA" w:eastAsia="en-IN"/>
        </w:rPr>
        <w:t>2</w:t>
      </w:r>
      <w:r>
        <w:rPr>
          <w:rFonts w:ascii="Arial" w:cs="Arial" w:eastAsia="Arial" w:hAnsi="Arial" w:hint="default"/>
          <w:b/>
          <w:bCs/>
          <w:i w:val="false"/>
          <w:iCs w:val="false"/>
          <w:color w:val="auto"/>
          <w:kern w:val="0"/>
          <w:sz w:val="30"/>
          <w:szCs w:val="30"/>
          <w:highlight w:val="none"/>
          <w:vertAlign w:val="superscript"/>
          <w:em w:val="none"/>
          <w:lang w:val="en-IN" w:bidi="ar-SA" w:eastAsia="en-IN"/>
        </w:rPr>
        <w:t>th</w:t>
      </w:r>
      <w:r>
        <w:rPr>
          <w:rFonts w:ascii="Arial" w:cs="Arial" w:eastAsia="Arial" w:hAnsi="Arial" w:hint="default"/>
          <w:b/>
          <w:bCs/>
          <w:i w:val="false"/>
          <w:iCs w:val="false"/>
          <w:color w:val="auto"/>
          <w:kern w:val="0"/>
          <w:sz w:val="30"/>
          <w:szCs w:val="30"/>
          <w:highlight w:val="none"/>
          <w:vertAlign w:val="baseline"/>
          <w:em w:val="none"/>
          <w:lang w:val="en-IN" w:bidi="ar-SA" w:eastAsia="en-IN"/>
        </w:rPr>
        <w:t xml:space="preserve"> </w:t>
      </w:r>
      <w:r>
        <w:rPr>
          <w:rFonts w:ascii="Arial" w:cs="Arial" w:eastAsia="Arial" w:hAnsi="Arial" w:hint="default"/>
          <w:b/>
          <w:bCs/>
          <w:i w:val="false"/>
          <w:iCs w:val="false"/>
          <w:color w:val="auto"/>
          <w:kern w:val="0"/>
          <w:sz w:val="30"/>
          <w:szCs w:val="30"/>
          <w:highlight w:val="none"/>
          <w:vertAlign w:val="baseline"/>
          <w:em w:val="none"/>
          <w:lang w:val="en-IN" w:bidi="ar-SA" w:eastAsia="en-IN"/>
        </w:rPr>
        <w:t>August</w:t>
      </w:r>
      <w:r>
        <w:rPr>
          <w:rFonts w:ascii="Arial" w:cs="Arial" w:eastAsia="Arial" w:hAnsi="Arial" w:hint="default"/>
          <w:b/>
          <w:bCs/>
          <w:i w:val="false"/>
          <w:iCs w:val="false"/>
          <w:color w:val="auto"/>
          <w:kern w:val="0"/>
          <w:sz w:val="30"/>
          <w:szCs w:val="30"/>
          <w:highlight w:val="none"/>
          <w:vertAlign w:val="baseline"/>
          <w:em w:val="none"/>
          <w:lang w:val="en-IN" w:bidi="ar-SA" w:eastAsia="en-IN"/>
        </w:rPr>
        <w:t xml:space="preserve"> </w:t>
      </w:r>
      <w:r>
        <w:rPr>
          <w:rFonts w:ascii="Arial" w:cs="Arial" w:eastAsia="Arial" w:hAnsi="Arial" w:hint="default"/>
          <w:b/>
          <w:bCs/>
          <w:i w:val="false"/>
          <w:iCs w:val="false"/>
          <w:color w:val="auto"/>
          <w:kern w:val="0"/>
          <w:sz w:val="30"/>
          <w:szCs w:val="30"/>
          <w:highlight w:val="none"/>
          <w:vertAlign w:val="baseline"/>
          <w:em w:val="none"/>
          <w:lang w:val="en-IN" w:bidi="ar-SA" w:eastAsia="en-IN"/>
        </w:rPr>
        <w:t>2026</w:t>
      </w:r>
    </w:p>
    <w:p>
      <w:pPr>
        <w:pStyle w:val="style0"/>
        <w:rPr/>
      </w:pPr>
    </w:p>
    <w:p>
      <w:pPr>
        <w:pStyle w:val="style0"/>
        <w:rPr/>
      </w:pPr>
    </w:p>
    <w:p>
      <w:pPr>
        <w:pStyle w:val="style0"/>
        <w:rPr/>
      </w:pPr>
    </w:p>
    <w:p>
      <w:pPr>
        <w:pStyle w:val="style0"/>
        <w:rPr/>
      </w:pPr>
    </w:p>
    <w:p>
      <w:pPr>
        <w:pStyle w:val="style0"/>
        <w:rPr/>
      </w:pPr>
    </w:p>
    <w:p>
      <w:pPr>
        <w:pStyle w:val="style0"/>
        <w:jc w:val="left"/>
        <w:rPr>
          <w:b/>
          <w:sz w:val="32"/>
        </w:rPr>
      </w:pPr>
    </w:p>
    <w:p>
      <w:pPr>
        <w:pStyle w:val="style0"/>
        <w:jc w:val="center"/>
        <w:rPr>
          <w:b/>
          <w:sz w:val="32"/>
        </w:rPr>
      </w:pPr>
    </w:p>
    <w:p>
      <w:pPr>
        <w:pStyle w:val="style0"/>
        <w:jc w:val="center"/>
        <w:rPr>
          <w:b/>
          <w:sz w:val="32"/>
        </w:rPr>
      </w:pPr>
    </w:p>
    <w:p>
      <w:pPr>
        <w:pStyle w:val="style0"/>
        <w:jc w:val="center"/>
        <w:rPr>
          <w:b/>
          <w:sz w:val="32"/>
        </w:rPr>
      </w:pPr>
    </w:p>
    <w:p>
      <w:pPr>
        <w:pStyle w:val="style0"/>
        <w:jc w:val="left"/>
        <w:rPr>
          <w:b/>
          <w:sz w:val="32"/>
        </w:rPr>
      </w:pPr>
    </w:p>
    <w:p>
      <w:pPr>
        <w:pStyle w:val="style0"/>
        <w:jc w:val="center"/>
        <w:rPr>
          <w:b/>
          <w:sz w:val="32"/>
        </w:rPr>
      </w:pPr>
    </w:p>
    <w:p>
      <w:pPr>
        <w:pStyle w:val="style0"/>
        <w:jc w:val="center"/>
        <w:rPr>
          <w:b/>
          <w:sz w:val="32"/>
        </w:rPr>
      </w:pPr>
    </w:p>
    <w:p>
      <w:pPr>
        <w:pStyle w:val="style0"/>
        <w:jc w:val="center"/>
        <w:rPr>
          <w:b/>
          <w:sz w:val="32"/>
        </w:rPr>
      </w:pPr>
    </w:p>
    <w:p>
      <w:pPr>
        <w:pStyle w:val="style0"/>
        <w:jc w:val="center"/>
        <w:rPr>
          <w:b/>
          <w:sz w:val="32"/>
        </w:rPr>
      </w:pPr>
      <w:r>
        <w:rPr>
          <w:b/>
          <w:sz w:val="32"/>
        </w:rPr>
        <w:t>STRATEGIC ANALYSIS OF TESLA'S PASSENGER EV BUSINESS IN CHINA</w:t>
      </w:r>
    </w:p>
    <w:p>
      <w:pPr>
        <w:pStyle w:val="style0"/>
        <w:spacing w:lineRule="auto" w:line="276"/>
        <w:jc w:val="left"/>
        <w:rPr/>
      </w:pPr>
      <w:r>
        <w:br w:type="page"/>
      </w:r>
    </w:p>
    <w:p>
      <w:pPr>
        <w:pStyle w:val="style0"/>
        <w:rPr/>
      </w:pPr>
    </w:p>
    <w:p>
      <w:pPr>
        <w:pStyle w:val="style0"/>
        <w:jc w:val="center"/>
        <w:rPr>
          <w:b/>
        </w:rPr>
      </w:pPr>
      <w:r>
        <w:rPr>
          <w:b/>
        </w:rPr>
        <w:t>Executive Summary</w:t>
      </w:r>
    </w:p>
    <w:p>
      <w:pPr>
        <w:pStyle w:val="style0"/>
        <w:rPr/>
      </w:pPr>
      <w:r>
        <w:t xml:space="preserve">This report assesses the strategic position of Tesla, Inc. (TESLA)'s passenger electric vehicle (EV) business in China and proposes measures to enhance the company's competitiveness in the long term. China was chosen as the main focus because it is the world's largest EV market and Tesla's largest production and export hub via Gigafactory Shanghai. The report examines the external environment, capabilities within Tesla, and strategic options using a variety of tools of strategic management, including PESTEL, VRIO, SWOT, and the Balanced Scorecard and the </w:t>
      </w:r>
      <w:r>
        <w:t>SAFe</w:t>
      </w:r>
      <w:r>
        <w:t xml:space="preserve"> framework. The significant market opportunities provided by favourable government policies, growing EV adoption and technological advancement has been demonstrated, but Tesla is under increasing competitive pressure from domestic companies like BYD, NIO and XPeng as well as from price-based competition. The analysis shows that the competitive advantage of Tesla is driven by its AI capabilities and software ecosystem, not by a focus on cost. The recommendation is therefore to follow a technology-based differentiation strategy supported by an optimised operation and to set priorities on software-based services and connected mobility solutions and to continue to innovate rather than continue to reduce the price of the vehicles. It is proposed to integrate strategic goals with measurable financial and non-financial performance indicators, and implementation challenges and mitigation strategies identified to ensure their effective implementation in a Balanced Scorecard. In summary, the report finds that differentiation and innovation capabilities are a key area for bolstering Tesla's long-term competitiveness and sustainable growth in China's ever-more-competitive automotive passenger EV market.</w:t>
      </w:r>
    </w:p>
    <w:p>
      <w:pPr>
        <w:pStyle w:val="style0"/>
        <w:rPr/>
      </w:pPr>
    </w:p>
    <w:p>
      <w:pPr>
        <w:pStyle w:val="style0"/>
        <w:spacing w:lineRule="auto" w:line="276"/>
        <w:jc w:val="left"/>
        <w:rPr/>
      </w:pPr>
      <w:r>
        <w:br w:type="page"/>
      </w:r>
    </w:p>
    <w:p>
      <w:pPr>
        <w:pStyle w:val="style266"/>
        <w:spacing w:lineRule="auto" w:line="360"/>
        <w:jc w:val="center"/>
        <w:rPr>
          <w:rFonts w:ascii="Arial" w:cs="Arial" w:hAnsi="Arial"/>
          <w:color w:val="auto"/>
          <w:sz w:val="24"/>
          <w:szCs w:val="24"/>
        </w:rPr>
      </w:pPr>
      <w:r>
        <w:rPr>
          <w:rFonts w:ascii="Arial" w:cs="Arial" w:hAnsi="Arial"/>
          <w:color w:val="auto"/>
          <w:sz w:val="24"/>
          <w:szCs w:val="24"/>
        </w:rPr>
        <w:t>Table of Contents</w:t>
      </w:r>
    </w:p>
    <w:p>
      <w:pPr>
        <w:pStyle w:val="style19"/>
        <w:tabs>
          <w:tab w:val="right" w:leader="dot" w:pos="9350"/>
        </w:tabs>
        <w:rPr>
          <w:rFonts w:ascii="Calibri" w:eastAsia="宋体" w:hAnsi="Calibri"/>
          <w:noProof/>
          <w:kern w:val="2"/>
          <w:szCs w:val="24"/>
          <w:lang w:val="en-IN" w:eastAsia="zh-CN"/>
          <w14:ligatures xmlns:w14="http://schemas.microsoft.com/office/word/2010/wordml" w14:val="standardContextual"/>
        </w:rPr>
      </w:pPr>
      <w:r>
        <w:rPr>
          <w:rFonts w:cs="Arial"/>
        </w:rPr>
        <w:fldChar w:fldCharType="begin"/>
      </w:r>
      <w:r>
        <w:rPr>
          <w:rFonts w:cs="Arial"/>
        </w:rPr>
        <w:instrText xml:space="preserve"> TOC \o "1-3" \h \z \u </w:instrText>
      </w:r>
      <w:r>
        <w:rPr>
          <w:rFonts w:cs="Arial"/>
        </w:rPr>
        <w:fldChar w:fldCharType="separate"/>
      </w:r>
      <w:r>
        <w:rPr/>
        <w:fldChar w:fldCharType="begin"/>
      </w:r>
      <w:r>
        <w:instrText xml:space="preserve"> HYPERLINK \l "_Toc234876914" </w:instrText>
      </w:r>
      <w:r>
        <w:rPr/>
        <w:fldChar w:fldCharType="separate"/>
      </w:r>
      <w:r>
        <w:rPr>
          <w:rStyle w:val="style85"/>
          <w:noProof/>
        </w:rPr>
        <w:t>1. Organisational Context and Overview</w:t>
      </w:r>
      <w:r>
        <w:rPr>
          <w:noProof/>
          <w:webHidden/>
        </w:rPr>
        <w:tab/>
      </w:r>
      <w:r>
        <w:rPr>
          <w:noProof/>
          <w:webHidden/>
        </w:rPr>
        <w:fldChar w:fldCharType="begin"/>
      </w:r>
      <w:r>
        <w:rPr>
          <w:noProof/>
          <w:webHidden/>
        </w:rPr>
        <w:instrText xml:space="preserve"> PAGEREF _Toc234876914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dot" w:pos="9350"/>
        </w:tabs>
        <w:rPr>
          <w:rFonts w:ascii="Calibri" w:eastAsia="宋体" w:hAnsi="Calibri"/>
          <w:noProof/>
          <w:kern w:val="2"/>
          <w:szCs w:val="24"/>
          <w:lang w:val="en-IN" w:eastAsia="zh-CN"/>
          <w14:ligatures xmlns:w14="http://schemas.microsoft.com/office/word/2010/wordml" w14:val="standardContextual"/>
        </w:rPr>
      </w:pPr>
      <w:r>
        <w:rPr/>
        <w:fldChar w:fldCharType="begin"/>
      </w:r>
      <w:r>
        <w:instrText xml:space="preserve"> HYPERLINK \l "_Toc234876915" </w:instrText>
      </w:r>
      <w:r>
        <w:rPr/>
        <w:fldChar w:fldCharType="separate"/>
      </w:r>
      <w:r>
        <w:rPr>
          <w:rStyle w:val="style85"/>
          <w:noProof/>
        </w:rPr>
        <w:t>1.1 Company Overview</w:t>
      </w:r>
      <w:r>
        <w:rPr>
          <w:noProof/>
          <w:webHidden/>
        </w:rPr>
        <w:tab/>
      </w:r>
      <w:r>
        <w:rPr>
          <w:noProof/>
          <w:webHidden/>
        </w:rPr>
        <w:fldChar w:fldCharType="begin"/>
      </w:r>
      <w:r>
        <w:rPr>
          <w:noProof/>
          <w:webHidden/>
        </w:rPr>
        <w:instrText xml:space="preserve"> PAGEREF _Toc234876915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dot" w:pos="9350"/>
        </w:tabs>
        <w:rPr>
          <w:rFonts w:ascii="Calibri" w:eastAsia="宋体" w:hAnsi="Calibri"/>
          <w:noProof/>
          <w:kern w:val="2"/>
          <w:szCs w:val="24"/>
          <w:lang w:val="en-IN" w:eastAsia="zh-CN"/>
          <w14:ligatures xmlns:w14="http://schemas.microsoft.com/office/word/2010/wordml" w14:val="standardContextual"/>
        </w:rPr>
      </w:pPr>
      <w:r>
        <w:rPr/>
        <w:fldChar w:fldCharType="begin"/>
      </w:r>
      <w:r>
        <w:instrText xml:space="preserve"> HYPERLINK \l "_Toc234876916" </w:instrText>
      </w:r>
      <w:r>
        <w:rPr/>
        <w:fldChar w:fldCharType="separate"/>
      </w:r>
      <w:r>
        <w:rPr>
          <w:rStyle w:val="style85"/>
          <w:noProof/>
        </w:rPr>
        <w:t>1.2 Historical Development and Business Model</w:t>
      </w:r>
      <w:r>
        <w:rPr>
          <w:noProof/>
          <w:webHidden/>
        </w:rPr>
        <w:tab/>
      </w:r>
      <w:r>
        <w:rPr>
          <w:noProof/>
          <w:webHidden/>
        </w:rPr>
        <w:fldChar w:fldCharType="begin"/>
      </w:r>
      <w:r>
        <w:rPr>
          <w:noProof/>
          <w:webHidden/>
        </w:rPr>
        <w:instrText xml:space="preserve"> PAGEREF _Toc234876916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dot" w:pos="9350"/>
        </w:tabs>
        <w:rPr>
          <w:rFonts w:ascii="Calibri" w:eastAsia="宋体" w:hAnsi="Calibri"/>
          <w:noProof/>
          <w:kern w:val="2"/>
          <w:szCs w:val="24"/>
          <w:lang w:val="en-IN" w:eastAsia="zh-CN"/>
          <w14:ligatures xmlns:w14="http://schemas.microsoft.com/office/word/2010/wordml" w14:val="standardContextual"/>
        </w:rPr>
      </w:pPr>
      <w:r>
        <w:rPr/>
        <w:fldChar w:fldCharType="begin"/>
      </w:r>
      <w:r>
        <w:instrText xml:space="preserve"> HYPERLINK \l "_Toc234876917" </w:instrText>
      </w:r>
      <w:r>
        <w:rPr/>
        <w:fldChar w:fldCharType="separate"/>
      </w:r>
      <w:r>
        <w:rPr>
          <w:rStyle w:val="style85"/>
          <w:noProof/>
        </w:rPr>
        <w:t>1.3 Industry, Market Position and Strategic Focus</w:t>
      </w:r>
      <w:r>
        <w:rPr>
          <w:noProof/>
          <w:webHidden/>
        </w:rPr>
        <w:tab/>
      </w:r>
      <w:r>
        <w:rPr>
          <w:noProof/>
          <w:webHidden/>
        </w:rPr>
        <w:fldChar w:fldCharType="begin"/>
      </w:r>
      <w:r>
        <w:rPr>
          <w:noProof/>
          <w:webHidden/>
        </w:rPr>
        <w:instrText xml:space="preserve"> PAGEREF _Toc234876917 \h </w:instrText>
      </w:r>
      <w:r>
        <w:rPr>
          <w:noProof/>
          <w:webHidden/>
        </w:rPr>
        <w:fldChar w:fldCharType="separate"/>
      </w:r>
      <w:r>
        <w:rPr>
          <w:noProof/>
          <w:webHidden/>
        </w:rPr>
        <w:t>5</w:t>
      </w:r>
      <w:r>
        <w:rPr>
          <w:noProof/>
          <w:webHidden/>
        </w:rPr>
        <w:fldChar w:fldCharType="end"/>
      </w:r>
      <w:r>
        <w:rPr/>
        <w:fldChar w:fldCharType="end"/>
      </w:r>
    </w:p>
    <w:p>
      <w:pPr>
        <w:pStyle w:val="style19"/>
        <w:tabs>
          <w:tab w:val="right" w:leader="dot" w:pos="9350"/>
        </w:tabs>
        <w:rPr>
          <w:rFonts w:ascii="Calibri" w:eastAsia="宋体" w:hAnsi="Calibri"/>
          <w:noProof/>
          <w:kern w:val="2"/>
          <w:szCs w:val="24"/>
          <w:lang w:val="en-IN" w:eastAsia="zh-CN"/>
          <w14:ligatures xmlns:w14="http://schemas.microsoft.com/office/word/2010/wordml" w14:val="standardContextual"/>
        </w:rPr>
      </w:pPr>
      <w:r>
        <w:rPr/>
        <w:fldChar w:fldCharType="begin"/>
      </w:r>
      <w:r>
        <w:instrText xml:space="preserve"> HYPERLINK \l "_Toc234876918" </w:instrText>
      </w:r>
      <w:r>
        <w:rPr/>
        <w:fldChar w:fldCharType="separate"/>
      </w:r>
      <w:r>
        <w:rPr>
          <w:rStyle w:val="style85"/>
          <w:noProof/>
        </w:rPr>
        <w:t>2. External and Internal Analysis</w:t>
      </w:r>
      <w:r>
        <w:rPr>
          <w:noProof/>
          <w:webHidden/>
        </w:rPr>
        <w:tab/>
      </w:r>
      <w:r>
        <w:rPr>
          <w:noProof/>
          <w:webHidden/>
        </w:rPr>
        <w:fldChar w:fldCharType="begin"/>
      </w:r>
      <w:r>
        <w:rPr>
          <w:noProof/>
          <w:webHidden/>
        </w:rPr>
        <w:instrText xml:space="preserve"> PAGEREF _Toc234876918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350"/>
        </w:tabs>
        <w:rPr>
          <w:rFonts w:ascii="Calibri" w:eastAsia="宋体" w:hAnsi="Calibri"/>
          <w:noProof/>
          <w:kern w:val="2"/>
          <w:szCs w:val="24"/>
          <w:lang w:val="en-IN" w:eastAsia="zh-CN"/>
          <w14:ligatures xmlns:w14="http://schemas.microsoft.com/office/word/2010/wordml" w14:val="standardContextual"/>
        </w:rPr>
      </w:pPr>
      <w:r>
        <w:rPr/>
        <w:fldChar w:fldCharType="begin"/>
      </w:r>
      <w:r>
        <w:instrText xml:space="preserve"> HYPERLINK \l "_Toc234876919" </w:instrText>
      </w:r>
      <w:r>
        <w:rPr/>
        <w:fldChar w:fldCharType="separate"/>
      </w:r>
      <w:r>
        <w:rPr>
          <w:rStyle w:val="style85"/>
          <w:noProof/>
        </w:rPr>
        <w:t>2.1 External Analysis (PESTEL Analysis)</w:t>
      </w:r>
      <w:r>
        <w:rPr>
          <w:noProof/>
          <w:webHidden/>
        </w:rPr>
        <w:tab/>
      </w:r>
      <w:r>
        <w:rPr>
          <w:noProof/>
          <w:webHidden/>
        </w:rPr>
        <w:fldChar w:fldCharType="begin"/>
      </w:r>
      <w:r>
        <w:rPr>
          <w:noProof/>
          <w:webHidden/>
        </w:rPr>
        <w:instrText xml:space="preserve"> PAGEREF _Toc234876919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350"/>
        </w:tabs>
        <w:rPr>
          <w:rFonts w:ascii="Calibri" w:eastAsia="宋体" w:hAnsi="Calibri"/>
          <w:noProof/>
          <w:kern w:val="2"/>
          <w:szCs w:val="24"/>
          <w:lang w:val="en-IN" w:eastAsia="zh-CN"/>
          <w14:ligatures xmlns:w14="http://schemas.microsoft.com/office/word/2010/wordml" w14:val="standardContextual"/>
        </w:rPr>
      </w:pPr>
      <w:r>
        <w:rPr/>
        <w:fldChar w:fldCharType="begin"/>
      </w:r>
      <w:r>
        <w:instrText xml:space="preserve"> HYPERLINK \l "_Toc234876920" </w:instrText>
      </w:r>
      <w:r>
        <w:rPr/>
        <w:fldChar w:fldCharType="separate"/>
      </w:r>
      <w:r>
        <w:rPr>
          <w:rStyle w:val="style85"/>
          <w:noProof/>
        </w:rPr>
        <w:t>2.2 Internal Analysis (VRIO Analysis)</w:t>
      </w:r>
      <w:r>
        <w:rPr>
          <w:noProof/>
          <w:webHidden/>
        </w:rPr>
        <w:tab/>
      </w:r>
      <w:r>
        <w:rPr>
          <w:noProof/>
          <w:webHidden/>
        </w:rPr>
        <w:fldChar w:fldCharType="begin"/>
      </w:r>
      <w:r>
        <w:rPr>
          <w:noProof/>
          <w:webHidden/>
        </w:rPr>
        <w:instrText xml:space="preserve"> PAGEREF _Toc234876920 \h </w:instrText>
      </w:r>
      <w:r>
        <w:rPr>
          <w:noProof/>
          <w:webHidden/>
        </w:rPr>
        <w:fldChar w:fldCharType="separate"/>
      </w:r>
      <w:r>
        <w:rPr>
          <w:noProof/>
          <w:webHidden/>
        </w:rPr>
        <w:t>10</w:t>
      </w:r>
      <w:r>
        <w:rPr>
          <w:noProof/>
          <w:webHidden/>
        </w:rPr>
        <w:fldChar w:fldCharType="end"/>
      </w:r>
      <w:r>
        <w:rPr/>
        <w:fldChar w:fldCharType="end"/>
      </w:r>
    </w:p>
    <w:p>
      <w:pPr>
        <w:pStyle w:val="style20"/>
        <w:tabs>
          <w:tab w:val="right" w:leader="dot" w:pos="9350"/>
        </w:tabs>
        <w:rPr>
          <w:rFonts w:ascii="Calibri" w:eastAsia="宋体" w:hAnsi="Calibri"/>
          <w:noProof/>
          <w:kern w:val="2"/>
          <w:szCs w:val="24"/>
          <w:lang w:val="en-IN" w:eastAsia="zh-CN"/>
          <w14:ligatures xmlns:w14="http://schemas.microsoft.com/office/word/2010/wordml" w14:val="standardContextual"/>
        </w:rPr>
      </w:pPr>
      <w:r>
        <w:rPr/>
        <w:fldChar w:fldCharType="begin"/>
      </w:r>
      <w:r>
        <w:instrText xml:space="preserve"> HYPERLINK \l "_Toc234876921" </w:instrText>
      </w:r>
      <w:r>
        <w:rPr/>
        <w:fldChar w:fldCharType="separate"/>
      </w:r>
      <w:r>
        <w:rPr>
          <w:rStyle w:val="style85"/>
          <w:noProof/>
        </w:rPr>
        <w:t>2.3 SWOT Analysis</w:t>
      </w:r>
      <w:r>
        <w:rPr>
          <w:noProof/>
          <w:webHidden/>
        </w:rPr>
        <w:tab/>
      </w:r>
      <w:r>
        <w:rPr>
          <w:noProof/>
          <w:webHidden/>
        </w:rPr>
        <w:fldChar w:fldCharType="begin"/>
      </w:r>
      <w:r>
        <w:rPr>
          <w:noProof/>
          <w:webHidden/>
        </w:rPr>
        <w:instrText xml:space="preserve"> PAGEREF _Toc234876921 \h </w:instrText>
      </w:r>
      <w:r>
        <w:rPr>
          <w:noProof/>
          <w:webHidden/>
        </w:rPr>
        <w:fldChar w:fldCharType="separate"/>
      </w:r>
      <w:r>
        <w:rPr>
          <w:noProof/>
          <w:webHidden/>
        </w:rPr>
        <w:t>11</w:t>
      </w:r>
      <w:r>
        <w:rPr>
          <w:noProof/>
          <w:webHidden/>
        </w:rPr>
        <w:fldChar w:fldCharType="end"/>
      </w:r>
      <w:r>
        <w:rPr/>
        <w:fldChar w:fldCharType="end"/>
      </w:r>
    </w:p>
    <w:p>
      <w:pPr>
        <w:pStyle w:val="style19"/>
        <w:tabs>
          <w:tab w:val="right" w:leader="dot" w:pos="9350"/>
        </w:tabs>
        <w:rPr>
          <w:rFonts w:ascii="Calibri" w:eastAsia="宋体" w:hAnsi="Calibri"/>
          <w:noProof/>
          <w:kern w:val="2"/>
          <w:szCs w:val="24"/>
          <w:lang w:val="en-IN" w:eastAsia="zh-CN"/>
          <w14:ligatures xmlns:w14="http://schemas.microsoft.com/office/word/2010/wordml" w14:val="standardContextual"/>
        </w:rPr>
      </w:pPr>
      <w:r>
        <w:rPr/>
        <w:fldChar w:fldCharType="begin"/>
      </w:r>
      <w:r>
        <w:instrText xml:space="preserve"> HYPERLINK \l "_Toc234876922" </w:instrText>
      </w:r>
      <w:r>
        <w:rPr/>
        <w:fldChar w:fldCharType="separate"/>
      </w:r>
      <w:r>
        <w:rPr>
          <w:rStyle w:val="style85"/>
          <w:noProof/>
        </w:rPr>
        <w:t>3. Comprehensive and Holistic View of the Organisation</w:t>
      </w:r>
      <w:r>
        <w:rPr>
          <w:noProof/>
          <w:webHidden/>
        </w:rPr>
        <w:tab/>
      </w:r>
      <w:r>
        <w:rPr>
          <w:noProof/>
          <w:webHidden/>
        </w:rPr>
        <w:fldChar w:fldCharType="begin"/>
      </w:r>
      <w:r>
        <w:rPr>
          <w:noProof/>
          <w:webHidden/>
        </w:rPr>
        <w:instrText xml:space="preserve"> PAGEREF _Toc234876922 \h </w:instrText>
      </w:r>
      <w:r>
        <w:rPr>
          <w:noProof/>
          <w:webHidden/>
        </w:rPr>
        <w:fldChar w:fldCharType="separate"/>
      </w:r>
      <w:r>
        <w:rPr>
          <w:noProof/>
          <w:webHidden/>
        </w:rPr>
        <w:t>12</w:t>
      </w:r>
      <w:r>
        <w:rPr>
          <w:noProof/>
          <w:webHidden/>
        </w:rPr>
        <w:fldChar w:fldCharType="end"/>
      </w:r>
      <w:r>
        <w:rPr/>
        <w:fldChar w:fldCharType="end"/>
      </w:r>
    </w:p>
    <w:p>
      <w:pPr>
        <w:pStyle w:val="style20"/>
        <w:tabs>
          <w:tab w:val="right" w:leader="dot" w:pos="9350"/>
        </w:tabs>
        <w:rPr>
          <w:rFonts w:ascii="Calibri" w:eastAsia="宋体" w:hAnsi="Calibri"/>
          <w:noProof/>
          <w:kern w:val="2"/>
          <w:szCs w:val="24"/>
          <w:lang w:val="en-IN" w:eastAsia="zh-CN"/>
          <w14:ligatures xmlns:w14="http://schemas.microsoft.com/office/word/2010/wordml" w14:val="standardContextual"/>
        </w:rPr>
      </w:pPr>
      <w:r>
        <w:rPr/>
        <w:fldChar w:fldCharType="begin"/>
      </w:r>
      <w:r>
        <w:instrText xml:space="preserve"> HYPERLINK \l "_Toc234876923" </w:instrText>
      </w:r>
      <w:r>
        <w:rPr/>
        <w:fldChar w:fldCharType="separate"/>
      </w:r>
      <w:r>
        <w:rPr>
          <w:rStyle w:val="style85"/>
          <w:noProof/>
        </w:rPr>
        <w:t>3.1 Critical Evaluation of Tesla's CSR Strategy and Its Alignment with Business Objectives</w:t>
      </w:r>
      <w:r>
        <w:rPr>
          <w:noProof/>
          <w:webHidden/>
        </w:rPr>
        <w:tab/>
      </w:r>
      <w:r>
        <w:rPr>
          <w:noProof/>
          <w:webHidden/>
        </w:rPr>
        <w:fldChar w:fldCharType="begin"/>
      </w:r>
      <w:r>
        <w:rPr>
          <w:noProof/>
          <w:webHidden/>
        </w:rPr>
        <w:instrText xml:space="preserve"> PAGEREF _Toc234876923 \h </w:instrText>
      </w:r>
      <w:r>
        <w:rPr>
          <w:noProof/>
          <w:webHidden/>
        </w:rPr>
        <w:fldChar w:fldCharType="separate"/>
      </w:r>
      <w:r>
        <w:rPr>
          <w:noProof/>
          <w:webHidden/>
        </w:rPr>
        <w:t>12</w:t>
      </w:r>
      <w:r>
        <w:rPr>
          <w:noProof/>
          <w:webHidden/>
        </w:rPr>
        <w:fldChar w:fldCharType="end"/>
      </w:r>
      <w:r>
        <w:rPr/>
        <w:fldChar w:fldCharType="end"/>
      </w:r>
    </w:p>
    <w:p>
      <w:pPr>
        <w:pStyle w:val="style20"/>
        <w:tabs>
          <w:tab w:val="right" w:leader="dot" w:pos="9350"/>
        </w:tabs>
        <w:rPr>
          <w:rFonts w:ascii="Calibri" w:eastAsia="宋体" w:hAnsi="Calibri"/>
          <w:noProof/>
          <w:kern w:val="2"/>
          <w:szCs w:val="24"/>
          <w:lang w:val="en-IN" w:eastAsia="zh-CN"/>
          <w14:ligatures xmlns:w14="http://schemas.microsoft.com/office/word/2010/wordml" w14:val="standardContextual"/>
        </w:rPr>
      </w:pPr>
      <w:r>
        <w:rPr/>
        <w:fldChar w:fldCharType="begin"/>
      </w:r>
      <w:r>
        <w:instrText xml:space="preserve"> HYPERLINK \l "_Toc234876924" </w:instrText>
      </w:r>
      <w:r>
        <w:rPr/>
        <w:fldChar w:fldCharType="separate"/>
      </w:r>
      <w:r>
        <w:rPr>
          <w:rStyle w:val="style85"/>
          <w:noProof/>
        </w:rPr>
        <w:t>3.2 Balanced Scorecard Analysis</w:t>
      </w:r>
      <w:r>
        <w:rPr>
          <w:noProof/>
          <w:webHidden/>
        </w:rPr>
        <w:tab/>
      </w:r>
      <w:r>
        <w:rPr>
          <w:noProof/>
          <w:webHidden/>
        </w:rPr>
        <w:fldChar w:fldCharType="begin"/>
      </w:r>
      <w:r>
        <w:rPr>
          <w:noProof/>
          <w:webHidden/>
        </w:rPr>
        <w:instrText xml:space="preserve"> PAGEREF _Toc234876924 \h </w:instrText>
      </w:r>
      <w:r>
        <w:rPr>
          <w:noProof/>
          <w:webHidden/>
        </w:rPr>
        <w:fldChar w:fldCharType="separate"/>
      </w:r>
      <w:r>
        <w:rPr>
          <w:noProof/>
          <w:webHidden/>
        </w:rPr>
        <w:t>14</w:t>
      </w:r>
      <w:r>
        <w:rPr>
          <w:noProof/>
          <w:webHidden/>
        </w:rPr>
        <w:fldChar w:fldCharType="end"/>
      </w:r>
      <w:r>
        <w:rPr/>
        <w:fldChar w:fldCharType="end"/>
      </w:r>
    </w:p>
    <w:p>
      <w:pPr>
        <w:pStyle w:val="style19"/>
        <w:tabs>
          <w:tab w:val="right" w:leader="dot" w:pos="9350"/>
        </w:tabs>
        <w:rPr>
          <w:rFonts w:ascii="Calibri" w:eastAsia="宋体" w:hAnsi="Calibri"/>
          <w:noProof/>
          <w:kern w:val="2"/>
          <w:szCs w:val="24"/>
          <w:lang w:val="en-IN" w:eastAsia="zh-CN"/>
          <w14:ligatures xmlns:w14="http://schemas.microsoft.com/office/word/2010/wordml" w14:val="standardContextual"/>
        </w:rPr>
      </w:pPr>
      <w:r>
        <w:rPr/>
        <w:fldChar w:fldCharType="begin"/>
      </w:r>
      <w:r>
        <w:instrText xml:space="preserve"> HYPERLINK \l "_Toc234876925" </w:instrText>
      </w:r>
      <w:r>
        <w:rPr/>
        <w:fldChar w:fldCharType="separate"/>
      </w:r>
      <w:r>
        <w:rPr>
          <w:rStyle w:val="style85"/>
          <w:noProof/>
        </w:rPr>
        <w:t>4. Strategic Choices and Implementation</w:t>
      </w:r>
      <w:r>
        <w:rPr>
          <w:noProof/>
          <w:webHidden/>
        </w:rPr>
        <w:tab/>
      </w:r>
      <w:r>
        <w:rPr>
          <w:noProof/>
          <w:webHidden/>
        </w:rPr>
        <w:fldChar w:fldCharType="begin"/>
      </w:r>
      <w:r>
        <w:rPr>
          <w:noProof/>
          <w:webHidden/>
        </w:rPr>
        <w:instrText xml:space="preserve"> PAGEREF _Toc234876925 \h </w:instrText>
      </w:r>
      <w:r>
        <w:rPr>
          <w:noProof/>
          <w:webHidden/>
        </w:rPr>
        <w:fldChar w:fldCharType="separate"/>
      </w:r>
      <w:r>
        <w:rPr>
          <w:noProof/>
          <w:webHidden/>
        </w:rPr>
        <w:t>15</w:t>
      </w:r>
      <w:r>
        <w:rPr>
          <w:noProof/>
          <w:webHidden/>
        </w:rPr>
        <w:fldChar w:fldCharType="end"/>
      </w:r>
      <w:r>
        <w:rPr/>
        <w:fldChar w:fldCharType="end"/>
      </w:r>
    </w:p>
    <w:p>
      <w:pPr>
        <w:pStyle w:val="style20"/>
        <w:tabs>
          <w:tab w:val="right" w:leader="dot" w:pos="9350"/>
        </w:tabs>
        <w:rPr>
          <w:rFonts w:ascii="Calibri" w:eastAsia="宋体" w:hAnsi="Calibri"/>
          <w:noProof/>
          <w:kern w:val="2"/>
          <w:szCs w:val="24"/>
          <w:lang w:val="en-IN" w:eastAsia="zh-CN"/>
          <w14:ligatures xmlns:w14="http://schemas.microsoft.com/office/word/2010/wordml" w14:val="standardContextual"/>
        </w:rPr>
      </w:pPr>
      <w:r>
        <w:rPr/>
        <w:fldChar w:fldCharType="begin"/>
      </w:r>
      <w:r>
        <w:instrText xml:space="preserve"> HYPERLINK \l "_Toc234876926" </w:instrText>
      </w:r>
      <w:r>
        <w:rPr/>
        <w:fldChar w:fldCharType="separate"/>
      </w:r>
      <w:r>
        <w:rPr>
          <w:rStyle w:val="style85"/>
          <w:noProof/>
        </w:rPr>
        <w:t>4.1 Evaluation of Business-Level Strategic Choices</w:t>
      </w:r>
      <w:r>
        <w:rPr>
          <w:noProof/>
          <w:webHidden/>
        </w:rPr>
        <w:tab/>
      </w:r>
      <w:r>
        <w:rPr>
          <w:noProof/>
          <w:webHidden/>
        </w:rPr>
        <w:fldChar w:fldCharType="begin"/>
      </w:r>
      <w:r>
        <w:rPr>
          <w:noProof/>
          <w:webHidden/>
        </w:rPr>
        <w:instrText xml:space="preserve"> PAGEREF _Toc234876926 \h </w:instrText>
      </w:r>
      <w:r>
        <w:rPr>
          <w:noProof/>
          <w:webHidden/>
        </w:rPr>
        <w:fldChar w:fldCharType="separate"/>
      </w:r>
      <w:r>
        <w:rPr>
          <w:noProof/>
          <w:webHidden/>
        </w:rPr>
        <w:t>15</w:t>
      </w:r>
      <w:r>
        <w:rPr>
          <w:noProof/>
          <w:webHidden/>
        </w:rPr>
        <w:fldChar w:fldCharType="end"/>
      </w:r>
      <w:r>
        <w:rPr/>
        <w:fldChar w:fldCharType="end"/>
      </w:r>
    </w:p>
    <w:p>
      <w:pPr>
        <w:pStyle w:val="style20"/>
        <w:tabs>
          <w:tab w:val="right" w:leader="dot" w:pos="9350"/>
        </w:tabs>
        <w:rPr>
          <w:rFonts w:ascii="Calibri" w:eastAsia="宋体" w:hAnsi="Calibri"/>
          <w:noProof/>
          <w:kern w:val="2"/>
          <w:szCs w:val="24"/>
          <w:lang w:val="en-IN" w:eastAsia="zh-CN"/>
          <w14:ligatures xmlns:w14="http://schemas.microsoft.com/office/word/2010/wordml" w14:val="standardContextual"/>
        </w:rPr>
      </w:pPr>
      <w:r>
        <w:rPr/>
        <w:fldChar w:fldCharType="begin"/>
      </w:r>
      <w:r>
        <w:instrText xml:space="preserve"> HYPERLINK \l "_Toc234876927" </w:instrText>
      </w:r>
      <w:r>
        <w:rPr/>
        <w:fldChar w:fldCharType="separate"/>
      </w:r>
      <w:r>
        <w:rPr>
          <w:rStyle w:val="style85"/>
          <w:noProof/>
        </w:rPr>
        <w:t>4.2 Evaluation of the Recommended Strategy Using the SAFe Framework</w:t>
      </w:r>
      <w:r>
        <w:rPr>
          <w:noProof/>
          <w:webHidden/>
        </w:rPr>
        <w:tab/>
      </w:r>
      <w:r>
        <w:rPr>
          <w:noProof/>
          <w:webHidden/>
        </w:rPr>
        <w:fldChar w:fldCharType="begin"/>
      </w:r>
      <w:r>
        <w:rPr>
          <w:noProof/>
          <w:webHidden/>
        </w:rPr>
        <w:instrText xml:space="preserve"> PAGEREF _Toc234876927 \h </w:instrText>
      </w:r>
      <w:r>
        <w:rPr>
          <w:noProof/>
          <w:webHidden/>
        </w:rPr>
        <w:fldChar w:fldCharType="separate"/>
      </w:r>
      <w:r>
        <w:rPr>
          <w:noProof/>
          <w:webHidden/>
        </w:rPr>
        <w:t>17</w:t>
      </w:r>
      <w:r>
        <w:rPr>
          <w:noProof/>
          <w:webHidden/>
        </w:rPr>
        <w:fldChar w:fldCharType="end"/>
      </w:r>
      <w:r>
        <w:rPr/>
        <w:fldChar w:fldCharType="end"/>
      </w:r>
    </w:p>
    <w:p>
      <w:pPr>
        <w:pStyle w:val="style20"/>
        <w:tabs>
          <w:tab w:val="right" w:leader="dot" w:pos="9350"/>
        </w:tabs>
        <w:rPr>
          <w:rFonts w:ascii="Calibri" w:eastAsia="宋体" w:hAnsi="Calibri"/>
          <w:noProof/>
          <w:kern w:val="2"/>
          <w:szCs w:val="24"/>
          <w:lang w:val="en-IN" w:eastAsia="zh-CN"/>
          <w14:ligatures xmlns:w14="http://schemas.microsoft.com/office/word/2010/wordml" w14:val="standardContextual"/>
        </w:rPr>
      </w:pPr>
      <w:r>
        <w:rPr/>
        <w:fldChar w:fldCharType="begin"/>
      </w:r>
      <w:r>
        <w:instrText xml:space="preserve"> HYPERLINK \l "_Toc234876928" </w:instrText>
      </w:r>
      <w:r>
        <w:rPr/>
        <w:fldChar w:fldCharType="separate"/>
      </w:r>
      <w:r>
        <w:rPr>
          <w:rStyle w:val="style85"/>
          <w:noProof/>
        </w:rPr>
        <w:t>4.3 Delivering Sustainable Competitive Advantage through Strategy Implementation</w:t>
      </w:r>
      <w:r>
        <w:rPr>
          <w:noProof/>
          <w:webHidden/>
        </w:rPr>
        <w:tab/>
      </w:r>
      <w:r>
        <w:rPr>
          <w:noProof/>
          <w:webHidden/>
        </w:rPr>
        <w:fldChar w:fldCharType="begin"/>
      </w:r>
      <w:r>
        <w:rPr>
          <w:noProof/>
          <w:webHidden/>
        </w:rPr>
        <w:instrText xml:space="preserve"> PAGEREF _Toc234876928 \h </w:instrText>
      </w:r>
      <w:r>
        <w:rPr>
          <w:noProof/>
          <w:webHidden/>
        </w:rPr>
        <w:fldChar w:fldCharType="separate"/>
      </w:r>
      <w:r>
        <w:rPr>
          <w:noProof/>
          <w:webHidden/>
        </w:rPr>
        <w:t>18</w:t>
      </w:r>
      <w:r>
        <w:rPr>
          <w:noProof/>
          <w:webHidden/>
        </w:rPr>
        <w:fldChar w:fldCharType="end"/>
      </w:r>
      <w:r>
        <w:rPr/>
        <w:fldChar w:fldCharType="end"/>
      </w:r>
    </w:p>
    <w:p>
      <w:pPr>
        <w:pStyle w:val="style20"/>
        <w:tabs>
          <w:tab w:val="right" w:leader="dot" w:pos="9350"/>
        </w:tabs>
        <w:rPr>
          <w:rFonts w:ascii="Calibri" w:eastAsia="宋体" w:hAnsi="Calibri"/>
          <w:noProof/>
          <w:kern w:val="2"/>
          <w:szCs w:val="24"/>
          <w:lang w:val="en-IN" w:eastAsia="zh-CN"/>
          <w14:ligatures xmlns:w14="http://schemas.microsoft.com/office/word/2010/wordml" w14:val="standardContextual"/>
        </w:rPr>
      </w:pPr>
      <w:r>
        <w:rPr/>
        <w:fldChar w:fldCharType="begin"/>
      </w:r>
      <w:r>
        <w:instrText xml:space="preserve"> HYPERLINK \l "_Toc234876929" </w:instrText>
      </w:r>
      <w:r>
        <w:rPr/>
        <w:fldChar w:fldCharType="separate"/>
      </w:r>
      <w:r>
        <w:rPr>
          <w:rStyle w:val="style85"/>
          <w:noProof/>
        </w:rPr>
        <w:t>4.4 Implementation Challenges and Mitigation Strategies</w:t>
      </w:r>
      <w:r>
        <w:rPr>
          <w:noProof/>
          <w:webHidden/>
        </w:rPr>
        <w:tab/>
      </w:r>
      <w:r>
        <w:rPr>
          <w:noProof/>
          <w:webHidden/>
        </w:rPr>
        <w:fldChar w:fldCharType="begin"/>
      </w:r>
      <w:r>
        <w:rPr>
          <w:noProof/>
          <w:webHidden/>
        </w:rPr>
        <w:instrText xml:space="preserve"> PAGEREF _Toc234876929 \h </w:instrText>
      </w:r>
      <w:r>
        <w:rPr>
          <w:noProof/>
          <w:webHidden/>
        </w:rPr>
        <w:fldChar w:fldCharType="separate"/>
      </w:r>
      <w:r>
        <w:rPr>
          <w:noProof/>
          <w:webHidden/>
        </w:rPr>
        <w:t>19</w:t>
      </w:r>
      <w:r>
        <w:rPr>
          <w:noProof/>
          <w:webHidden/>
        </w:rPr>
        <w:fldChar w:fldCharType="end"/>
      </w:r>
      <w:r>
        <w:rPr/>
        <w:fldChar w:fldCharType="end"/>
      </w:r>
    </w:p>
    <w:p>
      <w:pPr>
        <w:pStyle w:val="style19"/>
        <w:tabs>
          <w:tab w:val="right" w:leader="dot" w:pos="9350"/>
        </w:tabs>
        <w:rPr>
          <w:rFonts w:ascii="Calibri" w:eastAsia="宋体" w:hAnsi="Calibri"/>
          <w:noProof/>
          <w:kern w:val="2"/>
          <w:szCs w:val="24"/>
          <w:lang w:val="en-IN" w:eastAsia="zh-CN"/>
          <w14:ligatures xmlns:w14="http://schemas.microsoft.com/office/word/2010/wordml" w14:val="standardContextual"/>
        </w:rPr>
      </w:pPr>
      <w:r>
        <w:rPr/>
        <w:fldChar w:fldCharType="begin"/>
      </w:r>
      <w:r>
        <w:instrText xml:space="preserve"> HYPERLINK \l "_Toc234876930" </w:instrText>
      </w:r>
      <w:r>
        <w:rPr/>
        <w:fldChar w:fldCharType="separate"/>
      </w:r>
      <w:r>
        <w:rPr>
          <w:rStyle w:val="style85"/>
          <w:noProof/>
        </w:rPr>
        <w:t>5. Reflective Account (Gibbs' Reflective Cycle)</w:t>
      </w:r>
      <w:r>
        <w:rPr>
          <w:noProof/>
          <w:webHidden/>
        </w:rPr>
        <w:tab/>
      </w:r>
      <w:r>
        <w:rPr>
          <w:noProof/>
          <w:webHidden/>
        </w:rPr>
        <w:fldChar w:fldCharType="begin"/>
      </w:r>
      <w:r>
        <w:rPr>
          <w:noProof/>
          <w:webHidden/>
        </w:rPr>
        <w:instrText xml:space="preserve"> PAGEREF _Toc234876930 \h </w:instrText>
      </w:r>
      <w:r>
        <w:rPr>
          <w:noProof/>
          <w:webHidden/>
        </w:rPr>
        <w:fldChar w:fldCharType="separate"/>
      </w:r>
      <w:r>
        <w:rPr>
          <w:noProof/>
          <w:webHidden/>
        </w:rPr>
        <w:t>20</w:t>
      </w:r>
      <w:r>
        <w:rPr>
          <w:noProof/>
          <w:webHidden/>
        </w:rPr>
        <w:fldChar w:fldCharType="end"/>
      </w:r>
      <w:r>
        <w:rPr/>
        <w:fldChar w:fldCharType="end"/>
      </w:r>
    </w:p>
    <w:p>
      <w:pPr>
        <w:pStyle w:val="style20"/>
        <w:tabs>
          <w:tab w:val="right" w:leader="dot" w:pos="9350"/>
        </w:tabs>
        <w:rPr>
          <w:rFonts w:ascii="Calibri" w:eastAsia="宋体" w:hAnsi="Calibri"/>
          <w:noProof/>
          <w:kern w:val="2"/>
          <w:szCs w:val="24"/>
          <w:lang w:val="en-IN" w:eastAsia="zh-CN"/>
          <w14:ligatures xmlns:w14="http://schemas.microsoft.com/office/word/2010/wordml" w14:val="standardContextual"/>
        </w:rPr>
      </w:pPr>
      <w:r>
        <w:rPr/>
        <w:fldChar w:fldCharType="begin"/>
      </w:r>
      <w:r>
        <w:instrText xml:space="preserve"> HYPERLINK \l "_Toc234876931" </w:instrText>
      </w:r>
      <w:r>
        <w:rPr/>
        <w:fldChar w:fldCharType="separate"/>
      </w:r>
      <w:r>
        <w:rPr>
          <w:rStyle w:val="style85"/>
          <w:noProof/>
        </w:rPr>
        <w:t>5.1 Description</w:t>
      </w:r>
      <w:r>
        <w:rPr>
          <w:noProof/>
          <w:webHidden/>
        </w:rPr>
        <w:tab/>
      </w:r>
      <w:r>
        <w:rPr>
          <w:noProof/>
          <w:webHidden/>
        </w:rPr>
        <w:fldChar w:fldCharType="begin"/>
      </w:r>
      <w:r>
        <w:rPr>
          <w:noProof/>
          <w:webHidden/>
        </w:rPr>
        <w:instrText xml:space="preserve"> PAGEREF _Toc234876931 \h </w:instrText>
      </w:r>
      <w:r>
        <w:rPr>
          <w:noProof/>
          <w:webHidden/>
        </w:rPr>
        <w:fldChar w:fldCharType="separate"/>
      </w:r>
      <w:r>
        <w:rPr>
          <w:noProof/>
          <w:webHidden/>
        </w:rPr>
        <w:t>20</w:t>
      </w:r>
      <w:r>
        <w:rPr>
          <w:noProof/>
          <w:webHidden/>
        </w:rPr>
        <w:fldChar w:fldCharType="end"/>
      </w:r>
      <w:r>
        <w:rPr/>
        <w:fldChar w:fldCharType="end"/>
      </w:r>
    </w:p>
    <w:p>
      <w:pPr>
        <w:pStyle w:val="style20"/>
        <w:tabs>
          <w:tab w:val="right" w:leader="dot" w:pos="9350"/>
        </w:tabs>
        <w:rPr>
          <w:rFonts w:ascii="Calibri" w:eastAsia="宋体" w:hAnsi="Calibri"/>
          <w:noProof/>
          <w:kern w:val="2"/>
          <w:szCs w:val="24"/>
          <w:lang w:val="en-IN" w:eastAsia="zh-CN"/>
          <w14:ligatures xmlns:w14="http://schemas.microsoft.com/office/word/2010/wordml" w14:val="standardContextual"/>
        </w:rPr>
      </w:pPr>
      <w:r>
        <w:rPr/>
        <w:fldChar w:fldCharType="begin"/>
      </w:r>
      <w:r>
        <w:instrText xml:space="preserve"> HYPERLINK \l "_Toc234876932" </w:instrText>
      </w:r>
      <w:r>
        <w:rPr/>
        <w:fldChar w:fldCharType="separate"/>
      </w:r>
      <w:r>
        <w:rPr>
          <w:rStyle w:val="style85"/>
          <w:noProof/>
        </w:rPr>
        <w:t>5.2 Feelings</w:t>
      </w:r>
      <w:r>
        <w:rPr>
          <w:noProof/>
          <w:webHidden/>
        </w:rPr>
        <w:tab/>
      </w:r>
      <w:r>
        <w:rPr>
          <w:noProof/>
          <w:webHidden/>
        </w:rPr>
        <w:fldChar w:fldCharType="begin"/>
      </w:r>
      <w:r>
        <w:rPr>
          <w:noProof/>
          <w:webHidden/>
        </w:rPr>
        <w:instrText xml:space="preserve"> PAGEREF _Toc234876932 \h </w:instrText>
      </w:r>
      <w:r>
        <w:rPr>
          <w:noProof/>
          <w:webHidden/>
        </w:rPr>
        <w:fldChar w:fldCharType="separate"/>
      </w:r>
      <w:r>
        <w:rPr>
          <w:noProof/>
          <w:webHidden/>
        </w:rPr>
        <w:t>21</w:t>
      </w:r>
      <w:r>
        <w:rPr>
          <w:noProof/>
          <w:webHidden/>
        </w:rPr>
        <w:fldChar w:fldCharType="end"/>
      </w:r>
      <w:r>
        <w:rPr/>
        <w:fldChar w:fldCharType="end"/>
      </w:r>
    </w:p>
    <w:p>
      <w:pPr>
        <w:pStyle w:val="style20"/>
        <w:tabs>
          <w:tab w:val="right" w:leader="dot" w:pos="9350"/>
        </w:tabs>
        <w:rPr>
          <w:rFonts w:ascii="Calibri" w:eastAsia="宋体" w:hAnsi="Calibri"/>
          <w:noProof/>
          <w:kern w:val="2"/>
          <w:szCs w:val="24"/>
          <w:lang w:val="en-IN" w:eastAsia="zh-CN"/>
          <w14:ligatures xmlns:w14="http://schemas.microsoft.com/office/word/2010/wordml" w14:val="standardContextual"/>
        </w:rPr>
      </w:pPr>
      <w:r>
        <w:rPr/>
        <w:fldChar w:fldCharType="begin"/>
      </w:r>
      <w:r>
        <w:instrText xml:space="preserve"> HYPERLINK \l "_Toc234876933" </w:instrText>
      </w:r>
      <w:r>
        <w:rPr/>
        <w:fldChar w:fldCharType="separate"/>
      </w:r>
      <w:r>
        <w:rPr>
          <w:rStyle w:val="style85"/>
          <w:noProof/>
        </w:rPr>
        <w:t>5.3 Evaluation</w:t>
      </w:r>
      <w:r>
        <w:rPr>
          <w:noProof/>
          <w:webHidden/>
        </w:rPr>
        <w:tab/>
      </w:r>
      <w:r>
        <w:rPr>
          <w:noProof/>
          <w:webHidden/>
        </w:rPr>
        <w:fldChar w:fldCharType="begin"/>
      </w:r>
      <w:r>
        <w:rPr>
          <w:noProof/>
          <w:webHidden/>
        </w:rPr>
        <w:instrText xml:space="preserve"> PAGEREF _Toc234876933 \h </w:instrText>
      </w:r>
      <w:r>
        <w:rPr>
          <w:noProof/>
          <w:webHidden/>
        </w:rPr>
        <w:fldChar w:fldCharType="separate"/>
      </w:r>
      <w:r>
        <w:rPr>
          <w:noProof/>
          <w:webHidden/>
        </w:rPr>
        <w:t>21</w:t>
      </w:r>
      <w:r>
        <w:rPr>
          <w:noProof/>
          <w:webHidden/>
        </w:rPr>
        <w:fldChar w:fldCharType="end"/>
      </w:r>
      <w:r>
        <w:rPr/>
        <w:fldChar w:fldCharType="end"/>
      </w:r>
    </w:p>
    <w:p>
      <w:pPr>
        <w:pStyle w:val="style20"/>
        <w:tabs>
          <w:tab w:val="right" w:leader="dot" w:pos="9350"/>
        </w:tabs>
        <w:rPr>
          <w:rFonts w:ascii="Calibri" w:eastAsia="宋体" w:hAnsi="Calibri"/>
          <w:noProof/>
          <w:kern w:val="2"/>
          <w:szCs w:val="24"/>
          <w:lang w:val="en-IN" w:eastAsia="zh-CN"/>
          <w14:ligatures xmlns:w14="http://schemas.microsoft.com/office/word/2010/wordml" w14:val="standardContextual"/>
        </w:rPr>
      </w:pPr>
      <w:r>
        <w:rPr/>
        <w:fldChar w:fldCharType="begin"/>
      </w:r>
      <w:r>
        <w:instrText xml:space="preserve"> HYPERLINK \l "_Toc234876934" </w:instrText>
      </w:r>
      <w:r>
        <w:rPr/>
        <w:fldChar w:fldCharType="separate"/>
      </w:r>
      <w:r>
        <w:rPr>
          <w:rStyle w:val="style85"/>
          <w:noProof/>
        </w:rPr>
        <w:t>5.4 Analysis</w:t>
      </w:r>
      <w:r>
        <w:rPr>
          <w:noProof/>
          <w:webHidden/>
        </w:rPr>
        <w:tab/>
      </w:r>
      <w:r>
        <w:rPr>
          <w:noProof/>
          <w:webHidden/>
        </w:rPr>
        <w:fldChar w:fldCharType="begin"/>
      </w:r>
      <w:r>
        <w:rPr>
          <w:noProof/>
          <w:webHidden/>
        </w:rPr>
        <w:instrText xml:space="preserve"> PAGEREF _Toc234876934 \h </w:instrText>
      </w:r>
      <w:r>
        <w:rPr>
          <w:noProof/>
          <w:webHidden/>
        </w:rPr>
        <w:fldChar w:fldCharType="separate"/>
      </w:r>
      <w:r>
        <w:rPr>
          <w:noProof/>
          <w:webHidden/>
        </w:rPr>
        <w:t>22</w:t>
      </w:r>
      <w:r>
        <w:rPr>
          <w:noProof/>
          <w:webHidden/>
        </w:rPr>
        <w:fldChar w:fldCharType="end"/>
      </w:r>
      <w:r>
        <w:rPr/>
        <w:fldChar w:fldCharType="end"/>
      </w:r>
    </w:p>
    <w:p>
      <w:pPr>
        <w:pStyle w:val="style20"/>
        <w:tabs>
          <w:tab w:val="right" w:leader="dot" w:pos="9350"/>
        </w:tabs>
        <w:rPr>
          <w:rFonts w:ascii="Calibri" w:eastAsia="宋体" w:hAnsi="Calibri"/>
          <w:noProof/>
          <w:kern w:val="2"/>
          <w:szCs w:val="24"/>
          <w:lang w:val="en-IN" w:eastAsia="zh-CN"/>
          <w14:ligatures xmlns:w14="http://schemas.microsoft.com/office/word/2010/wordml" w14:val="standardContextual"/>
        </w:rPr>
      </w:pPr>
      <w:r>
        <w:rPr/>
        <w:fldChar w:fldCharType="begin"/>
      </w:r>
      <w:r>
        <w:instrText xml:space="preserve"> HYPERLINK \l "_Toc234876935" </w:instrText>
      </w:r>
      <w:r>
        <w:rPr/>
        <w:fldChar w:fldCharType="separate"/>
      </w:r>
      <w:r>
        <w:rPr>
          <w:rStyle w:val="style85"/>
          <w:noProof/>
        </w:rPr>
        <w:t>5.5 Conclusion</w:t>
      </w:r>
      <w:r>
        <w:rPr>
          <w:noProof/>
          <w:webHidden/>
        </w:rPr>
        <w:tab/>
      </w:r>
      <w:r>
        <w:rPr>
          <w:noProof/>
          <w:webHidden/>
        </w:rPr>
        <w:fldChar w:fldCharType="begin"/>
      </w:r>
      <w:r>
        <w:rPr>
          <w:noProof/>
          <w:webHidden/>
        </w:rPr>
        <w:instrText xml:space="preserve"> PAGEREF _Toc234876935 \h </w:instrText>
      </w:r>
      <w:r>
        <w:rPr>
          <w:noProof/>
          <w:webHidden/>
        </w:rPr>
        <w:fldChar w:fldCharType="separate"/>
      </w:r>
      <w:r>
        <w:rPr>
          <w:noProof/>
          <w:webHidden/>
        </w:rPr>
        <w:t>22</w:t>
      </w:r>
      <w:r>
        <w:rPr>
          <w:noProof/>
          <w:webHidden/>
        </w:rPr>
        <w:fldChar w:fldCharType="end"/>
      </w:r>
      <w:r>
        <w:rPr/>
        <w:fldChar w:fldCharType="end"/>
      </w:r>
    </w:p>
    <w:p>
      <w:pPr>
        <w:pStyle w:val="style20"/>
        <w:tabs>
          <w:tab w:val="right" w:leader="dot" w:pos="9350"/>
        </w:tabs>
        <w:rPr>
          <w:rFonts w:ascii="Calibri" w:eastAsia="宋体" w:hAnsi="Calibri"/>
          <w:noProof/>
          <w:kern w:val="2"/>
          <w:szCs w:val="24"/>
          <w:lang w:val="en-IN" w:eastAsia="zh-CN"/>
          <w14:ligatures xmlns:w14="http://schemas.microsoft.com/office/word/2010/wordml" w14:val="standardContextual"/>
        </w:rPr>
      </w:pPr>
      <w:r>
        <w:rPr/>
        <w:fldChar w:fldCharType="begin"/>
      </w:r>
      <w:r>
        <w:instrText xml:space="preserve"> HYPERLINK \l "_Toc234876936" </w:instrText>
      </w:r>
      <w:r>
        <w:rPr/>
        <w:fldChar w:fldCharType="separate"/>
      </w:r>
      <w:r>
        <w:rPr>
          <w:rStyle w:val="style85"/>
          <w:noProof/>
        </w:rPr>
        <w:t>5.6 Action Plan</w:t>
      </w:r>
      <w:r>
        <w:rPr>
          <w:noProof/>
          <w:webHidden/>
        </w:rPr>
        <w:tab/>
      </w:r>
      <w:r>
        <w:rPr>
          <w:noProof/>
          <w:webHidden/>
        </w:rPr>
        <w:fldChar w:fldCharType="begin"/>
      </w:r>
      <w:r>
        <w:rPr>
          <w:noProof/>
          <w:webHidden/>
        </w:rPr>
        <w:instrText xml:space="preserve"> PAGEREF _Toc234876936 \h </w:instrText>
      </w:r>
      <w:r>
        <w:rPr>
          <w:noProof/>
          <w:webHidden/>
        </w:rPr>
        <w:fldChar w:fldCharType="separate"/>
      </w:r>
      <w:r>
        <w:rPr>
          <w:noProof/>
          <w:webHidden/>
        </w:rPr>
        <w:t>23</w:t>
      </w:r>
      <w:r>
        <w:rPr>
          <w:noProof/>
          <w:webHidden/>
        </w:rPr>
        <w:fldChar w:fldCharType="end"/>
      </w:r>
      <w:r>
        <w:rPr/>
        <w:fldChar w:fldCharType="end"/>
      </w:r>
    </w:p>
    <w:p>
      <w:pPr>
        <w:pStyle w:val="style19"/>
        <w:tabs>
          <w:tab w:val="right" w:leader="dot" w:pos="9350"/>
        </w:tabs>
        <w:rPr>
          <w:rFonts w:ascii="Calibri" w:eastAsia="宋体" w:hAnsi="Calibri"/>
          <w:noProof/>
          <w:kern w:val="2"/>
          <w:szCs w:val="24"/>
          <w:lang w:val="en-IN" w:eastAsia="zh-CN"/>
          <w14:ligatures xmlns:w14="http://schemas.microsoft.com/office/word/2010/wordml" w14:val="standardContextual"/>
        </w:rPr>
      </w:pPr>
      <w:r>
        <w:rPr/>
        <w:fldChar w:fldCharType="begin"/>
      </w:r>
      <w:r>
        <w:instrText xml:space="preserve"> HYPERLINK \l "_Toc234876937" </w:instrText>
      </w:r>
      <w:r>
        <w:rPr/>
        <w:fldChar w:fldCharType="separate"/>
      </w:r>
      <w:r>
        <w:rPr>
          <w:rStyle w:val="style85"/>
          <w:noProof/>
        </w:rPr>
        <w:t>References</w:t>
      </w:r>
      <w:r>
        <w:rPr>
          <w:noProof/>
          <w:webHidden/>
        </w:rPr>
        <w:tab/>
      </w:r>
      <w:r>
        <w:rPr>
          <w:noProof/>
          <w:webHidden/>
        </w:rPr>
        <w:fldChar w:fldCharType="begin"/>
      </w:r>
      <w:r>
        <w:rPr>
          <w:noProof/>
          <w:webHidden/>
        </w:rPr>
        <w:instrText xml:space="preserve"> PAGEREF _Toc234876937 \h </w:instrText>
      </w:r>
      <w:r>
        <w:rPr>
          <w:noProof/>
          <w:webHidden/>
        </w:rPr>
        <w:fldChar w:fldCharType="separate"/>
      </w:r>
      <w:r>
        <w:rPr>
          <w:noProof/>
          <w:webHidden/>
        </w:rPr>
        <w:t>24</w:t>
      </w:r>
      <w:r>
        <w:rPr>
          <w:noProof/>
          <w:webHidden/>
        </w:rPr>
        <w:fldChar w:fldCharType="end"/>
      </w:r>
      <w:r>
        <w:rPr/>
        <w:fldChar w:fldCharType="end"/>
      </w:r>
    </w:p>
    <w:p>
      <w:pPr>
        <w:pStyle w:val="style19"/>
        <w:tabs>
          <w:tab w:val="right" w:leader="dot" w:pos="9350"/>
        </w:tabs>
        <w:rPr>
          <w:rFonts w:ascii="Calibri" w:eastAsia="宋体" w:hAnsi="Calibri"/>
          <w:noProof/>
          <w:kern w:val="2"/>
          <w:szCs w:val="24"/>
          <w:lang w:val="en-IN" w:eastAsia="zh-CN"/>
          <w14:ligatures xmlns:w14="http://schemas.microsoft.com/office/word/2010/wordml" w14:val="standardContextual"/>
        </w:rPr>
      </w:pPr>
      <w:r>
        <w:rPr/>
        <w:fldChar w:fldCharType="begin"/>
      </w:r>
      <w:r>
        <w:instrText xml:space="preserve"> HYPERLINK \l "_Toc234876938" </w:instrText>
      </w:r>
      <w:r>
        <w:rPr/>
        <w:fldChar w:fldCharType="separate"/>
      </w:r>
      <w:r>
        <w:rPr>
          <w:rStyle w:val="style85"/>
          <w:noProof/>
        </w:rPr>
        <w:t>Appendices</w:t>
      </w:r>
      <w:r>
        <w:rPr>
          <w:noProof/>
          <w:webHidden/>
        </w:rPr>
        <w:tab/>
      </w:r>
      <w:r>
        <w:rPr>
          <w:noProof/>
          <w:webHidden/>
        </w:rPr>
        <w:fldChar w:fldCharType="begin"/>
      </w:r>
      <w:r>
        <w:rPr>
          <w:noProof/>
          <w:webHidden/>
        </w:rPr>
        <w:instrText xml:space="preserve"> PAGEREF _Toc234876938 \h </w:instrText>
      </w:r>
      <w:r>
        <w:rPr>
          <w:noProof/>
          <w:webHidden/>
        </w:rPr>
        <w:fldChar w:fldCharType="separate"/>
      </w:r>
      <w:r>
        <w:rPr>
          <w:noProof/>
          <w:webHidden/>
        </w:rPr>
        <w:t>29</w:t>
      </w:r>
      <w:r>
        <w:rPr>
          <w:noProof/>
          <w:webHidden/>
        </w:rPr>
        <w:fldChar w:fldCharType="end"/>
      </w:r>
      <w:r>
        <w:rPr/>
        <w:fldChar w:fldCharType="end"/>
      </w:r>
    </w:p>
    <w:p>
      <w:pPr>
        <w:pStyle w:val="style20"/>
        <w:tabs>
          <w:tab w:val="right" w:leader="dot" w:pos="9350"/>
        </w:tabs>
        <w:rPr>
          <w:rFonts w:ascii="Calibri" w:eastAsia="宋体" w:hAnsi="Calibri"/>
          <w:noProof/>
          <w:kern w:val="2"/>
          <w:szCs w:val="24"/>
          <w:lang w:val="en-IN" w:eastAsia="zh-CN"/>
          <w14:ligatures xmlns:w14="http://schemas.microsoft.com/office/word/2010/wordml" w14:val="standardContextual"/>
        </w:rPr>
      </w:pPr>
      <w:r>
        <w:rPr/>
        <w:fldChar w:fldCharType="begin"/>
      </w:r>
      <w:r>
        <w:instrText xml:space="preserve"> HYPERLINK \l "_Toc234876939" </w:instrText>
      </w:r>
      <w:r>
        <w:rPr/>
        <w:fldChar w:fldCharType="separate"/>
      </w:r>
      <w:r>
        <w:rPr>
          <w:rStyle w:val="style85"/>
          <w:noProof/>
        </w:rPr>
        <w:t>Appendix 1: Summary of PESTEL Analysis for Tesla's Passenger EV Business in China</w:t>
      </w:r>
      <w:r>
        <w:rPr>
          <w:noProof/>
          <w:webHidden/>
        </w:rPr>
        <w:tab/>
      </w:r>
      <w:r>
        <w:rPr>
          <w:noProof/>
          <w:webHidden/>
        </w:rPr>
        <w:fldChar w:fldCharType="begin"/>
      </w:r>
      <w:r>
        <w:rPr>
          <w:noProof/>
          <w:webHidden/>
        </w:rPr>
        <w:instrText xml:space="preserve"> PAGEREF _Toc234876939 \h </w:instrText>
      </w:r>
      <w:r>
        <w:rPr>
          <w:noProof/>
          <w:webHidden/>
        </w:rPr>
        <w:fldChar w:fldCharType="separate"/>
      </w:r>
      <w:r>
        <w:rPr>
          <w:noProof/>
          <w:webHidden/>
        </w:rPr>
        <w:t>29</w:t>
      </w:r>
      <w:r>
        <w:rPr>
          <w:noProof/>
          <w:webHidden/>
        </w:rPr>
        <w:fldChar w:fldCharType="end"/>
      </w:r>
      <w:r>
        <w:rPr/>
        <w:fldChar w:fldCharType="end"/>
      </w:r>
    </w:p>
    <w:p>
      <w:pPr>
        <w:pStyle w:val="style20"/>
        <w:tabs>
          <w:tab w:val="right" w:leader="dot" w:pos="9350"/>
        </w:tabs>
        <w:rPr>
          <w:rFonts w:ascii="Calibri" w:eastAsia="宋体" w:hAnsi="Calibri"/>
          <w:noProof/>
          <w:kern w:val="2"/>
          <w:szCs w:val="24"/>
          <w:lang w:val="en-IN" w:eastAsia="zh-CN"/>
          <w14:ligatures xmlns:w14="http://schemas.microsoft.com/office/word/2010/wordml" w14:val="standardContextual"/>
        </w:rPr>
      </w:pPr>
      <w:r>
        <w:rPr/>
        <w:fldChar w:fldCharType="begin"/>
      </w:r>
      <w:r>
        <w:instrText xml:space="preserve"> HYPERLINK \l "_Toc234876940" </w:instrText>
      </w:r>
      <w:r>
        <w:rPr/>
        <w:fldChar w:fldCharType="separate"/>
      </w:r>
      <w:r>
        <w:rPr>
          <w:rStyle w:val="style85"/>
          <w:noProof/>
        </w:rPr>
        <w:t>Appendix 2: VRIO Analysis of Tesla's Internal Resources</w:t>
      </w:r>
      <w:r>
        <w:rPr>
          <w:noProof/>
          <w:webHidden/>
        </w:rPr>
        <w:tab/>
      </w:r>
      <w:r>
        <w:rPr>
          <w:noProof/>
          <w:webHidden/>
        </w:rPr>
        <w:fldChar w:fldCharType="begin"/>
      </w:r>
      <w:r>
        <w:rPr>
          <w:noProof/>
          <w:webHidden/>
        </w:rPr>
        <w:instrText xml:space="preserve"> PAGEREF _Toc234876940 \h </w:instrText>
      </w:r>
      <w:r>
        <w:rPr>
          <w:noProof/>
          <w:webHidden/>
        </w:rPr>
        <w:fldChar w:fldCharType="separate"/>
      </w:r>
      <w:r>
        <w:rPr>
          <w:noProof/>
          <w:webHidden/>
        </w:rPr>
        <w:t>30</w:t>
      </w:r>
      <w:r>
        <w:rPr>
          <w:noProof/>
          <w:webHidden/>
        </w:rPr>
        <w:fldChar w:fldCharType="end"/>
      </w:r>
      <w:r>
        <w:rPr/>
        <w:fldChar w:fldCharType="end"/>
      </w:r>
    </w:p>
    <w:p>
      <w:pPr>
        <w:pStyle w:val="style20"/>
        <w:tabs>
          <w:tab w:val="right" w:leader="dot" w:pos="9350"/>
        </w:tabs>
        <w:rPr>
          <w:rFonts w:ascii="Calibri" w:eastAsia="宋体" w:hAnsi="Calibri"/>
          <w:noProof/>
          <w:kern w:val="2"/>
          <w:szCs w:val="24"/>
          <w:lang w:val="en-IN" w:eastAsia="zh-CN"/>
          <w14:ligatures xmlns:w14="http://schemas.microsoft.com/office/word/2010/wordml" w14:val="standardContextual"/>
        </w:rPr>
      </w:pPr>
      <w:r>
        <w:rPr/>
        <w:fldChar w:fldCharType="begin"/>
      </w:r>
      <w:r>
        <w:instrText xml:space="preserve"> HYPERLINK \l "_Toc234876941" </w:instrText>
      </w:r>
      <w:r>
        <w:rPr/>
        <w:fldChar w:fldCharType="separate"/>
      </w:r>
      <w:r>
        <w:rPr>
          <w:rStyle w:val="style85"/>
          <w:noProof/>
        </w:rPr>
        <w:t>Appendix 3: SWOT Analysis of Tesla's Passenger EV Business in China</w:t>
      </w:r>
      <w:r>
        <w:rPr>
          <w:noProof/>
          <w:webHidden/>
        </w:rPr>
        <w:tab/>
      </w:r>
      <w:r>
        <w:rPr>
          <w:noProof/>
          <w:webHidden/>
        </w:rPr>
        <w:fldChar w:fldCharType="begin"/>
      </w:r>
      <w:r>
        <w:rPr>
          <w:noProof/>
          <w:webHidden/>
        </w:rPr>
        <w:instrText xml:space="preserve"> PAGEREF _Toc234876941 \h </w:instrText>
      </w:r>
      <w:r>
        <w:rPr>
          <w:noProof/>
          <w:webHidden/>
        </w:rPr>
        <w:fldChar w:fldCharType="separate"/>
      </w:r>
      <w:r>
        <w:rPr>
          <w:noProof/>
          <w:webHidden/>
        </w:rPr>
        <w:t>31</w:t>
      </w:r>
      <w:r>
        <w:rPr>
          <w:noProof/>
          <w:webHidden/>
        </w:rPr>
        <w:fldChar w:fldCharType="end"/>
      </w:r>
      <w:r>
        <w:rPr/>
        <w:fldChar w:fldCharType="end"/>
      </w:r>
    </w:p>
    <w:p>
      <w:pPr>
        <w:pStyle w:val="style20"/>
        <w:tabs>
          <w:tab w:val="right" w:leader="dot" w:pos="9350"/>
        </w:tabs>
        <w:rPr>
          <w:rFonts w:ascii="Calibri" w:eastAsia="宋体" w:hAnsi="Calibri"/>
          <w:noProof/>
          <w:kern w:val="2"/>
          <w:szCs w:val="24"/>
          <w:lang w:val="en-IN" w:eastAsia="zh-CN"/>
          <w14:ligatures xmlns:w14="http://schemas.microsoft.com/office/word/2010/wordml" w14:val="standardContextual"/>
        </w:rPr>
      </w:pPr>
      <w:r>
        <w:rPr/>
        <w:fldChar w:fldCharType="begin"/>
      </w:r>
      <w:r>
        <w:instrText xml:space="preserve"> HYPERLINK \l "_Toc234876942" </w:instrText>
      </w:r>
      <w:r>
        <w:rPr/>
        <w:fldChar w:fldCharType="separate"/>
      </w:r>
      <w:r>
        <w:rPr>
          <w:rStyle w:val="style85"/>
          <w:noProof/>
        </w:rPr>
        <w:t>Appendix 4: Balanced Scorecard for Tesla's Passenger EV Business in China</w:t>
      </w:r>
      <w:r>
        <w:rPr>
          <w:noProof/>
          <w:webHidden/>
        </w:rPr>
        <w:tab/>
      </w:r>
      <w:r>
        <w:rPr>
          <w:noProof/>
          <w:webHidden/>
        </w:rPr>
        <w:fldChar w:fldCharType="begin"/>
      </w:r>
      <w:r>
        <w:rPr>
          <w:noProof/>
          <w:webHidden/>
        </w:rPr>
        <w:instrText xml:space="preserve"> PAGEREF _Toc234876942 \h </w:instrText>
      </w:r>
      <w:r>
        <w:rPr>
          <w:noProof/>
          <w:webHidden/>
        </w:rPr>
        <w:fldChar w:fldCharType="separate"/>
      </w:r>
      <w:r>
        <w:rPr>
          <w:noProof/>
          <w:webHidden/>
        </w:rPr>
        <w:t>32</w:t>
      </w:r>
      <w:r>
        <w:rPr>
          <w:noProof/>
          <w:webHidden/>
        </w:rPr>
        <w:fldChar w:fldCharType="end"/>
      </w:r>
      <w:r>
        <w:rPr/>
        <w:fldChar w:fldCharType="end"/>
      </w:r>
    </w:p>
    <w:p>
      <w:pPr>
        <w:pStyle w:val="style0"/>
        <w:rPr/>
      </w:pPr>
      <w:r>
        <w:rPr>
          <w:rFonts w:cs="Arial"/>
        </w:rPr>
        <w:fldChar w:fldCharType="end"/>
      </w:r>
    </w:p>
    <w:p>
      <w:pPr>
        <w:pStyle w:val="style0"/>
        <w:spacing w:lineRule="auto" w:line="276"/>
        <w:jc w:val="left"/>
        <w:rPr/>
      </w:pPr>
    </w:p>
    <w:p>
      <w:pPr>
        <w:pStyle w:val="style0"/>
        <w:rPr/>
      </w:pPr>
    </w:p>
    <w:p>
      <w:pPr>
        <w:pStyle w:val="style0"/>
        <w:spacing w:lineRule="auto" w:line="276"/>
        <w:jc w:val="left"/>
        <w:rPr>
          <w:rFonts w:cs="宋体" w:eastAsia="宋体"/>
          <w:b/>
          <w:bCs/>
          <w:sz w:val="28"/>
          <w:szCs w:val="28"/>
        </w:rPr>
      </w:pPr>
      <w:r>
        <w:br w:type="page"/>
      </w:r>
    </w:p>
    <w:bookmarkStart w:id="0" w:name="_Toc234876914"/>
    <w:p>
      <w:pPr>
        <w:pStyle w:val="style1"/>
        <w:rPr/>
      </w:pPr>
      <w:r>
        <w:t>1. Organisational Context and Overview</w:t>
      </w:r>
      <w:bookmarkEnd w:id="0"/>
      <w:r>
        <w:t xml:space="preserve"> </w:t>
      </w:r>
    </w:p>
    <w:bookmarkStart w:id="1" w:name="_Toc234876915"/>
    <w:p>
      <w:pPr>
        <w:pStyle w:val="style2"/>
        <w:rPr/>
      </w:pPr>
      <w:r>
        <w:t>1.1 Company Overview</w:t>
      </w:r>
      <w:bookmarkEnd w:id="1"/>
    </w:p>
    <w:p>
      <w:pPr>
        <w:pStyle w:val="style0"/>
        <w:rPr/>
      </w:pPr>
      <w:r>
        <w:t>Tesla, Inc. is a company that manufactures and sells mainly passenger electric vehicles (EVs), battery energy storage systems (BESS), and AI-powered mobility services. Established in 2003 and headquartered in Austin, Texas, Tesla's vision is “to create the world's most compelling automobile company by leading the transition to zero-emission transport” and mission is “to accelerate the world's transition to sustainable energy” (Tesla, 2023). Unlike conventional car companies, Tesla's solution is not just about electric vehicles; it also brings together a bundle of software and renewable energy technologies for consumers, generating several vectors of customer value and differentiation. Despite growing competition and decelerating electric vehicle market growth, Tesla produced about 1.64 million cars worldwide in 2025, showcasing its robust production capacity (Kolodny, 2026).</w:t>
      </w:r>
    </w:p>
    <w:bookmarkStart w:id="2" w:name="_Toc234876916"/>
    <w:p>
      <w:pPr>
        <w:pStyle w:val="style2"/>
        <w:rPr/>
      </w:pPr>
      <w:r>
        <w:t>1.2 Historical Development and Business Model</w:t>
      </w:r>
      <w:bookmarkEnd w:id="2"/>
    </w:p>
    <w:p>
      <w:pPr>
        <w:pStyle w:val="style0"/>
        <w:rPr/>
      </w:pPr>
      <w:r>
        <w:t>By relentless innovation and verticalization Tesla has become one of the world's leading automotive technology companies from an EV niche brand. In 2019, Major milestones include the success of the Roadster, the introduction of the model 3 and Y to mass market, and the improvement in China production efficiency, supply chain integration and responsiveness by establishing Gigafactory Shanghai (Tesla Inc, 2020). Its vertically integrated business model spans from battery technology, vehicle manufacturing, software development and directly retailing and deploying its products after-sales, allowing it to continuously improve the cars with over the air software updates and be less dependent on intermediaries. This model, however, requires significant investment, and efficiency and innovation are key to maintaining competitive advantage.</w:t>
      </w:r>
    </w:p>
    <w:bookmarkStart w:id="3" w:name="_Toc234876917"/>
    <w:p>
      <w:pPr>
        <w:pStyle w:val="style2"/>
        <w:rPr/>
      </w:pPr>
      <w:r>
        <w:t>1.3 Industry, Market Position and Strategic Focus</w:t>
      </w:r>
      <w:bookmarkEnd w:id="3"/>
    </w:p>
    <w:p>
      <w:pPr>
        <w:pStyle w:val="style0"/>
        <w:rPr/>
      </w:pPr>
      <w:r>
        <w:t xml:space="preserve">Tesla is a global player in the electric vehicle sector where the competition is fierce, decarbonisation is heavily government promoted and technology is rapidly changing. The Chinese passenger EV market is by far the world's largest EV market, accounting </w:t>
      </w:r>
      <w:r>
        <w:t>for some 851,000 Chinese vehicles which, based on the Shanghai government, is close to 52% of all of Tesla's global vehicles produced (Shanghai.gov.cn, 2025). But with the advancement of technology and a leader in price, Tesla is finding that it is being challenged by rivals BYD, NIO, XPeng and Li Auto by the day. Tesla, with its premier electric vehicle brand and impressive technological prowess, will need to constantly reinvent and strategically adapt themselves in order to stay competitive in the Chinese marketplace.</w:t>
      </w:r>
    </w:p>
    <w:p>
      <w:pPr>
        <w:pStyle w:val="style0"/>
        <w:rPr/>
      </w:pPr>
      <w:r>
        <w:rPr/>
        <w:drawing>
          <wp:inline distL="0" distT="0" distB="0" distR="0">
            <wp:extent cx="5943600" cy="3086100"/>
            <wp:effectExtent l="19050" t="0" r="0" b="0"/>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 cstate="print"/>
                    <a:srcRect l="0" t="0" r="0" b="7693"/>
                    <a:stretch/>
                  </pic:blipFill>
                  <pic:spPr>
                    <a:xfrm rot="0">
                      <a:off x="0" y="0"/>
                      <a:ext cx="5943600" cy="3086100"/>
                    </a:xfrm>
                    <a:prstGeom prst="rect"/>
                  </pic:spPr>
                </pic:pic>
              </a:graphicData>
            </a:graphic>
          </wp:inline>
        </w:drawing>
      </w:r>
    </w:p>
    <w:p>
      <w:pPr>
        <w:pStyle w:val="style0"/>
        <w:jc w:val="center"/>
        <w:rPr>
          <w:b/>
        </w:rPr>
      </w:pPr>
      <w:r>
        <w:rPr>
          <w:b/>
        </w:rPr>
        <w:t>Figure 1: China Electric Vehicle Market Size</w:t>
      </w:r>
    </w:p>
    <w:p>
      <w:pPr>
        <w:pStyle w:val="style0"/>
        <w:jc w:val="center"/>
        <w:rPr/>
      </w:pPr>
      <w:r>
        <w:t>(Source: Grandviewresearch.com, 2025)</w:t>
      </w:r>
    </w:p>
    <w:bookmarkStart w:id="4" w:name="_Toc234876918"/>
    <w:p>
      <w:pPr>
        <w:pStyle w:val="style1"/>
        <w:rPr/>
      </w:pPr>
      <w:r>
        <w:t>2. External and Internal Analysis</w:t>
      </w:r>
      <w:bookmarkEnd w:id="4"/>
    </w:p>
    <w:bookmarkStart w:id="5" w:name="_Toc234876919"/>
    <w:p>
      <w:pPr>
        <w:pStyle w:val="style2"/>
        <w:rPr/>
      </w:pPr>
      <w:r>
        <w:t>2.1 External Analysis (PESTEL Analysis)</w:t>
      </w:r>
      <w:bookmarkEnd w:id="5"/>
    </w:p>
    <w:p>
      <w:pPr>
        <w:pStyle w:val="style0"/>
        <w:rPr/>
      </w:pPr>
      <w:r>
        <w:t xml:space="preserve">China's industrial policies, the speed of technological innovation, and economic uncertainty and strong domestic competition contribute to shaping Tesla's strategic position in the passenger vehicle EV market in China (Li, Zou and Zhu, 2024). With the EV industry in China moving from demand led growth to innovation and </w:t>
      </w:r>
      <w:r>
        <w:t>cost-based</w:t>
      </w:r>
      <w:r>
        <w:t xml:space="preserve"> competition, the following PESTEL analysis considers external, most probable </w:t>
      </w:r>
      <w:r>
        <w:t>opportunities and threats facing the company and their effect on Tesla's long-term competitiveness.</w:t>
      </w:r>
      <w:r>
        <w:t xml:space="preserve"> A PESTEL analysis, which provides an overview of Tesla's external business context, is presented in </w:t>
      </w:r>
      <w:r>
        <w:rPr>
          <w:b/>
          <w:i/>
        </w:rPr>
        <w:t>Appendix 1</w:t>
      </w:r>
      <w:r>
        <w:t>.</w:t>
      </w:r>
    </w:p>
    <w:p>
      <w:pPr>
        <w:pStyle w:val="style0"/>
        <w:rPr>
          <w:b/>
          <w:bCs/>
        </w:rPr>
      </w:pPr>
      <w:r>
        <w:rPr>
          <w:b/>
          <w:bCs/>
        </w:rPr>
        <w:t>Political Factors</w:t>
      </w:r>
    </w:p>
    <w:p>
      <w:pPr>
        <w:pStyle w:val="style0"/>
        <w:rPr/>
      </w:pPr>
      <w:r>
        <w:t>Government policy is still the number one force behind China's EV industry. The goal of carbon neutrality by 2060 and the ongoing effort to promote New Energy Vehicle (NEV) policies have stimulated EV growth in China via infrastructure investments and tax incentives and industrial policy support. The International Energy Agency projected that more than 13 million EVs were sold in China in 2025, accounting for around 55% of total new passenger vehicle sales and around 60% of global EV sales</w:t>
      </w:r>
      <w:r>
        <w:t xml:space="preserve"> </w:t>
      </w:r>
      <w:r>
        <w:t>(</w:t>
      </w:r>
      <w:r>
        <w:rPr>
          <w:rFonts w:cs="Arial"/>
        </w:rPr>
        <w:t xml:space="preserve">International Energy Agency </w:t>
      </w:r>
      <w:r>
        <w:rPr>
          <w:rFonts w:cs="Arial"/>
        </w:rPr>
        <w:t>(</w:t>
      </w:r>
      <w:r>
        <w:t>IEA</w:t>
      </w:r>
      <w:r>
        <w:t>)</w:t>
      </w:r>
      <w:r>
        <w:t>, 2026a)</w:t>
      </w:r>
      <w:r>
        <w:t xml:space="preserve">. This </w:t>
      </w:r>
      <w:r>
        <w:t xml:space="preserve">further </w:t>
      </w:r>
      <w:r>
        <w:t>solidifie</w:t>
      </w:r>
      <w:r>
        <w:t>s</w:t>
      </w:r>
      <w:r>
        <w:t xml:space="preserve"> the Chinese market's role as the world's largest EV market. </w:t>
      </w:r>
    </w:p>
    <w:p>
      <w:pPr>
        <w:pStyle w:val="style0"/>
        <w:rPr/>
      </w:pPr>
      <w:r>
        <w:t>Tesla faces significant market opportunity with the policies - they increase consumer demand and boost charging infrastructure. In recent years, however, industrial policy has gained a new pro-domestic bias in the form of local innovation schemes and the creation of supply chains, and companies like BYD and XPeng are investing in boosting their competitive edge (Ezell, 2024). Additionally, ongoing geopolitical conflicts between the United States and China create the possibility of regulatory, tariff, and supply chain limitation. Given China's political climate is conducive to the growth of EV markets, nonetheless, Tesla has to be less reliant on favourable policy conditions by enhancing innovation and localisation.</w:t>
      </w:r>
    </w:p>
    <w:p>
      <w:pPr>
        <w:pStyle w:val="style0"/>
        <w:rPr>
          <w:b/>
          <w:bCs/>
        </w:rPr>
      </w:pPr>
      <w:r>
        <w:rPr>
          <w:b/>
          <w:bCs/>
        </w:rPr>
        <w:t>Economic Factors</w:t>
      </w:r>
    </w:p>
    <w:p>
      <w:pPr>
        <w:pStyle w:val="style0"/>
        <w:rPr/>
      </w:pPr>
      <w:r>
        <w:t>Yet the economy brings opportunities as well as challenges to Tesla. Economies of scale, falling battery prices, and a high production scale continues to support China's EV sector. In 2025, China also made almost 75% of global EVs, underlining the dominant role China plays in the global EV supply chain (</w:t>
      </w:r>
      <w:r>
        <w:rPr>
          <w:rFonts w:cs="Arial"/>
        </w:rPr>
        <w:t xml:space="preserve">International Energy Agency </w:t>
      </w:r>
      <w:r>
        <w:rPr>
          <w:rFonts w:cs="Arial"/>
        </w:rPr>
        <w:t>(</w:t>
      </w:r>
      <w:r>
        <w:t>IEA</w:t>
      </w:r>
      <w:r>
        <w:t>)</w:t>
      </w:r>
      <w:r>
        <w:t xml:space="preserve">, 2026b). However, the pressure on manufacturing margins has been increased by a slowdown in domestic demand and an aggressive price competition. Domestic rivals have rolled out very competitive prices, compelling Tesla to make several pricing cuts to </w:t>
      </w:r>
      <w:r>
        <w:t>keep sales moving (Yan, 2022). While there is some price pressure offset by falling battery prices, continued price competition threatens to compromise Tesla's brand appeal and profitability. Thus, over time, greater competitive advantage will be achieved through productivity improvements and software-generated revenue sources rather than just vehicle prices.</w:t>
      </w:r>
    </w:p>
    <w:p>
      <w:pPr>
        <w:pStyle w:val="style0"/>
        <w:rPr>
          <w:b/>
          <w:bCs/>
        </w:rPr>
      </w:pPr>
      <w:r>
        <w:rPr>
          <w:b/>
          <w:bCs/>
        </w:rPr>
        <w:t>Social Factors</w:t>
      </w:r>
    </w:p>
    <w:p>
      <w:pPr>
        <w:pStyle w:val="style0"/>
        <w:rPr/>
      </w:pPr>
      <w:r>
        <w:t xml:space="preserve">As environmental consciousness and cities' urbanization and digitalization continue to grow, the demand for intelligent EV with advanced software and self-driven attributes is getting greater from consumers, especially for Chinese consumers (Yang </w:t>
      </w:r>
      <w:r>
        <w:rPr>
          <w:i/>
        </w:rPr>
        <w:t>et al.,</w:t>
      </w:r>
      <w:r>
        <w:t xml:space="preserve"> 2024). But the buying process has turned towards value consciousness. Tesla may have a strong brand worldwide, but for a lot of Chinese consumers the impression is that their domestic competition is delivering the same tech for less. The move implies that brand reputation is less and less a source of competitive advantage. In addition to premium branding, then, Tesla will need to do more than </w:t>
      </w:r>
      <w:r>
        <w:t>verbalise</w:t>
      </w:r>
      <w:r>
        <w:t xml:space="preserve"> their value to the customer through ongoing software innovation, better after-sales, and ecosystem integration.</w:t>
      </w:r>
    </w:p>
    <w:p>
      <w:pPr>
        <w:pStyle w:val="style0"/>
        <w:rPr>
          <w:b/>
          <w:bCs/>
        </w:rPr>
      </w:pPr>
      <w:r>
        <w:rPr>
          <w:b/>
          <w:bCs/>
        </w:rPr>
        <w:t>Technological Factors</w:t>
      </w:r>
    </w:p>
    <w:p>
      <w:pPr>
        <w:pStyle w:val="style0"/>
        <w:rPr/>
      </w:pPr>
      <w:r>
        <w:t xml:space="preserve">Tesla's biggest opportunity, and biggest challenge, is technological innovation. China has become the world's hotspot for EV innovation, battery technology and intelligent connected vehicles (Mo </w:t>
      </w:r>
      <w:r>
        <w:rPr>
          <w:i/>
        </w:rPr>
        <w:t>et al.,</w:t>
      </w:r>
      <w:r>
        <w:t xml:space="preserve"> 2022). The evolution of AI, battery and driverless technologies drive shifts in competition.</w:t>
      </w:r>
    </w:p>
    <w:p>
      <w:pPr>
        <w:pStyle w:val="style0"/>
        <w:rPr/>
      </w:pPr>
      <w:r>
        <w:t>Earlier, Tesla differentiated itself through proprietary batteries, and over-the-air software updates and capabilities for full self-driving (Tesla, 2025). But as domestic automakers begin to strike similar innovations and launch new AI-powered vehicle platforms at competitive prices, technological convergence is accelerating. Protecting 'sustainability' becomes critical in the differentiated product, as the technology becomes shorter and shorter.</w:t>
      </w:r>
    </w:p>
    <w:p>
      <w:pPr>
        <w:pStyle w:val="style0"/>
        <w:rPr/>
      </w:pPr>
      <w:r>
        <w:t>As a result, the competitive future of Tesla will increasingly rely on the creation of a software ecosystem that will enable recurring value-creation for customers via digital services, AI, and connected mobility services.</w:t>
      </w:r>
    </w:p>
    <w:p>
      <w:pPr>
        <w:pStyle w:val="style0"/>
        <w:rPr>
          <w:b/>
          <w:bCs/>
        </w:rPr>
      </w:pPr>
      <w:r>
        <w:rPr>
          <w:b/>
          <w:bCs/>
        </w:rPr>
        <w:t>Environmental Factors</w:t>
      </w:r>
    </w:p>
    <w:p>
      <w:pPr>
        <w:pStyle w:val="style0"/>
        <w:rPr/>
      </w:pPr>
      <w:r>
        <w:t>While China's decarbonisation program will continue to drive the sale of battery electric vehicles, environmental sustainability is still seen as a huge opportunity for Tesla. More focus on regulating for carbon reduction, on-grid renewable energy integration and battery recycling has a very close tie-in with Tesla's medium- and long-term sustainability strategy. In addition, Tesla has pledged to reach net-zero greenhouse gas (GHG) emissions in its value chain by 2050 and to power all manufacturing processes with 100% renewable electricity by 2030 (</w:t>
      </w:r>
      <w:r>
        <w:t>Williment</w:t>
      </w:r>
      <w:r>
        <w:t xml:space="preserve">, 2026). </w:t>
      </w:r>
      <w:r>
        <w:t>However, the increased focus on the environment brings with it the need for responsible sourcing of critical minerals, and enhanced lifecycle management of batteries, thereby adding complexity to the operations.</w:t>
      </w:r>
    </w:p>
    <w:p>
      <w:pPr>
        <w:pStyle w:val="style0"/>
        <w:rPr/>
      </w:pPr>
      <w:r>
        <w:rPr>
          <w:b/>
          <w:bCs/>
        </w:rPr>
        <w:t>Legal Factors</w:t>
      </w:r>
    </w:p>
    <w:p>
      <w:pPr>
        <w:pStyle w:val="style0"/>
        <w:rPr/>
      </w:pPr>
      <w:r>
        <w:t>Strict standards for autonomous driving, cyber security and data localisation pose increasing compliance risks for legal issues. With the growing volume of consumer data and operational data generated by connected vehicles, Tesla is tasked with keeping up with the expanding data security framework in China while also keeping customers safe (Hu, 2025). So regulatory compliance has extended beyond the legal landscape to be a part of a company's strategic capabilities that affect their ability to be resilient and operate in the future market.</w:t>
      </w:r>
    </w:p>
    <w:p>
      <w:pPr>
        <w:pStyle w:val="style0"/>
        <w:rPr>
          <w:b/>
          <w:bCs/>
        </w:rPr>
      </w:pPr>
      <w:r>
        <w:rPr>
          <w:b/>
          <w:bCs/>
        </w:rPr>
        <w:t>Strategic Implications of the External Environment</w:t>
      </w:r>
    </w:p>
    <w:p>
      <w:pPr>
        <w:pStyle w:val="style0"/>
        <w:rPr/>
      </w:pPr>
      <w:r>
        <w:t xml:space="preserve">In sum, EV markets face good growth opportunities in China in the long term, though technological leadership and cost efficiency and ecosystem differentiation are increasingly driving competition. Like other automakers, the competition is fierce at home and regulatory uncertainty and consumer sensitivity can make it harder for Tesla to hold all the early-mover benefits or manufacturing advantages. Achieving a sustained </w:t>
      </w:r>
      <w:r>
        <w:t>competitive advantage will then rely on the unique internal resources and capabilities, which will be discussed below in the context of a VRIO analysis.</w:t>
      </w:r>
    </w:p>
    <w:bookmarkStart w:id="6" w:name="_Toc234876920"/>
    <w:p>
      <w:pPr>
        <w:pStyle w:val="style2"/>
        <w:rPr/>
      </w:pPr>
      <w:r>
        <w:t>2.2 Internal Analysis (VRIO Analysis)</w:t>
      </w:r>
      <w:bookmarkEnd w:id="6"/>
    </w:p>
    <w:p>
      <w:pPr>
        <w:pStyle w:val="style0"/>
        <w:rPr/>
      </w:pPr>
      <w:r>
        <w:t>Market opportunities lie in the outside world, but the long-term success of Tesla's passenger EV business in China relies on whether external resources and capabilities are valuable, rare, hard to imitate, and effectively organized (Thulin and Povlsen, 2024). The VRIO framework will be useful for identifying which of these resources will bring about sustainable competitive advantage and for identifying weaknesses in the firm that might limit the effectiveness of future strategies.</w:t>
      </w:r>
      <w:r>
        <w:t xml:space="preserve"> </w:t>
      </w:r>
      <w:r>
        <w:t xml:space="preserve">In </w:t>
      </w:r>
      <w:r>
        <w:rPr>
          <w:b/>
          <w:i/>
        </w:rPr>
        <w:t>Appendix 2</w:t>
      </w:r>
      <w:r>
        <w:t>, the VRIO analysis has been given and is applied to the internal resources and capabilities of Tesla.</w:t>
      </w:r>
    </w:p>
    <w:p>
      <w:pPr>
        <w:pStyle w:val="style0"/>
        <w:rPr/>
      </w:pPr>
      <w:r>
        <w:t xml:space="preserve">The key competitive asset for Tesla is their brand, which is </w:t>
      </w:r>
      <w:r>
        <w:t>enguided</w:t>
      </w:r>
      <w:r>
        <w:t xml:space="preserve"> worldwide and is strongly connected to technological innovation, quality and sustainability. The brand allows Tesla to charge premium prices and retain a strong customer base against the tidal wave of competition. Tesla's achieved continued intangible value, encouraged by its ability to move up the ladder in the 2025 Brand Finance Global 500 rankings, where it was the most valuable automotive brand in the world (Brand Finance, 2025). But several price cuts in China have cast doubts on its premium positioning, pointing to the fact that brand equity is less effective in winning long-term competitive value. The ongoing investment in the software and experience will be required to maintain a brand differentiation.</w:t>
      </w:r>
    </w:p>
    <w:p>
      <w:pPr>
        <w:pStyle w:val="style0"/>
        <w:rPr/>
      </w:pPr>
      <w:r>
        <w:t xml:space="preserve">Another key capability is Tesla's vertically integrated operating system, with Gigafactory Shanghai. Tesla combines battery procurement, production, software development and direct sales, which in turn reduces the manufacturing cost and enhances the operational responsiveness. By 2025, Gigafactory Shanghai had delivered around 52% of Tesla's global output, averaging 851,000 cars annually, a testament to its vital role in enabling economies of scale and manufacturing efficiency (Shanghai Municipal People's Government, 2026). But as Chinese competitors have progressed with manufacturing capabilities, it seems that operational efficiency is easier and easier to imitate. </w:t>
      </w:r>
      <w:r>
        <w:t>So,</w:t>
      </w:r>
      <w:r>
        <w:t xml:space="preserve"> scale alone cannot be the basis of a sustainable competitive advantage.</w:t>
      </w:r>
    </w:p>
    <w:p>
      <w:pPr>
        <w:pStyle w:val="style0"/>
        <w:rPr/>
      </w:pPr>
      <w:r>
        <w:t>Tesla's most tricky thing to replicate is software capability. The reliance on proprietary operating systems, over the air (OTA) software updates, artificial intelligence (AI) and Full Self Driving (FSD) technology is the beginning of connecting the dots and adding value beyond vehicle ownership (Khan, 2024). Instead of battling each other over hardware, like traditional manufacturers, Tesla constantly improves vehicle capabilities post-sale, driving customer retention and new revenue opportunities from software. While domestic manufacturers desperately catch up to Tesla in digital advances, the Tesla management team has held onto their lead by integrating AI, software and connected mobility into a single platform. This ability is thus the firm's most viable strategic asset.</w:t>
      </w:r>
    </w:p>
    <w:p>
      <w:pPr>
        <w:pStyle w:val="style0"/>
        <w:rPr/>
      </w:pPr>
      <w:r>
        <w:t xml:space="preserve">While these are its weaknesses, these do not seem to slow down its future competitiveness. The relatively narrow market representation of the company's passenger vehicles </w:t>
      </w:r>
      <w:r>
        <w:t>results</w:t>
      </w:r>
      <w:r>
        <w:t xml:space="preserve"> in lower capacity to serve the growing consumer profile in China, especially the fast-growing affordable EV segment (Shi </w:t>
      </w:r>
      <w:r>
        <w:rPr>
          <w:i/>
        </w:rPr>
        <w:t>et al.,</w:t>
      </w:r>
      <w:r>
        <w:t xml:space="preserve"> 2022). Moreover, the company's reliance on China for its manufacturing operations puts Tesla at risk of geopolitical uncertainties and regulations that are out of managerial reach. This diminishes the activity's flexibility and potential strategic risk if competition or regulatory circumstances become challenging.</w:t>
      </w:r>
    </w:p>
    <w:p>
      <w:pPr>
        <w:pStyle w:val="style0"/>
        <w:rPr/>
      </w:pPr>
      <w:r>
        <w:t>Overall, the VRIO analysis suggests that Tesla has the potential to leverage on a number of assets that have value and are well organized to provide a sustained competitive advantage, including its brand, software platform and vertically integrated operating model. But manufacturing efficiency and technological superiority are becoming more easily replicable as Chinese rivals warm up their own innovations. Thus, scaling up has become less critical to Tesla's competitiveness, and more about constantly enhancing software predominance, ecosystem connectivity, and adding value for customers, which are set to become the pillars of the company's competitive advantage in China's changing EV industry.</w:t>
      </w:r>
    </w:p>
    <w:bookmarkStart w:id="7" w:name="_Toc234876921"/>
    <w:p>
      <w:pPr>
        <w:pStyle w:val="style2"/>
        <w:rPr/>
      </w:pPr>
      <w:r>
        <w:t>2.3 SWOT Analysis</w:t>
      </w:r>
      <w:bookmarkEnd w:id="7"/>
    </w:p>
    <w:p>
      <w:pPr>
        <w:pStyle w:val="style0"/>
        <w:rPr/>
      </w:pPr>
      <w:r>
        <w:t xml:space="preserve">A SWOT (see </w:t>
      </w:r>
      <w:r>
        <w:rPr>
          <w:b/>
          <w:i/>
        </w:rPr>
        <w:t>Appendix 3</w:t>
      </w:r>
      <w:r>
        <w:t xml:space="preserve">) is a summary of </w:t>
      </w:r>
      <w:r>
        <w:t>a company’s</w:t>
      </w:r>
      <w:r>
        <w:t xml:space="preserve"> strengths, weaknesses, opportunities and threats. </w:t>
      </w:r>
      <w:r>
        <w:t xml:space="preserve">Based on SWOT, </w:t>
      </w:r>
      <w:r>
        <w:t>Tesla</w:t>
      </w:r>
      <w:r>
        <w:t xml:space="preserve"> has some resources to use </w:t>
      </w:r>
      <w:r>
        <w:t>strategically in order to take advantage of opportunities in the growing Chinese EV market. Its AI features, its own software ecosystem and the vertically integrated production model enable it to reap the benefits of rising demand for intelligent connected cars and software-based mobility services, in particular (Miao, 2025). These advantages give Tesla the power to continue to drive differentiation and create value for the customer, not just spec-for-spec competition in cars.</w:t>
      </w:r>
      <w:r>
        <w:t xml:space="preserve"> </w:t>
      </w:r>
    </w:p>
    <w:p>
      <w:pPr>
        <w:pStyle w:val="style0"/>
        <w:rPr/>
      </w:pPr>
      <w:r>
        <w:t>Understanding the coupling of internal weakness with external threat, however, is a great strategic dilemma. The brand-led differentiation strategy that Tesla employs to win a premium price is becoming more and more fragile as new local producers like BYD roll out similarly technologically advanced vehicles for less money (Bello, 2025). In addition, the company's focused product mix restricts its market penetration and competition in fast-growing mass-market areas, and the division's reliance on China adds risk of geopolitical issues and regulatory uncertainty.</w:t>
      </w:r>
    </w:p>
    <w:p>
      <w:pPr>
        <w:pStyle w:val="style0"/>
        <w:rPr/>
      </w:pPr>
      <w:r>
        <w:t xml:space="preserve">In </w:t>
      </w:r>
      <w:r>
        <w:t>summary</w:t>
      </w:r>
      <w:r>
        <w:t>, the SWOT assessment points to a key need for Tesla to reinforce its unique software attributes develop an ecosystem strategy and enhance their innovation ability to outcompete more nimbler Chinese rivals in the target market, rather than relying on market growth, which is mainly expected. Based on these results the strategic evaluation of which approach using the business-level strategy is most appropriate is presented in the next section.</w:t>
      </w:r>
    </w:p>
    <w:bookmarkStart w:id="8" w:name="_Toc234876922"/>
    <w:p>
      <w:pPr>
        <w:pStyle w:val="style1"/>
        <w:rPr/>
      </w:pPr>
      <w:r>
        <w:t>3. Comprehensive and Holistic View of the Organisation</w:t>
      </w:r>
      <w:bookmarkEnd w:id="8"/>
    </w:p>
    <w:bookmarkStart w:id="9" w:name="_Toc234876923"/>
    <w:p>
      <w:pPr>
        <w:pStyle w:val="style2"/>
        <w:rPr/>
      </w:pPr>
      <w:r>
        <w:t>3.1 Critical Evaluation of Tesla's CSR Strategy and Its Alignment with Business Objectives</w:t>
      </w:r>
      <w:bookmarkEnd w:id="9"/>
      <w:r>
        <w:t xml:space="preserve"> </w:t>
      </w:r>
    </w:p>
    <w:p>
      <w:pPr>
        <w:pStyle w:val="style0"/>
        <w:rPr/>
      </w:pPr>
      <w:r>
        <w:t xml:space="preserve">The focus of CSR has shifted from just a way to meet regulatory requirements to a tool that can help companies build enduring competitive strength by creating strong relationships with stakeholders, improving their reputations, and promoting sustainable value creation (Ali, Iqbal and Irfan, 2025). CSR is intrinsic to the ongoing effort of becoming more sustainable, which is central to the overall purpose of Tesla's business. Many well-known automotive groups have incorporated sustainability into their </w:t>
      </w:r>
      <w:r>
        <w:t>mainstream strategies, while Tesla have thoughtfully built sustainability into the main product and business model. This proximity points to a CSR as a competitive advantage tool, and not simply a reputational management tool.</w:t>
      </w:r>
    </w:p>
    <w:p>
      <w:pPr>
        <w:pStyle w:val="style0"/>
        <w:jc w:val="center"/>
        <w:rPr/>
      </w:pPr>
      <w:r>
        <w:rPr/>
        <w:drawing>
          <wp:inline distL="0" distT="0" distB="0" distR="0">
            <wp:extent cx="3524250" cy="2705100"/>
            <wp:effectExtent l="19050" t="0" r="0" b="0"/>
            <wp:docPr id="1027" name="Picture 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3"/>
                    <pic:cNvPicPr/>
                  </pic:nvPicPr>
                  <pic:blipFill>
                    <a:blip r:embed="rId4" cstate="print"/>
                    <a:srcRect l="0" t="0" r="0" b="0"/>
                    <a:stretch/>
                  </pic:blipFill>
                  <pic:spPr>
                    <a:xfrm rot="0">
                      <a:off x="0" y="0"/>
                      <a:ext cx="3524250" cy="2705100"/>
                    </a:xfrm>
                    <a:prstGeom prst="rect"/>
                  </pic:spPr>
                </pic:pic>
              </a:graphicData>
            </a:graphic>
          </wp:inline>
        </w:drawing>
      </w:r>
    </w:p>
    <w:p>
      <w:pPr>
        <w:pStyle w:val="style0"/>
        <w:jc w:val="center"/>
        <w:rPr>
          <w:b/>
        </w:rPr>
      </w:pPr>
      <w:r>
        <w:rPr>
          <w:b/>
        </w:rPr>
        <w:t>Figure 2: Critical Evaluation of Corporate Social Responsibility and Global Innovation Management of Tesla</w:t>
      </w:r>
    </w:p>
    <w:p>
      <w:pPr>
        <w:pStyle w:val="style0"/>
        <w:jc w:val="center"/>
        <w:rPr/>
      </w:pPr>
      <w:r>
        <w:t>(Source: Majumdar, 2023)</w:t>
      </w:r>
    </w:p>
    <w:p>
      <w:pPr>
        <w:pStyle w:val="style0"/>
        <w:rPr/>
      </w:pPr>
      <w:r>
        <w:t>Environmental issues are well suited to Tesla's long-term business goals. The company set 100% renewable electricity usage in all manufacturing sites by 2030, and plan to realize GHG (greenhouse gas) emissions neutrality by 2050 (</w:t>
      </w:r>
      <w:r>
        <w:t>Williment</w:t>
      </w:r>
      <w:r>
        <w:t>, 2026). Further, Tesla provided an estimate of nearly 31.4 GWh of battery storage capacity being deployed in 2025, a record growth year for integration with renewables and decarbonisation of the grid (Deepak, 2025). These efforts continue to build on Tesla's mission to encompass sustainability beyond the car, into broader energy solutions. Strategically, the arrangement helps Tesla differentiate its product, add more credibility to brand image for investors and help them harness rising world demand for green technologies.</w:t>
      </w:r>
    </w:p>
    <w:p>
      <w:pPr>
        <w:pStyle w:val="style0"/>
        <w:rPr/>
      </w:pPr>
      <w:r>
        <w:t xml:space="preserve">The assessment of CSR, however, is not based just on environmental performance. In Carroll's CSR framework all responsibilities of sustainable CSR include ethical, legal </w:t>
      </w:r>
      <w:r>
        <w:t xml:space="preserve">and social responsibilities (Carroll, 2021). While it's a leader in green cars, Tesla is also been criticized for its </w:t>
      </w:r>
      <w:r>
        <w:t>labour</w:t>
      </w:r>
      <w:r>
        <w:t xml:space="preserve"> relations, workplace safety, corporate governance and transparency of its supply chain practices. So, for instance, the rising attention paid to buying critical minerals like lithium and cobalt has raised stakeholder demands for ethical sourcing and more accountability in the supply chain. These concerns create reputational risk which could lead to a loss of trust even though Tesla has great environmental credentials.</w:t>
      </w:r>
    </w:p>
    <w:p>
      <w:pPr>
        <w:pStyle w:val="style0"/>
        <w:rPr/>
      </w:pPr>
      <w:r>
        <w:t>Additionally, Tesla's governance is hotly contested owing to its centralized control and heavy reliance on executive decision-shaping (Loureiro, 2025). Board centricity can present strategic risk if it restricts independent oversight and skews board attention to reputational volatility. In comparison, therefore, the management structure of Tesla is relatively less advanced than the environmental policies, which is non-symmetrical across Environmental, Social and Governance (ESG) factors of CSR.</w:t>
      </w:r>
    </w:p>
    <w:p>
      <w:pPr>
        <w:pStyle w:val="style0"/>
        <w:rPr/>
      </w:pPr>
      <w:r>
        <w:t xml:space="preserve">In </w:t>
      </w:r>
      <w:r>
        <w:t>summary</w:t>
      </w:r>
      <w:r>
        <w:t>, Tesla's CSR strategy appears to be a robust fit with the company's business goals, as sustainability is integrated into their products, operations, and long-term growth plans, not just a distinct, separate strategy. But if Tesla is to maintain its competitive edge, it must now bolster its environmental leadership with better corporate governance, labour norms and transparency in its supply chain. This would build stakeholder confidence, support ESG standards and boost Tesla's ability to withhold long-term competitive edge of Chinese rising regulation and social sensitivity in the EV sector.</w:t>
      </w:r>
    </w:p>
    <w:bookmarkStart w:id="10" w:name="_Toc234876924"/>
    <w:p>
      <w:pPr>
        <w:pStyle w:val="style2"/>
        <w:rPr/>
      </w:pPr>
      <w:r>
        <w:t>3.2 Balanced Scorecard Analysis</w:t>
      </w:r>
      <w:bookmarkEnd w:id="10"/>
    </w:p>
    <w:p>
      <w:pPr>
        <w:pStyle w:val="style0"/>
        <w:rPr>
          <w:b/>
        </w:rPr>
      </w:pPr>
      <w:r>
        <w:t xml:space="preserve">The </w:t>
      </w:r>
      <w:r>
        <w:rPr>
          <w:bCs/>
        </w:rPr>
        <w:t>Balanced Scorecard (BSC)</w:t>
      </w:r>
      <w:r>
        <w:t xml:space="preserve"> </w:t>
      </w:r>
      <w:r>
        <w:t xml:space="preserve">by Kaplan and Norton (1996) is a strategic framework that breaks the business principles down into measurable goals, incorporating non-financial and financial performance measures into a single framework. </w:t>
      </w:r>
      <w:r>
        <w:t xml:space="preserve">The Balanced Scorecard (BSC) of the Tesla car industry's passenger EV sector is shown in </w:t>
      </w:r>
      <w:r>
        <w:rPr>
          <w:b/>
          <w:i/>
        </w:rPr>
        <w:t>Appendix 4</w:t>
      </w:r>
      <w:r>
        <w:t xml:space="preserve">. </w:t>
      </w:r>
      <w:r>
        <w:t xml:space="preserve">Tesla's focus is especially significant given that competitive edge lies in vehicle sales, as well as software innovation, manufacturing prowess and organisational capability. As a result, the suggested Balanced Scorecard aligns Tesla's mission of accelerating the </w:t>
      </w:r>
      <w:r>
        <w:t>world's transition to sustainable energy with strategic priorities of its passenger EV business in China.</w:t>
      </w:r>
      <w:r>
        <w:t xml:space="preserve"> </w:t>
      </w:r>
    </w:p>
    <w:p>
      <w:pPr>
        <w:pStyle w:val="style0"/>
        <w:rPr/>
      </w:pPr>
      <w:r>
        <w:t>By measuring the proposed Balanced Scorecard, Tesla's future competitiveness relies on the balance between financial, innovation, customer value and organisational capability. Financial actions should focus more on software interests and production efficiencies than on lowering prices, potentially undermining Tesla's premium image (Bai, 2025). Customer-centric KPIs facilitate this differentiation by enhancing satisfaction, retention and switching barriers in China's evolving competitive landscape for EVs.</w:t>
      </w:r>
    </w:p>
    <w:p>
      <w:pPr>
        <w:pStyle w:val="style0"/>
        <w:rPr/>
      </w:pPr>
      <w:r>
        <w:t>Likewise, internal process ones focus on steady enhancements to the manufacturing process, battery technology and AI-driven manufacturing practices, which ensures streamlined operations in the face of growing domestic competition (George, 2024). In the meantime, learning and growth goals acknowledge that investment in technology, staff competence and leadership training is crucial to keeping up technological superiority as Chinese manufacturers quickly build up their innovation capacity.</w:t>
      </w:r>
    </w:p>
    <w:p>
      <w:pPr>
        <w:pStyle w:val="style0"/>
        <w:rPr/>
      </w:pPr>
      <w:r>
        <w:t xml:space="preserve">Overall, the Balanced </w:t>
      </w:r>
      <w:r>
        <w:t>ScoreCard</w:t>
      </w:r>
      <w:r>
        <w:t xml:space="preserve"> transforms the strategic goals of Tesla into the tangible metrics to measure their performance, which ensures financial and non-financial targets are aligned with the mission and their long-term competition strategy. Combined with other elements such as objectives, KPIs, targets and strategic initiatives, the framework offers an effective tool to track the strategy implementation and to maintain competitive edge in the dynamic China's passenger EV market.</w:t>
      </w:r>
    </w:p>
    <w:bookmarkStart w:id="11" w:name="_Toc234876925"/>
    <w:p>
      <w:pPr>
        <w:pStyle w:val="style1"/>
        <w:rPr/>
      </w:pPr>
      <w:r>
        <w:t>4. Strategic Choices and Implementation</w:t>
      </w:r>
      <w:bookmarkEnd w:id="11"/>
    </w:p>
    <w:bookmarkStart w:id="12" w:name="_Toc234876926"/>
    <w:p>
      <w:pPr>
        <w:pStyle w:val="style2"/>
        <w:rPr/>
      </w:pPr>
      <w:r>
        <w:t>4.1 Evaluation of Business-Level Strategic Choices</w:t>
      </w:r>
      <w:bookmarkEnd w:id="12"/>
      <w:r>
        <w:t xml:space="preserve"> </w:t>
      </w:r>
    </w:p>
    <w:p>
      <w:pPr>
        <w:pStyle w:val="style0"/>
        <w:rPr/>
      </w:pPr>
      <w:r>
        <w:t xml:space="preserve">As local manufacturers continue to capitalize on Tesla-size break floor runs and outstanding customer service, the list of things that can set a vehicle apart begins to shrink. On the business level, there are three strategic options: Cost Leadership, Differentiation and a combo of selective cost efficiencies and ongoing innovation. </w:t>
      </w:r>
    </w:p>
    <w:p>
      <w:pPr>
        <w:pStyle w:val="style0"/>
        <w:rPr/>
      </w:pPr>
      <w:r>
        <w:t xml:space="preserve">Tesla's offensively weak strategy is to compete on price, because the Chinese market is quite cheap. Porter's generic strategies state that cost leadership is dependent of the achievement of the lowest cost of operation in the industry while keeping an acceptable level of quality (Islami, Mustafa and </w:t>
      </w:r>
      <w:r>
        <w:t>Topuzovska</w:t>
      </w:r>
      <w:r>
        <w:t xml:space="preserve"> </w:t>
      </w:r>
      <w:r>
        <w:t>Latkovikj</w:t>
      </w:r>
      <w:r>
        <w:t>, 2020). Yet BYD has significant cost benefits and advantages in terms of both the localised supply chains and the manufacture of their batteries. Cost competition reduces margins and decreases investment in innovation (Thulin and Povlsen, 2024). Thus, to stay competitive in the future, Tesla should not rely on pure cost leadership.</w:t>
      </w:r>
    </w:p>
    <w:p>
      <w:pPr>
        <w:pStyle w:val="style0"/>
        <w:rPr/>
      </w:pPr>
      <w:r>
        <w:t>On the other hand, differentiation is less closely related to Tesla's strategic assets. Porter (2023) offers a framework where firms with unique capabilities would do better to play through value creation as opposed to into price competition. The combination of Tesla's AI tools, OTA software and its FSD technology is tricky to copy. However, with the convergence of technology in China's EV market, product innovation alone is no longer a competitive differentiator (Xu and Mo, 2024). As a consequence, user experience and ongoing software developments take greater importance than hardware dominance on the road to differentiation.</w:t>
      </w:r>
    </w:p>
    <w:p>
      <w:pPr>
        <w:pStyle w:val="style0"/>
        <w:rPr/>
      </w:pPr>
      <w:r>
        <w:t>So,</w:t>
      </w:r>
      <w:r>
        <w:t xml:space="preserve"> a </w:t>
      </w:r>
      <w:r>
        <w:t>technology-based</w:t>
      </w:r>
      <w:r>
        <w:t xml:space="preserve"> differentiation strategy with operational efficiency makes the most sense as a business level strategy. Instead of a price war, Tesla should invest more heavily in its AI ecosystem by software subscription and connected mobility services. This takes advantage of its VRIO resources, and provides long-run customer value. This course of action enables the company to make better use of its valuable and scarce abilities without the risk of the elements of the competitive sphere. Additionally, it enables the acceleration of sustainable mobility in the general interest of the planet by bringing value to Tesla's customers over the long haul and through innovation — not just market-share.</w:t>
      </w:r>
    </w:p>
    <w:tbl>
      <w:tblPr>
        <w:tblStyle w:val="style2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2672"/>
        <w:gridCol w:w="3085"/>
        <w:gridCol w:w="2027"/>
      </w:tblGrid>
      <w:tr>
        <w:trPr/>
        <w:tc>
          <w:tcPr>
            <w:tcW w:w="0" w:type="auto"/>
            <w:tcBorders/>
            <w:hideMark/>
          </w:tcPr>
          <w:p>
            <w:pPr>
              <w:pStyle w:val="style0"/>
              <w:spacing w:after="200"/>
              <w:jc w:val="center"/>
              <w:rPr>
                <w:bCs w:val="false"/>
                <w:sz w:val="24"/>
              </w:rPr>
            </w:pPr>
            <w:r>
              <w:rPr>
                <w:bCs w:val="false"/>
                <w:sz w:val="24"/>
              </w:rPr>
              <w:t>Strategic Option</w:t>
            </w:r>
          </w:p>
        </w:tc>
        <w:tc>
          <w:tcPr>
            <w:tcW w:w="0" w:type="auto"/>
            <w:tcBorders/>
            <w:hideMark/>
          </w:tcPr>
          <w:p>
            <w:pPr>
              <w:pStyle w:val="style0"/>
              <w:spacing w:after="200"/>
              <w:jc w:val="center"/>
              <w:rPr>
                <w:bCs w:val="false"/>
                <w:sz w:val="24"/>
              </w:rPr>
            </w:pPr>
            <w:r>
              <w:rPr>
                <w:bCs w:val="false"/>
                <w:sz w:val="24"/>
              </w:rPr>
              <w:t>Advantages</w:t>
            </w:r>
          </w:p>
        </w:tc>
        <w:tc>
          <w:tcPr>
            <w:tcW w:w="0" w:type="auto"/>
            <w:tcBorders/>
            <w:hideMark/>
          </w:tcPr>
          <w:p>
            <w:pPr>
              <w:pStyle w:val="style0"/>
              <w:spacing w:after="200"/>
              <w:jc w:val="center"/>
              <w:rPr>
                <w:bCs w:val="false"/>
                <w:sz w:val="24"/>
              </w:rPr>
            </w:pPr>
            <w:r>
              <w:rPr>
                <w:bCs w:val="false"/>
                <w:sz w:val="24"/>
              </w:rPr>
              <w:t>Limitations</w:t>
            </w:r>
          </w:p>
        </w:tc>
        <w:tc>
          <w:tcPr>
            <w:tcW w:w="0" w:type="auto"/>
            <w:tcBorders/>
            <w:hideMark/>
          </w:tcPr>
          <w:p>
            <w:pPr>
              <w:pStyle w:val="style0"/>
              <w:spacing w:after="200"/>
              <w:jc w:val="center"/>
              <w:rPr>
                <w:bCs w:val="false"/>
                <w:sz w:val="24"/>
              </w:rPr>
            </w:pPr>
            <w:r>
              <w:rPr>
                <w:bCs w:val="false"/>
                <w:sz w:val="24"/>
              </w:rPr>
              <w:t>Strategic Assessment</w:t>
            </w:r>
          </w:p>
        </w:tc>
      </w:tr>
      <w:tr>
        <w:tblPrEx/>
        <w:trPr/>
        <w:tc>
          <w:tcPr>
            <w:tcW w:w="0" w:type="auto"/>
            <w:tcBorders/>
            <w:hideMark/>
          </w:tcPr>
          <w:p>
            <w:pPr>
              <w:pStyle w:val="style0"/>
              <w:spacing w:after="200"/>
              <w:rPr/>
            </w:pPr>
            <w:r>
              <w:rPr>
                <w:b w:val="false"/>
                <w:bCs w:val="false"/>
              </w:rPr>
              <w:t xml:space="preserve">Cost </w:t>
            </w:r>
            <w:r>
              <w:rPr>
                <w:b w:val="false"/>
                <w:bCs w:val="false"/>
              </w:rPr>
              <w:t>Leadership</w:t>
            </w:r>
          </w:p>
        </w:tc>
        <w:tc>
          <w:tcPr>
            <w:tcW w:w="0" w:type="auto"/>
            <w:tcBorders/>
            <w:hideMark/>
          </w:tcPr>
          <w:p>
            <w:pPr>
              <w:pStyle w:val="style0"/>
              <w:spacing w:after="200"/>
              <w:rPr/>
            </w:pPr>
            <w:r>
              <w:t>• Improves price competitiveness</w:t>
            </w:r>
            <w:r>
              <w:br/>
            </w:r>
            <w:r>
              <w:t>• Increases market accessibility</w:t>
            </w:r>
          </w:p>
        </w:tc>
        <w:tc>
          <w:tcPr>
            <w:tcW w:w="0" w:type="auto"/>
            <w:tcBorders/>
            <w:hideMark/>
          </w:tcPr>
          <w:p>
            <w:pPr>
              <w:pStyle w:val="style0"/>
              <w:spacing w:after="200"/>
              <w:rPr/>
            </w:pPr>
            <w:r>
              <w:t>• Reduces profit margins</w:t>
            </w:r>
            <w:r>
              <w:br/>
            </w:r>
            <w:r>
              <w:t>• Weakens premium brand</w:t>
            </w:r>
            <w:r>
              <w:br/>
            </w:r>
            <w:r>
              <w:t>• Difficult to outperform BYD on cost</w:t>
            </w:r>
          </w:p>
        </w:tc>
        <w:tc>
          <w:tcPr>
            <w:tcW w:w="0" w:type="auto"/>
            <w:tcBorders/>
            <w:hideMark/>
          </w:tcPr>
          <w:p>
            <w:pPr>
              <w:pStyle w:val="style0"/>
              <w:spacing w:after="200"/>
              <w:rPr/>
            </w:pPr>
            <w:r>
              <w:rPr>
                <w:b/>
                <w:bCs/>
              </w:rPr>
              <w:t xml:space="preserve">Not </w:t>
            </w:r>
            <w:r>
              <w:rPr>
                <w:b/>
                <w:bCs/>
              </w:rPr>
              <w:t>recommended</w:t>
            </w:r>
          </w:p>
        </w:tc>
      </w:tr>
      <w:tr>
        <w:tblPrEx/>
        <w:trPr/>
        <w:tc>
          <w:tcPr>
            <w:tcW w:w="0" w:type="auto"/>
            <w:tcBorders/>
            <w:hideMark/>
          </w:tcPr>
          <w:p>
            <w:pPr>
              <w:pStyle w:val="style0"/>
              <w:spacing w:after="200"/>
              <w:rPr/>
            </w:pPr>
            <w:r>
              <w:rPr>
                <w:b w:val="false"/>
                <w:bCs w:val="false"/>
              </w:rPr>
              <w:t>Differentiation</w:t>
            </w:r>
          </w:p>
        </w:tc>
        <w:tc>
          <w:tcPr>
            <w:tcW w:w="0" w:type="auto"/>
            <w:tcBorders/>
            <w:hideMark/>
          </w:tcPr>
          <w:p>
            <w:pPr>
              <w:pStyle w:val="style0"/>
              <w:spacing w:after="200"/>
              <w:rPr/>
            </w:pPr>
            <w:r>
              <w:t>• Builds on AI, software and brand strengths</w:t>
            </w:r>
            <w:r>
              <w:br/>
            </w:r>
            <w:r>
              <w:t>• Higher customer loyalty</w:t>
            </w:r>
            <w:r>
              <w:br/>
            </w:r>
            <w:r>
              <w:t>• Greater long-term value creation</w:t>
            </w:r>
          </w:p>
        </w:tc>
        <w:tc>
          <w:tcPr>
            <w:tcW w:w="0" w:type="auto"/>
            <w:tcBorders/>
            <w:hideMark/>
          </w:tcPr>
          <w:p>
            <w:pPr>
              <w:pStyle w:val="style0"/>
              <w:spacing w:after="200"/>
              <w:rPr/>
            </w:pPr>
            <w:r>
              <w:t>• Requires continuous innovation investment</w:t>
            </w:r>
          </w:p>
        </w:tc>
        <w:tc>
          <w:tcPr>
            <w:tcW w:w="0" w:type="auto"/>
            <w:tcBorders/>
            <w:hideMark/>
          </w:tcPr>
          <w:p>
            <w:pPr>
              <w:pStyle w:val="style0"/>
              <w:spacing w:after="200"/>
              <w:rPr/>
            </w:pPr>
            <w:r>
              <w:rPr>
                <w:b/>
                <w:bCs/>
              </w:rPr>
              <w:t>Recommended</w:t>
            </w:r>
          </w:p>
        </w:tc>
      </w:tr>
      <w:tr>
        <w:tblPrEx/>
        <w:trPr/>
        <w:tc>
          <w:tcPr>
            <w:tcW w:w="0" w:type="auto"/>
            <w:tcBorders/>
            <w:hideMark/>
          </w:tcPr>
          <w:p>
            <w:pPr>
              <w:pStyle w:val="style0"/>
              <w:spacing w:after="200"/>
              <w:rPr/>
            </w:pPr>
            <w:r>
              <w:rPr>
                <w:b w:val="false"/>
                <w:bCs w:val="false"/>
              </w:rPr>
              <w:t>Hybrid Strategy</w:t>
            </w:r>
          </w:p>
        </w:tc>
        <w:tc>
          <w:tcPr>
            <w:tcW w:w="0" w:type="auto"/>
            <w:tcBorders/>
            <w:hideMark/>
          </w:tcPr>
          <w:p>
            <w:pPr>
              <w:pStyle w:val="style0"/>
              <w:spacing w:after="200"/>
              <w:rPr/>
            </w:pPr>
            <w:r>
              <w:t>• Balances efficiency and differentiation</w:t>
            </w:r>
            <w:r>
              <w:br/>
            </w:r>
            <w:r>
              <w:t>• Reduces operational costs</w:t>
            </w:r>
          </w:p>
        </w:tc>
        <w:tc>
          <w:tcPr>
            <w:tcW w:w="0" w:type="auto"/>
            <w:tcBorders/>
            <w:hideMark/>
          </w:tcPr>
          <w:p>
            <w:pPr>
              <w:pStyle w:val="style0"/>
              <w:spacing w:after="200"/>
              <w:rPr/>
            </w:pPr>
            <w:r>
              <w:t>• Risk of strategic inconsistency if cost becomes the dominant focus</w:t>
            </w:r>
          </w:p>
        </w:tc>
        <w:tc>
          <w:tcPr>
            <w:tcW w:w="0" w:type="auto"/>
            <w:tcBorders/>
            <w:hideMark/>
          </w:tcPr>
          <w:p>
            <w:pPr>
              <w:pStyle w:val="style0"/>
              <w:spacing w:after="200"/>
              <w:rPr/>
            </w:pPr>
            <w:r>
              <w:rPr>
                <w:b/>
                <w:bCs/>
              </w:rPr>
              <w:t>Supporting approach</w:t>
            </w:r>
          </w:p>
        </w:tc>
      </w:tr>
    </w:tbl>
    <w:p>
      <w:pPr>
        <w:pStyle w:val="style0"/>
        <w:jc w:val="center"/>
        <w:rPr>
          <w:b/>
          <w:bCs/>
        </w:rPr>
      </w:pPr>
      <w:r>
        <w:rPr>
          <w:b/>
          <w:bCs/>
        </w:rPr>
        <w:t xml:space="preserve">Table </w:t>
      </w:r>
      <w:r>
        <w:rPr>
          <w:b/>
          <w:bCs/>
        </w:rPr>
        <w:t>1</w:t>
      </w:r>
      <w:r>
        <w:rPr>
          <w:b/>
          <w:bCs/>
        </w:rPr>
        <w:t>: Evaluation of Tesla's Business-Level Strategic Options</w:t>
      </w:r>
    </w:p>
    <w:p>
      <w:pPr>
        <w:pStyle w:val="style0"/>
        <w:jc w:val="center"/>
        <w:rPr/>
      </w:pPr>
      <w:r>
        <w:rPr>
          <w:iCs/>
        </w:rPr>
        <w:t xml:space="preserve">(Source: </w:t>
      </w:r>
      <w:r>
        <w:rPr>
          <w:iCs/>
        </w:rPr>
        <w:t>Self-created</w:t>
      </w:r>
      <w:r>
        <w:rPr>
          <w:iCs/>
        </w:rPr>
        <w:t xml:space="preserve"> based on </w:t>
      </w:r>
      <w:r>
        <w:t>VRIO and SWOT analyses</w:t>
      </w:r>
      <w:r>
        <w:rPr>
          <w:iCs/>
        </w:rPr>
        <w:t>)</w:t>
      </w:r>
    </w:p>
    <w:bookmarkStart w:id="13" w:name="_Toc234876927"/>
    <w:p>
      <w:pPr>
        <w:pStyle w:val="style2"/>
        <w:rPr/>
      </w:pPr>
      <w:r>
        <w:t xml:space="preserve">4.2 Evaluation of the Recommended Strategy Using the </w:t>
      </w:r>
      <w:r>
        <w:t>SAFe</w:t>
      </w:r>
      <w:r>
        <w:t xml:space="preserve"> Framework</w:t>
      </w:r>
      <w:bookmarkEnd w:id="13"/>
    </w:p>
    <w:p>
      <w:pPr>
        <w:pStyle w:val="style0"/>
        <w:rPr/>
      </w:pPr>
      <w:r>
        <w:t xml:space="preserve">This report seeks to assess technology-leverage differentiation with operational efficiency as Tesla's business-level strategy using the </w:t>
      </w:r>
      <w:r>
        <w:t>SAFe</w:t>
      </w:r>
      <w:r>
        <w:t xml:space="preserve"> framework. It is evaluated for its Suitability, Acceptability and Feasibility (Marinho, Camara and Sampaio, 2021).</w:t>
      </w:r>
    </w:p>
    <w:tbl>
      <w:tblPr>
        <w:tblStyle w:val="style2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1"/>
        <w:gridCol w:w="7985"/>
      </w:tblGrid>
      <w:tr>
        <w:trPr/>
        <w:tc>
          <w:tcPr>
            <w:tcW w:w="0" w:type="auto"/>
            <w:tcBorders>
              <w:top w:val="none" w:sz="0" w:space="0" w:color="auto"/>
              <w:left w:val="none" w:sz="0" w:space="0" w:color="auto"/>
              <w:bottom w:val="none" w:sz="0" w:space="0" w:color="auto"/>
              <w:right w:val="none" w:sz="0" w:space="0" w:color="auto"/>
            </w:tcBorders>
            <w:hideMark/>
          </w:tcPr>
          <w:p>
            <w:pPr>
              <w:pStyle w:val="style0"/>
              <w:spacing w:after="200"/>
              <w:rPr>
                <w:b w:val="false"/>
                <w:bCs w:val="false"/>
              </w:rPr>
            </w:pPr>
            <w:r>
              <w:rPr>
                <w:b w:val="false"/>
                <w:bCs w:val="false"/>
              </w:rPr>
              <w:t>Criteria</w:t>
            </w:r>
          </w:p>
        </w:tc>
        <w:tc>
          <w:tcPr>
            <w:tcW w:w="0" w:type="auto"/>
            <w:tcBorders>
              <w:top w:val="none" w:sz="0" w:space="0" w:color="auto"/>
              <w:left w:val="none" w:sz="0" w:space="0" w:color="auto"/>
              <w:bottom w:val="none" w:sz="0" w:space="0" w:color="auto"/>
              <w:right w:val="none" w:sz="0" w:space="0" w:color="auto"/>
            </w:tcBorders>
            <w:hideMark/>
          </w:tcPr>
          <w:p>
            <w:pPr>
              <w:pStyle w:val="style0"/>
              <w:spacing w:after="200"/>
              <w:rPr>
                <w:b w:val="false"/>
                <w:bCs w:val="false"/>
              </w:rPr>
            </w:pPr>
            <w:r>
              <w:rPr>
                <w:b w:val="false"/>
                <w:bCs w:val="false"/>
              </w:rPr>
              <w:t>Evaluation</w:t>
            </w:r>
          </w:p>
        </w:tc>
      </w:tr>
      <w:tr>
        <w:tblPrEx/>
        <w:trPr/>
        <w:tc>
          <w:tcPr>
            <w:tcW w:w="0" w:type="auto"/>
            <w:tcBorders>
              <w:top w:val="none" w:sz="0" w:space="0" w:color="auto"/>
              <w:left w:val="none" w:sz="0" w:space="0" w:color="auto"/>
              <w:bottom w:val="none" w:sz="0" w:space="0" w:color="auto"/>
              <w:right w:val="none" w:sz="0" w:space="0" w:color="auto"/>
            </w:tcBorders>
            <w:hideMark/>
          </w:tcPr>
          <w:p>
            <w:pPr>
              <w:pStyle w:val="style0"/>
              <w:spacing w:after="200"/>
              <w:rPr/>
            </w:pPr>
            <w:r>
              <w:rPr>
                <w:b w:val="false"/>
                <w:bCs w:val="false"/>
              </w:rPr>
              <w:t>Suitability</w:t>
            </w:r>
          </w:p>
        </w:tc>
        <w:tc>
          <w:tcPr>
            <w:tcW w:w="0" w:type="auto"/>
            <w:tcBorders>
              <w:top w:val="none" w:sz="0" w:space="0" w:color="auto"/>
              <w:left w:val="none" w:sz="0" w:space="0" w:color="auto"/>
              <w:bottom w:val="none" w:sz="0" w:space="0" w:color="auto"/>
              <w:right w:val="none" w:sz="0" w:space="0" w:color="auto"/>
            </w:tcBorders>
            <w:hideMark/>
          </w:tcPr>
          <w:p>
            <w:pPr>
              <w:pStyle w:val="style0"/>
              <w:spacing w:after="200"/>
              <w:rPr/>
            </w:pPr>
            <w:r>
              <w:t>Responds to price competition by strengthening AI, software and ecosystem differentiation rather than competing primarily on cost.</w:t>
            </w:r>
          </w:p>
        </w:tc>
      </w:tr>
      <w:tr>
        <w:tblPrEx/>
        <w:trPr/>
        <w:tc>
          <w:tcPr>
            <w:tcW w:w="0" w:type="auto"/>
            <w:tcBorders>
              <w:top w:val="none" w:sz="0" w:space="0" w:color="auto"/>
              <w:left w:val="none" w:sz="0" w:space="0" w:color="auto"/>
              <w:bottom w:val="none" w:sz="0" w:space="0" w:color="auto"/>
              <w:right w:val="none" w:sz="0" w:space="0" w:color="auto"/>
            </w:tcBorders>
            <w:hideMark/>
          </w:tcPr>
          <w:p>
            <w:pPr>
              <w:pStyle w:val="style0"/>
              <w:spacing w:after="200"/>
              <w:rPr/>
            </w:pPr>
            <w:r>
              <w:rPr>
                <w:b w:val="false"/>
                <w:bCs w:val="false"/>
              </w:rPr>
              <w:t>Acceptability</w:t>
            </w:r>
          </w:p>
        </w:tc>
        <w:tc>
          <w:tcPr>
            <w:tcW w:w="0" w:type="auto"/>
            <w:tcBorders>
              <w:top w:val="none" w:sz="0" w:space="0" w:color="auto"/>
              <w:left w:val="none" w:sz="0" w:space="0" w:color="auto"/>
              <w:bottom w:val="none" w:sz="0" w:space="0" w:color="auto"/>
              <w:right w:val="none" w:sz="0" w:space="0" w:color="auto"/>
            </w:tcBorders>
            <w:hideMark/>
          </w:tcPr>
          <w:p>
            <w:pPr>
              <w:pStyle w:val="style0"/>
              <w:spacing w:after="200"/>
              <w:rPr/>
            </w:pPr>
            <w:r>
              <w:t>Supports long-term profitability through software revenues while improving customer value and shareholder returns.</w:t>
            </w:r>
          </w:p>
        </w:tc>
      </w:tr>
      <w:tr>
        <w:tblPrEx/>
        <w:trPr/>
        <w:tc>
          <w:tcPr>
            <w:tcW w:w="0" w:type="auto"/>
            <w:tcBorders>
              <w:top w:val="none" w:sz="0" w:space="0" w:color="auto"/>
              <w:left w:val="none" w:sz="0" w:space="0" w:color="auto"/>
              <w:bottom w:val="none" w:sz="0" w:space="0" w:color="auto"/>
              <w:right w:val="none" w:sz="0" w:space="0" w:color="auto"/>
            </w:tcBorders>
            <w:hideMark/>
          </w:tcPr>
          <w:p>
            <w:pPr>
              <w:pStyle w:val="style0"/>
              <w:spacing w:after="200"/>
              <w:rPr/>
            </w:pPr>
            <w:r>
              <w:rPr>
                <w:b w:val="false"/>
                <w:bCs w:val="false"/>
              </w:rPr>
              <w:t>Feasibility</w:t>
            </w:r>
          </w:p>
        </w:tc>
        <w:tc>
          <w:tcPr>
            <w:tcW w:w="0" w:type="auto"/>
            <w:tcBorders>
              <w:top w:val="none" w:sz="0" w:space="0" w:color="auto"/>
              <w:left w:val="none" w:sz="0" w:space="0" w:color="auto"/>
              <w:bottom w:val="none" w:sz="0" w:space="0" w:color="auto"/>
              <w:right w:val="none" w:sz="0" w:space="0" w:color="auto"/>
            </w:tcBorders>
            <w:hideMark/>
          </w:tcPr>
          <w:p>
            <w:pPr>
              <w:pStyle w:val="style0"/>
              <w:spacing w:after="200"/>
              <w:rPr/>
            </w:pPr>
            <w:r>
              <w:t>Tesla possesses strong R&amp;D capability, Gigafactory Shanghai and financial resources to implement the strategy.</w:t>
            </w:r>
          </w:p>
        </w:tc>
      </w:tr>
    </w:tbl>
    <w:p>
      <w:pPr>
        <w:pStyle w:val="style0"/>
        <w:jc w:val="center"/>
        <w:rPr>
          <w:b/>
          <w:bCs/>
        </w:rPr>
      </w:pPr>
      <w:r>
        <w:rPr>
          <w:b/>
          <w:bCs/>
        </w:rPr>
        <w:t xml:space="preserve">Table </w:t>
      </w:r>
      <w:r>
        <w:rPr>
          <w:b/>
          <w:bCs/>
        </w:rPr>
        <w:t>2</w:t>
      </w:r>
      <w:r>
        <w:rPr>
          <w:b/>
          <w:bCs/>
        </w:rPr>
        <w:t xml:space="preserve">: </w:t>
      </w:r>
      <w:r>
        <w:rPr>
          <w:b/>
          <w:bCs/>
        </w:rPr>
        <w:t>SAFe</w:t>
      </w:r>
      <w:r>
        <w:rPr>
          <w:b/>
          <w:bCs/>
        </w:rPr>
        <w:t xml:space="preserve"> Evaluation of the Recommended Strategy</w:t>
      </w:r>
    </w:p>
    <w:p>
      <w:pPr>
        <w:pStyle w:val="style0"/>
        <w:jc w:val="center"/>
        <w:rPr>
          <w:iCs/>
        </w:rPr>
      </w:pPr>
      <w:r>
        <w:rPr>
          <w:iCs/>
        </w:rPr>
        <w:t xml:space="preserve">(Source: </w:t>
      </w:r>
      <w:r>
        <w:rPr>
          <w:iCs/>
        </w:rPr>
        <w:t>Self-created</w:t>
      </w:r>
      <w:r>
        <w:rPr>
          <w:iCs/>
        </w:rPr>
        <w:t>)</w:t>
      </w:r>
    </w:p>
    <w:p>
      <w:pPr>
        <w:pStyle w:val="style0"/>
        <w:rPr/>
      </w:pPr>
      <w:r>
        <w:t>The proposed strategy is highly strategic in nature since it has been conceived to solve the main issues highlighted in PESTEL and SWOT analysis. China is increasingly moving towards a software-driven competition, and the dependence on the software capability and system integration is also crucial for Tesla to differentiate without devaluating its premium strategy with latest decreases in price (Chen, Li and Zhi, 2022).</w:t>
      </w:r>
    </w:p>
    <w:p>
      <w:pPr>
        <w:pStyle w:val="style0"/>
        <w:rPr/>
      </w:pPr>
      <w:r>
        <w:t>Moreover, the strategy is highly acceptable as it values large stakeholders. As software-based services grow, the service continually generates revenues and keeps the business viable and profitable, and the customer receives ongoing upgrades of their vehicle via over-the-air updates as well as increased digital capabilities. These outcomes keep customers loyal, and make it challenging to leave.</w:t>
      </w:r>
    </w:p>
    <w:p>
      <w:pPr>
        <w:pStyle w:val="style0"/>
        <w:rPr/>
      </w:pPr>
      <w:r>
        <w:t>Tesla has the capability to carry out the strategy in a feasible manner from a feasibility standpoint. The company spent on around US$4.5 billion in research and development in 2025 and Gigafactory Shanghai continues to serve as the primary production facility, offering substantial manufacturing capacity and supply chain efficiencies (Macrotrends, 2024). But maintaining technological dominance will be a constant battle as Chinese rivals quickly catch up.</w:t>
      </w:r>
    </w:p>
    <w:p>
      <w:pPr>
        <w:pStyle w:val="style0"/>
        <w:rPr/>
      </w:pPr>
      <w:r>
        <w:t xml:space="preserve">As a whole, based on the </w:t>
      </w:r>
      <w:r>
        <w:t>SAFe</w:t>
      </w:r>
      <w:r>
        <w:t xml:space="preserve"> analysis, technology differentiation is the right choice and identifiable with capability, presenting the biggest capability basis to maintain the competitiveness of Tesla in the passenger EV market in China.</w:t>
      </w:r>
    </w:p>
    <w:bookmarkStart w:id="14" w:name="_Toc234876928"/>
    <w:p>
      <w:pPr>
        <w:pStyle w:val="style2"/>
        <w:rPr/>
      </w:pPr>
      <w:r>
        <w:t>4.3 Delivering Sustainable Competitive Advantage through Strategy Implementation</w:t>
      </w:r>
      <w:bookmarkEnd w:id="14"/>
    </w:p>
    <w:p>
      <w:pPr>
        <w:pStyle w:val="style0"/>
        <w:rPr/>
      </w:pPr>
      <w:r>
        <w:t>Sustainable competitive advantage is reinforced through the use of valuable and hard-to-replicate assets in Tesla's technology-driven differentiation approach. Thus, the Resource Based View (RBV) holds that firms outperform others by leveraging resources that are valuable, non-substitutable, and scarce (Kero and Bogale, 2023). Tesla's AI features, software platform and vertically integrated operations and Gigafactory in Shanghai give the company the innovation edge that allows it to avoid price wars.</w:t>
      </w:r>
    </w:p>
    <w:p>
      <w:pPr>
        <w:pStyle w:val="style0"/>
        <w:rPr/>
      </w:pPr>
      <w:r>
        <w:t xml:space="preserve">Rather than cutting costs on vehicles, Tesla needs to invest in software-based services like Full Self-Driving (FSD), over-the-air (OTA) updates and connected mobility </w:t>
      </w:r>
      <w:r>
        <w:t>solutions (Khan, 2024). These are ongoing projects that produce a semi-steady revenue stream, build customer allegiance and make it more difficult to switch to other retailers - in essence, are more sustainable than hardware-centric differentiators.</w:t>
      </w:r>
    </w:p>
    <w:p>
      <w:pPr>
        <w:pStyle w:val="style0"/>
        <w:rPr/>
      </w:pPr>
      <w:r>
        <w:t>The plan also goes hand-in-hand with Tesla's Balanced scorecard, as customer experience gets better with software revenues and continuous innovation. As a result, pairing technological prowess with the efficiency of business operations puts Tesla in a competitive position despite the growing competition in the China EV market.</w:t>
      </w:r>
    </w:p>
    <w:bookmarkStart w:id="15" w:name="_Toc234876929"/>
    <w:p>
      <w:pPr>
        <w:pStyle w:val="style2"/>
        <w:rPr/>
      </w:pPr>
      <w:r>
        <w:t>4.4 Implementation Challenges and Mitigation Strategies</w:t>
      </w:r>
      <w:bookmarkEnd w:id="15"/>
      <w:r>
        <w:t xml:space="preserve"> </w:t>
      </w:r>
    </w:p>
    <w:p>
      <w:pPr>
        <w:pStyle w:val="style0"/>
        <w:rPr/>
      </w:pPr>
      <w:r>
        <w:t>While strategically suitable, it has technological, regulatory and competitive challenges.</w:t>
      </w:r>
    </w:p>
    <w:tbl>
      <w:tblPr>
        <w:tblStyle w:val="style19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66"/>
        <w:gridCol w:w="5909"/>
      </w:tblGrid>
      <w:tr>
        <w:trPr/>
        <w:tc>
          <w:tcPr>
            <w:tcW w:w="0" w:type="auto"/>
            <w:tcBorders>
              <w:top w:val="none" w:sz="0" w:space="0" w:color="auto"/>
              <w:left w:val="none" w:sz="0" w:space="0" w:color="auto"/>
              <w:bottom w:val="none" w:sz="0" w:space="0" w:color="auto"/>
              <w:right w:val="none" w:sz="0" w:space="0" w:color="auto"/>
            </w:tcBorders>
            <w:hideMark/>
          </w:tcPr>
          <w:p>
            <w:pPr>
              <w:pStyle w:val="style0"/>
              <w:spacing w:after="200"/>
              <w:rPr>
                <w:b w:val="false"/>
                <w:bCs w:val="false"/>
              </w:rPr>
            </w:pPr>
            <w:r>
              <w:rPr>
                <w:b w:val="false"/>
                <w:bCs w:val="false"/>
              </w:rPr>
              <w:t>Challenge</w:t>
            </w:r>
          </w:p>
        </w:tc>
        <w:tc>
          <w:tcPr>
            <w:tcW w:w="0" w:type="auto"/>
            <w:tcBorders>
              <w:top w:val="none" w:sz="0" w:space="0" w:color="auto"/>
              <w:left w:val="none" w:sz="0" w:space="0" w:color="auto"/>
              <w:bottom w:val="none" w:sz="0" w:space="0" w:color="auto"/>
              <w:right w:val="none" w:sz="0" w:space="0" w:color="auto"/>
            </w:tcBorders>
            <w:hideMark/>
          </w:tcPr>
          <w:p>
            <w:pPr>
              <w:pStyle w:val="style0"/>
              <w:spacing w:after="200"/>
              <w:rPr>
                <w:b w:val="false"/>
                <w:bCs w:val="false"/>
              </w:rPr>
            </w:pPr>
            <w:r>
              <w:rPr>
                <w:b w:val="false"/>
                <w:bCs w:val="false"/>
              </w:rPr>
              <w:t>Mitigation Strategy</w:t>
            </w:r>
          </w:p>
        </w:tc>
      </w:tr>
      <w:tr>
        <w:tblPrEx/>
        <w:trPr/>
        <w:tc>
          <w:tcPr>
            <w:tcW w:w="0" w:type="auto"/>
            <w:tcBorders>
              <w:left w:val="none" w:sz="0" w:space="0" w:color="auto"/>
              <w:bottom w:val="none" w:sz="0" w:space="0" w:color="auto"/>
              <w:right w:val="none" w:sz="0" w:space="0" w:color="auto"/>
            </w:tcBorders>
            <w:hideMark/>
          </w:tcPr>
          <w:p>
            <w:pPr>
              <w:pStyle w:val="style0"/>
              <w:spacing w:after="200"/>
              <w:rPr/>
            </w:pPr>
            <w:r>
              <w:t>Technology imitation by Chinese competitors</w:t>
            </w:r>
          </w:p>
        </w:tc>
        <w:tc>
          <w:tcPr>
            <w:tcW w:w="0" w:type="auto"/>
            <w:tcBorders/>
            <w:hideMark/>
          </w:tcPr>
          <w:p>
            <w:pPr>
              <w:pStyle w:val="style0"/>
              <w:spacing w:after="200"/>
              <w:rPr/>
            </w:pPr>
            <w:r>
              <w:t>Increase R&amp;D investment and accelerate AI and software innovation.</w:t>
            </w:r>
          </w:p>
        </w:tc>
      </w:tr>
      <w:tr>
        <w:tblPrEx/>
        <w:trPr/>
        <w:tc>
          <w:tcPr>
            <w:tcW w:w="0" w:type="auto"/>
            <w:tcBorders>
              <w:left w:val="none" w:sz="0" w:space="0" w:color="auto"/>
              <w:bottom w:val="none" w:sz="0" w:space="0" w:color="auto"/>
              <w:right w:val="none" w:sz="0" w:space="0" w:color="auto"/>
            </w:tcBorders>
            <w:hideMark/>
          </w:tcPr>
          <w:p>
            <w:pPr>
              <w:pStyle w:val="style0"/>
              <w:spacing w:after="200"/>
              <w:rPr/>
            </w:pPr>
            <w:r>
              <w:t>Autonomous driving and data regulations</w:t>
            </w:r>
          </w:p>
        </w:tc>
        <w:tc>
          <w:tcPr>
            <w:tcW w:w="0" w:type="auto"/>
            <w:tcBorders/>
            <w:hideMark/>
          </w:tcPr>
          <w:p>
            <w:pPr>
              <w:pStyle w:val="style0"/>
              <w:spacing w:after="200"/>
              <w:rPr/>
            </w:pPr>
            <w:r>
              <w:t>Strengthen local compliance teams and regulatory collaboration.</w:t>
            </w:r>
          </w:p>
        </w:tc>
      </w:tr>
      <w:tr>
        <w:tblPrEx/>
        <w:trPr/>
        <w:tc>
          <w:tcPr>
            <w:tcW w:w="0" w:type="auto"/>
            <w:tcBorders>
              <w:left w:val="none" w:sz="0" w:space="0" w:color="auto"/>
              <w:bottom w:val="none" w:sz="0" w:space="0" w:color="auto"/>
              <w:right w:val="none" w:sz="0" w:space="0" w:color="auto"/>
            </w:tcBorders>
            <w:hideMark/>
          </w:tcPr>
          <w:p>
            <w:pPr>
              <w:pStyle w:val="style0"/>
              <w:spacing w:after="200"/>
              <w:rPr/>
            </w:pPr>
            <w:r>
              <w:t>Intense price competition</w:t>
            </w:r>
          </w:p>
        </w:tc>
        <w:tc>
          <w:tcPr>
            <w:tcW w:w="0" w:type="auto"/>
            <w:tcBorders/>
            <w:hideMark/>
          </w:tcPr>
          <w:p>
            <w:pPr>
              <w:pStyle w:val="style0"/>
              <w:spacing w:after="200"/>
              <w:rPr/>
            </w:pPr>
            <w:r>
              <w:t>Improve manufacturing efficiency and expand software subscription revenues.</w:t>
            </w:r>
          </w:p>
        </w:tc>
      </w:tr>
      <w:tr>
        <w:tblPrEx/>
        <w:trPr/>
        <w:tc>
          <w:tcPr>
            <w:tcW w:w="0" w:type="auto"/>
            <w:tcBorders>
              <w:left w:val="none" w:sz="0" w:space="0" w:color="auto"/>
              <w:bottom w:val="none" w:sz="0" w:space="0" w:color="auto"/>
              <w:right w:val="none" w:sz="0" w:space="0" w:color="auto"/>
            </w:tcBorders>
            <w:hideMark/>
          </w:tcPr>
          <w:p>
            <w:pPr>
              <w:pStyle w:val="style0"/>
              <w:spacing w:after="200"/>
              <w:rPr/>
            </w:pPr>
            <w:r>
              <w:t>Workforce capability</w:t>
            </w:r>
          </w:p>
        </w:tc>
        <w:tc>
          <w:tcPr>
            <w:tcW w:w="0" w:type="auto"/>
            <w:tcBorders/>
            <w:hideMark/>
          </w:tcPr>
          <w:p>
            <w:pPr>
              <w:pStyle w:val="style0"/>
              <w:spacing w:after="200"/>
              <w:rPr/>
            </w:pPr>
            <w:r>
              <w:t>Invest in employee training and leadership development to support AI adoption.</w:t>
            </w:r>
          </w:p>
        </w:tc>
      </w:tr>
    </w:tbl>
    <w:p>
      <w:pPr>
        <w:pStyle w:val="style0"/>
        <w:jc w:val="center"/>
        <w:rPr>
          <w:b/>
        </w:rPr>
      </w:pPr>
      <w:r>
        <w:rPr>
          <w:b/>
        </w:rPr>
        <w:t xml:space="preserve">Table </w:t>
      </w:r>
      <w:r>
        <w:rPr>
          <w:b/>
        </w:rPr>
        <w:t>3</w:t>
      </w:r>
      <w:r>
        <w:rPr>
          <w:b/>
        </w:rPr>
        <w:t>: Strategic Implementation Challenges and Mitigation Measures</w:t>
      </w:r>
    </w:p>
    <w:p>
      <w:pPr>
        <w:pStyle w:val="style0"/>
        <w:jc w:val="center"/>
        <w:rPr/>
      </w:pPr>
      <w:r>
        <w:t xml:space="preserve">(Source: </w:t>
      </w:r>
      <w:r>
        <w:t>Self-created</w:t>
      </w:r>
      <w:r>
        <w:t>)</w:t>
      </w:r>
    </w:p>
    <w:p>
      <w:pPr>
        <w:pStyle w:val="style0"/>
        <w:rPr/>
      </w:pPr>
      <w:r>
        <w:t xml:space="preserve">To overcome these challenges successfully, there needs to be a balance between continuous innovation and operational excellence. Getting more out of software will alleviate dependency on vehicle sales, but maintain Tesla's luxury image (Li </w:t>
      </w:r>
      <w:r>
        <w:rPr>
          <w:i/>
        </w:rPr>
        <w:t>et al.,</w:t>
      </w:r>
      <w:r>
        <w:t xml:space="preserve"> 2024). At the same time, the investment into organisational capabilities and regulatory compliance helps to boost the effectiveness of implementation and to fulfil long term strategic goals.</w:t>
      </w:r>
    </w:p>
    <w:p>
      <w:pPr>
        <w:pStyle w:val="style0"/>
        <w:rPr/>
      </w:pPr>
      <w:r>
        <w:t>A holistic approach to proactive risk management helps to safeguard Tesla's technology-driven differentiation, nurture its competitive edge and sustain its long-term growth in the highly competitive Chinese passenger EV market.</w:t>
      </w:r>
    </w:p>
    <w:bookmarkStart w:id="16" w:name="_Toc234876930"/>
    <w:p>
      <w:pPr>
        <w:pStyle w:val="style1"/>
        <w:rPr/>
      </w:pPr>
      <w:r>
        <w:t xml:space="preserve">5. </w:t>
      </w:r>
      <w:r>
        <w:t>Reflective Account (Gibbs' Reflective Cycle)</w:t>
      </w:r>
      <w:bookmarkEnd w:id="16"/>
    </w:p>
    <w:p>
      <w:pPr>
        <w:pStyle w:val="style0"/>
        <w:jc w:val="center"/>
        <w:rPr/>
      </w:pPr>
      <w:r>
        <w:rPr/>
        <w:drawing>
          <wp:inline distL="0" distT="0" distB="0" distR="0">
            <wp:extent cx="5486400" cy="3200400"/>
            <wp:effectExtent l="0" t="57150" r="0" b="76200"/>
            <wp:docPr id="1028" name="Diagram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pPr>
        <w:pStyle w:val="style0"/>
        <w:jc w:val="center"/>
        <w:rPr>
          <w:b/>
          <w:bCs/>
        </w:rPr>
      </w:pPr>
      <w:r>
        <w:rPr>
          <w:b/>
        </w:rPr>
        <w:t xml:space="preserve">Figure </w:t>
      </w:r>
      <w:r>
        <w:rPr>
          <w:b/>
        </w:rPr>
        <w:t>3</w:t>
      </w:r>
      <w:r>
        <w:rPr>
          <w:b/>
        </w:rPr>
        <w:t xml:space="preserve">: </w:t>
      </w:r>
      <w:r>
        <w:rPr>
          <w:b/>
          <w:bCs/>
        </w:rPr>
        <w:t>Gibbs' Reflective Cycle</w:t>
      </w:r>
    </w:p>
    <w:p>
      <w:pPr>
        <w:pStyle w:val="style0"/>
        <w:jc w:val="center"/>
        <w:rPr/>
      </w:pPr>
      <w:r>
        <w:rPr>
          <w:bCs/>
        </w:rPr>
        <w:t xml:space="preserve">(Source: </w:t>
      </w:r>
      <w:r>
        <w:rPr>
          <w:bCs/>
        </w:rPr>
        <w:t>Self-created</w:t>
      </w:r>
      <w:r>
        <w:rPr>
          <w:bCs/>
        </w:rPr>
        <w:t>)</w:t>
      </w:r>
    </w:p>
    <w:bookmarkStart w:id="17" w:name="_Toc234876931"/>
    <w:p>
      <w:pPr>
        <w:pStyle w:val="style2"/>
        <w:rPr/>
      </w:pPr>
      <w:r>
        <w:t>5.1 Description</w:t>
      </w:r>
      <w:bookmarkEnd w:id="17"/>
    </w:p>
    <w:p>
      <w:pPr>
        <w:pStyle w:val="style0"/>
        <w:rPr/>
      </w:pPr>
      <w:r>
        <w:t>By using Gibbs' Reflective Cycle, this reflection will assess my experience for the research, analysis and preparation process for the strategic management report of Tesla's passenger electric vehicle (EV) business in China (</w:t>
      </w:r>
      <w:r>
        <w:t>Adeani</w:t>
      </w:r>
      <w:r>
        <w:t xml:space="preserve">, </w:t>
      </w:r>
      <w:r>
        <w:t>Febriani</w:t>
      </w:r>
      <w:r>
        <w:t xml:space="preserve"> and Syafryadin, 2020). A strategic management framework, such as PESTEL, VRIO, SWOT, Balanced Score card, and </w:t>
      </w:r>
      <w:r>
        <w:t>SAFe</w:t>
      </w:r>
      <w:r>
        <w:t xml:space="preserve">, were all used in the report to </w:t>
      </w:r>
      <w:r>
        <w:t>analyse</w:t>
      </w:r>
      <w:r>
        <w:t xml:space="preserve"> the strategic position and come up with an appropriate business level strategy for Tesla. For analysis, I've drawn from various academic journal articles and company reports, industry publications and market statistics. Given Tesla's business focus in China, an </w:t>
      </w:r>
      <w:r>
        <w:t>analysis of only the passenger EV segment allowed a more targeted assessment of the company's competitive situation and helped to understand the effect of external market dynamics and internal strengths on strategic choice.</w:t>
      </w:r>
    </w:p>
    <w:bookmarkStart w:id="18" w:name="_Toc234876932"/>
    <w:p>
      <w:pPr>
        <w:pStyle w:val="style2"/>
        <w:rPr/>
      </w:pPr>
      <w:r>
        <w:t>5.2 Feelings</w:t>
      </w:r>
      <w:bookmarkEnd w:id="18"/>
    </w:p>
    <w:p>
      <w:pPr>
        <w:pStyle w:val="style0"/>
        <w:rPr/>
      </w:pPr>
      <w:r>
        <w:t xml:space="preserve">Initially, I thought that with Tesla being technologically advanced and enjoying strong global reputation, strategic analysis would not be too difficult. But after </w:t>
      </w:r>
      <w:r>
        <w:t>analyzing</w:t>
      </w:r>
      <w:r>
        <w:t xml:space="preserve"> academically and industry evidence, I found that China's EV market is actually more competitive than I thought. Domestic manufacturers such as BYD, NIO and XPeng have rapidly improved their technological capabilities while competing aggressively on price. This made me reconsider my original idea, that brand was enough to provide competitive advantage to Tesla. Before I started to correlate external opportunity, internal capability, and decision, an analysis of multiple strategic frameworks initially seemed to be difficult, but as I did </w:t>
      </w:r>
      <w:r>
        <w:t>this,</w:t>
      </w:r>
      <w:r>
        <w:t xml:space="preserve"> I built confidence. Moving from describing business models to critically examining business strategy decisions with </w:t>
      </w:r>
      <w:r>
        <w:t>this process</w:t>
      </w:r>
      <w:r>
        <w:t>.</w:t>
      </w:r>
    </w:p>
    <w:bookmarkStart w:id="19" w:name="_Toc234876933"/>
    <w:p>
      <w:pPr>
        <w:pStyle w:val="style2"/>
        <w:rPr/>
      </w:pPr>
      <w:r>
        <w:t>5.3 Evaluation</w:t>
      </w:r>
      <w:bookmarkEnd w:id="19"/>
    </w:p>
    <w:p>
      <w:pPr>
        <w:pStyle w:val="style0"/>
        <w:rPr/>
      </w:pPr>
      <w:r>
        <w:t xml:space="preserve">The use of several strategic management frameworks instead of one analytical model was one of the best features I achieved in my approach. By combining PESTEL, I learned about how the political, technological and regulatory factors in China affect a car company and VRIO brought Tesla's unique internal assets to light. The analysis of these data using SWOT offered a strategic framework and the Balanced Scorecard linked strategic objectives to operational measures of performance. Last but not least, the </w:t>
      </w:r>
      <w:r>
        <w:t>SAFe</w:t>
      </w:r>
      <w:r>
        <w:t xml:space="preserve"> framework allowed me to better use structured evaluation to support the suggested approach.</w:t>
      </w:r>
    </w:p>
    <w:p>
      <w:pPr>
        <w:pStyle w:val="style0"/>
        <w:rPr/>
      </w:pPr>
      <w:r>
        <w:t>Still, there were a few hurdles I faced. It was difficult to separate out reliable evidence from general comments, as the information available was large. Furthermore, given the disparity in statistical sources in terms of reporting period and method, some figures varied (</w:t>
      </w:r>
      <w:r>
        <w:t>Boďa</w:t>
      </w:r>
      <w:r>
        <w:t xml:space="preserve"> and Vladimír Úradníček, 2020). The other difficulty was to not write descriptively. But at first, instead of analysing the implications of the frameworks, I have explained them. When I altered parts of the report, instead of describing a situation I was able to present arguments with evidence.</w:t>
      </w:r>
    </w:p>
    <w:bookmarkStart w:id="20" w:name="_Toc234876934"/>
    <w:p>
      <w:pPr>
        <w:pStyle w:val="style2"/>
        <w:rPr/>
      </w:pPr>
      <w:r>
        <w:t>5.4 Analysis</w:t>
      </w:r>
      <w:bookmarkEnd w:id="20"/>
    </w:p>
    <w:p>
      <w:pPr>
        <w:pStyle w:val="style0"/>
        <w:rPr/>
      </w:pPr>
      <w:r>
        <w:t xml:space="preserve">Overall, this assignment has greatly improved my knowledge of strategic management because it has proved to me that strategy is not just something that one can find in a book and just implement. At </w:t>
      </w:r>
      <w:r>
        <w:t>first,</w:t>
      </w:r>
      <w:r>
        <w:t xml:space="preserve"> I thought ‘cost leadership' would be a good solution to the very price-sensitive Chinese EV market. Compatibility of results from these PESTEL, VRIO and SWOT analyses revealed that playing a price competition would not strengthen Tesla's premium positioning, nor would it allow Tesla to save resources for future innovations.</w:t>
      </w:r>
    </w:p>
    <w:p>
      <w:pPr>
        <w:pStyle w:val="style0"/>
        <w:rPr/>
      </w:pPr>
      <w:r>
        <w:t>The Resource Based View further enhanced my knowledge about the advantage of sustainable competitive advantage. I figured that Tesla's AI, software, vertical integration, and Gigafactory Shanghai were more intangible and harder to copy than being able to precisely match its pricing. Likewise, it was found that, based on the SAFE framework, strategic recommendations must be examined for competitive potential and make sense, must be accepted by stakeholders and must be implementable.</w:t>
      </w:r>
    </w:p>
    <w:p>
      <w:pPr>
        <w:pStyle w:val="style0"/>
        <w:rPr/>
      </w:pPr>
      <w:r>
        <w:t>Another key learning area that was highlighted was the importance of having both academic sources and current industry evidence. Operational data from company reports were provided while peer-reviewed literature provided theoretical explanations of competitive behaviour were gathered (</w:t>
      </w:r>
      <w:r>
        <w:t>Tsiu</w:t>
      </w:r>
      <w:r>
        <w:t xml:space="preserve"> </w:t>
      </w:r>
      <w:r>
        <w:rPr>
          <w:i/>
        </w:rPr>
        <w:t>et al.,</w:t>
      </w:r>
      <w:r>
        <w:t xml:space="preserve"> 2025). These sources enhanced the validity of my arguments and bolstered the need for evidence-based strategic decision making. In totality and in general, the process changed my thinking from dealing with only one way to win to a more holistic process of analysing the environment, analysing the resources and implementing them effectively.</w:t>
      </w:r>
    </w:p>
    <w:bookmarkStart w:id="21" w:name="_Toc234876935"/>
    <w:p>
      <w:pPr>
        <w:pStyle w:val="style2"/>
        <w:rPr/>
      </w:pPr>
      <w:r>
        <w:t>5.5 Conclusion</w:t>
      </w:r>
      <w:bookmarkEnd w:id="21"/>
    </w:p>
    <w:p>
      <w:pPr>
        <w:pStyle w:val="style0"/>
        <w:rPr/>
      </w:pPr>
      <w:r>
        <w:t xml:space="preserve">I find that this assignment allowed me to become more strategic, but also more efficient at gathering and presenting the research that I would need to conduct in the future. I have become more familiar with how the frameworks of strategic management can be used together to support evidence-based decision-making. More important, I have learned that it's not just having the historical strengths that make up a sustainable competitive advantage; it's being able to position the organisation's resources in order to respond to the needs of the external market. These have helped me to better </w:t>
      </w:r>
      <w:r>
        <w:t>appreciate the analysis of complex business environments as a strategic management consultant.</w:t>
      </w:r>
    </w:p>
    <w:bookmarkStart w:id="22" w:name="_Toc234876936"/>
    <w:p>
      <w:pPr>
        <w:pStyle w:val="style2"/>
        <w:rPr/>
      </w:pPr>
      <w:r>
        <w:t>5.6 Action Plan</w:t>
      </w:r>
      <w:bookmarkEnd w:id="22"/>
    </w:p>
    <w:p>
      <w:pPr>
        <w:pStyle w:val="style0"/>
        <w:rPr/>
      </w:pPr>
      <w:r>
        <w:t>I plan to develop my skills in critical analysis through a wider selection of current academic studies in future strategic consultation projects and add in quantitative data to support strategic advice. I am also going to work on being better able to synthesise a multitude of strategic frameworks, not just analyse them individually. Also, I shall keep on learning to write the consultancy reports with evidence that are concise, not descriptive but rather evaluative in nature. Such improvement will reduce levels of my academic achievement and my professional skills of strategic management.</w:t>
      </w:r>
      <w:r>
        <w:t xml:space="preserve"> </w:t>
      </w:r>
    </w:p>
    <w:p>
      <w:pPr>
        <w:pStyle w:val="style0"/>
        <w:rPr/>
      </w:pPr>
      <w:r>
        <w:br w:type="page"/>
      </w:r>
    </w:p>
    <w:bookmarkStart w:id="23" w:name="_Toc234876937"/>
    <w:p>
      <w:pPr>
        <w:pStyle w:val="style1"/>
        <w:rPr/>
      </w:pPr>
      <w:r>
        <w:t>References</w:t>
      </w:r>
      <w:bookmarkEnd w:id="23"/>
    </w:p>
    <w:p>
      <w:pPr>
        <w:pStyle w:val="style0"/>
        <w:rPr>
          <w:rFonts w:cs="Arial"/>
          <w:shd w:val="clear" w:color="auto" w:fill="ffffff"/>
        </w:rPr>
      </w:pPr>
      <w:r>
        <w:rPr>
          <w:rFonts w:cs="Arial"/>
          <w:shd w:val="clear" w:color="auto" w:fill="ffffff"/>
        </w:rPr>
        <w:t xml:space="preserve">Adeani, I.S., </w:t>
      </w:r>
      <w:r>
        <w:rPr>
          <w:rFonts w:cs="Arial"/>
          <w:shd w:val="clear" w:color="auto" w:fill="ffffff"/>
        </w:rPr>
        <w:t>Febriani</w:t>
      </w:r>
      <w:r>
        <w:rPr>
          <w:rFonts w:cs="Arial"/>
          <w:shd w:val="clear" w:color="auto" w:fill="ffffff"/>
        </w:rPr>
        <w:t xml:space="preserve">, R.B. and Syafryadin, S. (2020) ‘Using </w:t>
      </w:r>
      <w:r>
        <w:rPr>
          <w:rFonts w:cs="Arial"/>
          <w:shd w:val="clear" w:color="auto" w:fill="ffffff"/>
        </w:rPr>
        <w:t>GIBBS’reflective</w:t>
      </w:r>
      <w:r>
        <w:rPr>
          <w:rFonts w:cs="Arial"/>
          <w:shd w:val="clear" w:color="auto" w:fill="ffffff"/>
        </w:rPr>
        <w:t xml:space="preserve"> cycle in making reflections of literary analysis’, </w:t>
      </w:r>
      <w:r>
        <w:rPr>
          <w:rFonts w:cs="Arial"/>
          <w:i/>
          <w:iCs/>
          <w:shd w:val="clear" w:color="auto" w:fill="ffffff"/>
        </w:rPr>
        <w:t>Indonesian EFL Journal</w:t>
      </w:r>
      <w:r>
        <w:rPr>
          <w:rFonts w:cs="Arial"/>
          <w:shd w:val="clear" w:color="auto" w:fill="ffffff"/>
        </w:rPr>
        <w:t>, </w:t>
      </w:r>
      <w:r>
        <w:rPr>
          <w:rFonts w:cs="Arial"/>
          <w:i/>
          <w:iCs/>
          <w:shd w:val="clear" w:color="auto" w:fill="ffffff"/>
        </w:rPr>
        <w:t>6</w:t>
      </w:r>
      <w:r>
        <w:rPr>
          <w:rFonts w:cs="Arial"/>
          <w:shd w:val="clear" w:color="auto" w:fill="ffffff"/>
        </w:rPr>
        <w:t xml:space="preserve">(2), pp.139-148. </w:t>
      </w:r>
      <w:r>
        <w:rPr>
          <w:rFonts w:cs="Arial"/>
          <w:shd w:val="clear" w:color="auto" w:fill="ffffff"/>
        </w:rPr>
        <w:t>doi</w:t>
      </w:r>
      <w:r>
        <w:rPr>
          <w:rFonts w:cs="Arial"/>
          <w:shd w:val="clear" w:color="auto" w:fill="ffffff"/>
        </w:rPr>
        <w:t>: 10.25134/</w:t>
      </w:r>
      <w:r>
        <w:rPr>
          <w:rFonts w:cs="Arial"/>
          <w:shd w:val="clear" w:color="auto" w:fill="ffffff"/>
        </w:rPr>
        <w:t>ieflj.v</w:t>
      </w:r>
      <w:r>
        <w:rPr>
          <w:rFonts w:cs="Arial"/>
          <w:shd w:val="clear" w:color="auto" w:fill="ffffff"/>
        </w:rPr>
        <w:t>6i2.3382</w:t>
      </w:r>
      <w:r>
        <w:rPr>
          <w:rFonts w:cs="Arial"/>
          <w:shd w:val="clear" w:color="auto" w:fill="ffffff"/>
        </w:rPr>
        <w:t xml:space="preserve"> </w:t>
      </w:r>
    </w:p>
    <w:p>
      <w:pPr>
        <w:pStyle w:val="style0"/>
        <w:rPr>
          <w:rFonts w:cs="Arial"/>
        </w:rPr>
      </w:pPr>
      <w:r>
        <w:rPr>
          <w:rFonts w:cs="Arial"/>
          <w:shd w:val="clear" w:color="auto" w:fill="ffffff"/>
        </w:rPr>
        <w:t>Ali, A</w:t>
      </w:r>
      <w:r>
        <w:rPr>
          <w:rFonts w:cs="Arial"/>
        </w:rPr>
        <w:t>., Iqbal, M.A.J. and Irfan, M. (</w:t>
      </w:r>
      <w:r>
        <w:rPr>
          <w:rFonts w:cs="Arial"/>
          <w:shd w:val="clear" w:color="auto" w:fill="ffffff"/>
        </w:rPr>
        <w:t>2025</w:t>
      </w:r>
      <w:r>
        <w:rPr>
          <w:rFonts w:cs="Arial"/>
        </w:rPr>
        <w:t>)</w:t>
      </w:r>
      <w:r>
        <w:rPr>
          <w:rFonts w:cs="Arial"/>
          <w:shd w:val="clear" w:color="auto" w:fill="ffffff"/>
        </w:rPr>
        <w:t xml:space="preserve"> </w:t>
      </w:r>
      <w:r>
        <w:rPr>
          <w:rFonts w:cs="Arial"/>
        </w:rPr>
        <w:t>‘</w:t>
      </w:r>
      <w:r>
        <w:rPr>
          <w:rFonts w:cs="Arial"/>
          <w:shd w:val="clear" w:color="auto" w:fill="ffffff"/>
        </w:rPr>
        <w:t>Strategic Corporate Social Responsibility and Financial Performance: Sectoral Evidence and Governance Implications</w:t>
      </w:r>
      <w:r>
        <w:rPr>
          <w:rFonts w:cs="Arial"/>
        </w:rPr>
        <w:t>’,</w:t>
      </w:r>
      <w:r>
        <w:rPr>
          <w:rFonts w:cs="Arial"/>
          <w:shd w:val="clear" w:color="auto" w:fill="ffffff"/>
        </w:rPr>
        <w:t> </w:t>
      </w:r>
      <w:r>
        <w:rPr>
          <w:rFonts w:cs="Arial"/>
          <w:i/>
          <w:iCs/>
          <w:shd w:val="clear" w:color="auto" w:fill="ffffff"/>
        </w:rPr>
        <w:t>Journal of Business and Management Research</w:t>
      </w:r>
      <w:r>
        <w:rPr>
          <w:rFonts w:cs="Arial"/>
          <w:shd w:val="clear" w:color="auto" w:fill="ffffff"/>
        </w:rPr>
        <w:t>, </w:t>
      </w:r>
      <w:r>
        <w:rPr>
          <w:rFonts w:cs="Arial"/>
          <w:i/>
          <w:iCs/>
          <w:shd w:val="clear" w:color="auto" w:fill="ffffff"/>
        </w:rPr>
        <w:t>4</w:t>
      </w:r>
      <w:r>
        <w:rPr>
          <w:rFonts w:cs="Arial"/>
          <w:shd w:val="clear" w:color="auto" w:fill="ffffff"/>
        </w:rPr>
        <w:t>(2), pp.1053-1069.</w:t>
      </w:r>
      <w:r>
        <w:rPr>
          <w:rFonts w:cs="Arial"/>
        </w:rPr>
        <w:t xml:space="preserve"> </w:t>
      </w:r>
      <w:r>
        <w:rPr/>
        <w:fldChar w:fldCharType="begin"/>
      </w:r>
      <w:r>
        <w:instrText xml:space="preserve"> HYPERLINK "https://doi.org/10.64105/jbmr.04.02.458" </w:instrText>
      </w:r>
      <w:r>
        <w:rPr/>
        <w:fldChar w:fldCharType="separate"/>
      </w:r>
      <w:r>
        <w:rPr>
          <w:rStyle w:val="style85"/>
          <w:rFonts w:cs="Arial"/>
        </w:rPr>
        <w:t>doi</w:t>
      </w:r>
      <w:r>
        <w:rPr>
          <w:rStyle w:val="style85"/>
          <w:rFonts w:cs="Arial"/>
        </w:rPr>
        <w:t xml:space="preserve">: </w:t>
      </w:r>
      <w:r>
        <w:rPr>
          <w:rStyle w:val="style85"/>
          <w:rFonts w:cs="Arial"/>
        </w:rPr>
        <w:t>10.64105/jbmr.04.02.458</w:t>
      </w:r>
      <w:r>
        <w:rPr/>
        <w:fldChar w:fldCharType="end"/>
      </w:r>
      <w:r>
        <w:rPr>
          <w:rFonts w:cs="Arial"/>
        </w:rPr>
        <w:t xml:space="preserve"> </w:t>
      </w:r>
    </w:p>
    <w:p>
      <w:pPr>
        <w:pStyle w:val="style0"/>
        <w:rPr>
          <w:rFonts w:cs="Arial"/>
        </w:rPr>
      </w:pPr>
      <w:r>
        <w:rPr>
          <w:rFonts w:cs="Arial"/>
        </w:rPr>
        <w:t xml:space="preserve">Bai, X. (2025) ‘Tesla Financial Performance Forecast and Analysis’, </w:t>
      </w:r>
      <w:r>
        <w:rPr>
          <w:rFonts w:cs="Arial"/>
          <w:i/>
          <w:iCs/>
        </w:rPr>
        <w:t>Advances in Economics Management and Political Sciences</w:t>
      </w:r>
      <w:r>
        <w:rPr>
          <w:rFonts w:cs="Arial"/>
        </w:rPr>
        <w:t xml:space="preserve">, 145(1), pp.164–170. doi:10.54254/2754-1169/2024.ld19041 </w:t>
      </w:r>
    </w:p>
    <w:p>
      <w:pPr>
        <w:pStyle w:val="style0"/>
        <w:rPr>
          <w:rFonts w:cs="Arial"/>
        </w:rPr>
      </w:pPr>
      <w:r>
        <w:rPr>
          <w:rFonts w:cs="Arial"/>
        </w:rPr>
        <w:t>Bello, W. (2025) ‘</w:t>
      </w:r>
      <w:r>
        <w:rPr>
          <w:rFonts w:cs="Arial"/>
          <w:i/>
          <w:iCs/>
        </w:rPr>
        <w:t>Strategic Analysis of Tesla Inc’.</w:t>
      </w:r>
      <w:r>
        <w:rPr>
          <w:rFonts w:cs="Arial"/>
        </w:rPr>
        <w:t xml:space="preserve"> doi:10.13140/RG.2.2.22467.87848.</w:t>
      </w:r>
    </w:p>
    <w:p>
      <w:pPr>
        <w:pStyle w:val="style0"/>
        <w:rPr>
          <w:rFonts w:cs="Arial"/>
        </w:rPr>
      </w:pPr>
      <w:r>
        <w:rPr>
          <w:rFonts w:cs="Arial"/>
        </w:rPr>
        <w:t>Boďa</w:t>
      </w:r>
      <w:r>
        <w:rPr>
          <w:rFonts w:cs="Arial"/>
        </w:rPr>
        <w:t xml:space="preserve">, M. and Vladimír Úradníček (2020) </w:t>
      </w:r>
      <w:r>
        <w:rPr>
          <w:rFonts w:cs="Arial"/>
        </w:rPr>
        <w:t>‘</w:t>
      </w:r>
      <w:r>
        <w:rPr>
          <w:rFonts w:cs="Arial"/>
        </w:rPr>
        <w:t>Methodology of Industry Statistics: Averages, Quantiles and Responses to Atypical Value</w:t>
      </w:r>
      <w:r>
        <w:rPr>
          <w:rFonts w:cs="Arial"/>
        </w:rPr>
        <w:t>’,</w:t>
      </w:r>
      <w:r>
        <w:rPr>
          <w:rFonts w:cs="Arial"/>
        </w:rPr>
        <w:t xml:space="preserve"> </w:t>
      </w:r>
      <w:r>
        <w:rPr>
          <w:rFonts w:cs="Arial"/>
          <w:i/>
          <w:iCs/>
        </w:rPr>
        <w:t xml:space="preserve">E+M </w:t>
      </w:r>
      <w:r>
        <w:rPr>
          <w:rFonts w:cs="Arial"/>
          <w:i/>
          <w:iCs/>
        </w:rPr>
        <w:t>Ekonomie</w:t>
      </w:r>
      <w:r>
        <w:rPr>
          <w:rFonts w:cs="Arial"/>
          <w:i/>
          <w:iCs/>
        </w:rPr>
        <w:t xml:space="preserve"> a Management</w:t>
      </w:r>
      <w:r>
        <w:rPr>
          <w:rFonts w:cs="Arial"/>
        </w:rPr>
        <w:t>, 23(3), pp.120–137. doi:10.15240/</w:t>
      </w:r>
      <w:r>
        <w:rPr>
          <w:rFonts w:cs="Arial"/>
        </w:rPr>
        <w:t>tul</w:t>
      </w:r>
      <w:r>
        <w:rPr>
          <w:rFonts w:cs="Arial"/>
        </w:rPr>
        <w:t>/001/2020-3-008</w:t>
      </w:r>
    </w:p>
    <w:p>
      <w:pPr>
        <w:pStyle w:val="style0"/>
        <w:rPr>
          <w:rFonts w:cs="Arial"/>
        </w:rPr>
      </w:pPr>
      <w:r>
        <w:rPr>
          <w:rFonts w:cs="Arial"/>
        </w:rPr>
        <w:t>Brand Finance (2025) ‘</w:t>
      </w:r>
      <w:r>
        <w:rPr>
          <w:rFonts w:cs="Arial"/>
          <w:i/>
          <w:iCs/>
        </w:rPr>
        <w:t>Brand Finance Global 500 2025’</w:t>
      </w:r>
      <w:r>
        <w:rPr>
          <w:rFonts w:cs="Arial"/>
        </w:rPr>
        <w:t xml:space="preserve">. Available at: </w:t>
      </w:r>
      <w:r>
        <w:rPr/>
        <w:fldChar w:fldCharType="begin"/>
      </w:r>
      <w:r>
        <w:instrText xml:space="preserve"> HYPERLINK "https://static.brandirectory.com/reports/brand-finance-global-500-2025-preview.pdf" </w:instrText>
      </w:r>
      <w:r>
        <w:rPr/>
        <w:fldChar w:fldCharType="separate"/>
      </w:r>
      <w:r>
        <w:rPr>
          <w:rStyle w:val="style85"/>
          <w:rFonts w:cs="Arial"/>
        </w:rPr>
        <w:t>brand-finance-global-500-2025-preview.pdf</w:t>
      </w:r>
      <w:r>
        <w:rPr/>
        <w:fldChar w:fldCharType="end"/>
      </w:r>
      <w:r>
        <w:rPr>
          <w:rFonts w:cs="Arial"/>
        </w:rPr>
        <w:t xml:space="preserve"> (Accessed 12 July 2026)</w:t>
      </w:r>
    </w:p>
    <w:p>
      <w:pPr>
        <w:pStyle w:val="style0"/>
        <w:rPr>
          <w:rFonts w:cs="Arial"/>
        </w:rPr>
      </w:pPr>
      <w:r>
        <w:rPr>
          <w:rFonts w:cs="Arial"/>
        </w:rPr>
        <w:t>Carroll, A.B.</w:t>
      </w:r>
      <w:r>
        <w:rPr>
          <w:rFonts w:cs="Arial"/>
          <w:shd w:val="clear" w:color="auto" w:fill="ffffff"/>
        </w:rPr>
        <w:t xml:space="preserve"> </w:t>
      </w:r>
      <w:r>
        <w:rPr>
          <w:rFonts w:cs="Arial"/>
        </w:rPr>
        <w:t>(</w:t>
      </w:r>
      <w:r>
        <w:rPr>
          <w:rFonts w:cs="Arial"/>
          <w:shd w:val="clear" w:color="auto" w:fill="ffffff"/>
        </w:rPr>
        <w:t>2021</w:t>
      </w:r>
      <w:r>
        <w:rPr>
          <w:rFonts w:cs="Arial"/>
        </w:rPr>
        <w:t>)</w:t>
      </w:r>
      <w:r>
        <w:rPr>
          <w:rFonts w:cs="Arial"/>
          <w:shd w:val="clear" w:color="auto" w:fill="ffffff"/>
        </w:rPr>
        <w:t xml:space="preserve"> </w:t>
      </w:r>
      <w:r>
        <w:rPr>
          <w:rFonts w:cs="Arial"/>
        </w:rPr>
        <w:t>‘</w:t>
      </w:r>
      <w:r>
        <w:rPr>
          <w:rFonts w:cs="Arial"/>
          <w:shd w:val="clear" w:color="auto" w:fill="ffffff"/>
        </w:rPr>
        <w:t>Corporate social responsibility: Perspectives on the CSR construct’s development and future</w:t>
      </w:r>
      <w:r>
        <w:rPr>
          <w:rFonts w:cs="Arial"/>
        </w:rPr>
        <w:t>’,</w:t>
      </w:r>
      <w:r>
        <w:rPr>
          <w:rFonts w:cs="Arial"/>
          <w:shd w:val="clear" w:color="auto" w:fill="ffffff"/>
        </w:rPr>
        <w:t> </w:t>
      </w:r>
      <w:r>
        <w:rPr>
          <w:rFonts w:cs="Arial"/>
          <w:i/>
          <w:iCs/>
          <w:shd w:val="clear" w:color="auto" w:fill="ffffff"/>
        </w:rPr>
        <w:t>Business &amp; society</w:t>
      </w:r>
      <w:r>
        <w:rPr>
          <w:rFonts w:cs="Arial"/>
          <w:shd w:val="clear" w:color="auto" w:fill="ffffff"/>
        </w:rPr>
        <w:t>, </w:t>
      </w:r>
      <w:r>
        <w:rPr>
          <w:rFonts w:cs="Arial"/>
          <w:i/>
          <w:iCs/>
          <w:shd w:val="clear" w:color="auto" w:fill="ffffff"/>
        </w:rPr>
        <w:t>60</w:t>
      </w:r>
      <w:r>
        <w:rPr>
          <w:rFonts w:cs="Arial"/>
          <w:shd w:val="clear" w:color="auto" w:fill="ffffff"/>
        </w:rPr>
        <w:t>(6), pp.1258-1278.</w:t>
      </w:r>
      <w:r>
        <w:rPr>
          <w:rFonts w:cs="Arial"/>
        </w:rPr>
        <w:t xml:space="preserve"> </w:t>
      </w:r>
      <w:r>
        <w:rPr/>
        <w:fldChar w:fldCharType="begin"/>
      </w:r>
      <w:r>
        <w:instrText xml:space="preserve"> HYPERLINK "https://doi.org/10.1177/00076503211001765" </w:instrText>
      </w:r>
      <w:r>
        <w:rPr/>
        <w:fldChar w:fldCharType="separate"/>
      </w:r>
      <w:r>
        <w:rPr>
          <w:rStyle w:val="style85"/>
          <w:rFonts w:cs="Arial"/>
        </w:rPr>
        <w:t>https://doi.org/10.1177/00076503211001765</w:t>
      </w:r>
      <w:r>
        <w:rPr/>
        <w:fldChar w:fldCharType="end"/>
      </w:r>
    </w:p>
    <w:p>
      <w:pPr>
        <w:pStyle w:val="style0"/>
        <w:rPr>
          <w:rFonts w:cs="Arial"/>
          <w:shd w:val="clear" w:color="auto" w:fill="ffffff"/>
        </w:rPr>
      </w:pPr>
      <w:r>
        <w:rPr>
          <w:rFonts w:cs="Arial"/>
          <w:shd w:val="clear" w:color="auto" w:fill="ffffff"/>
        </w:rPr>
        <w:t>Chen, Z., Li, X. and Zhi, X. (2022, April) ‘Analysis of Tesla’s Pricing Strategy in the Chinese Market’, In </w:t>
      </w:r>
      <w:r>
        <w:rPr>
          <w:rFonts w:cs="Arial"/>
          <w:i/>
          <w:iCs/>
          <w:shd w:val="clear" w:color="auto" w:fill="ffffff"/>
        </w:rPr>
        <w:t>2022 7th International Conference on Social Sciences and Economic Development (ICSSED 2022)</w:t>
      </w:r>
      <w:r>
        <w:rPr>
          <w:rFonts w:cs="Arial"/>
          <w:shd w:val="clear" w:color="auto" w:fill="ffffff"/>
        </w:rPr>
        <w:t xml:space="preserve"> (pp. 265-272). </w:t>
      </w:r>
      <w:r>
        <w:rPr>
          <w:rFonts w:cs="Arial"/>
          <w:i/>
          <w:iCs/>
          <w:shd w:val="clear" w:color="auto" w:fill="ffffff"/>
        </w:rPr>
        <w:t>Atlantis Press.</w:t>
      </w:r>
      <w:r>
        <w:rPr>
          <w:rFonts w:cs="Arial"/>
          <w:shd w:val="clear" w:color="auto" w:fill="ffffff"/>
        </w:rPr>
        <w:t xml:space="preserve"> DOI: 10.2991/aebmr.k.220405.045 </w:t>
      </w:r>
    </w:p>
    <w:p>
      <w:pPr>
        <w:pStyle w:val="style0"/>
        <w:rPr>
          <w:rFonts w:cs="Arial"/>
        </w:rPr>
      </w:pPr>
      <w:r>
        <w:rPr>
          <w:rFonts w:cs="Arial"/>
        </w:rPr>
        <w:t xml:space="preserve">Deepak (2025) </w:t>
      </w:r>
      <w:r>
        <w:rPr>
          <w:rFonts w:cs="Arial"/>
          <w:i/>
          <w:iCs/>
        </w:rPr>
        <w:t>Tesla Sustainability 2025: Circular Energy and Net Zero Goals</w:t>
      </w:r>
      <w:r>
        <w:rPr>
          <w:rFonts w:cs="Arial"/>
          <w:i/>
          <w:iCs/>
        </w:rPr>
        <w:t>.</w:t>
      </w:r>
      <w:r>
        <w:rPr>
          <w:rFonts w:cs="Arial"/>
        </w:rPr>
        <w:t xml:space="preserve"> The Sustainable Innovation. Available at: </w:t>
      </w:r>
      <w:r>
        <w:rPr/>
        <w:fldChar w:fldCharType="begin"/>
      </w:r>
      <w:r>
        <w:instrText xml:space="preserve"> HYPERLINK "https://thesustainableinnovation.com/tesla-sustainability/" </w:instrText>
      </w:r>
      <w:r>
        <w:rPr/>
        <w:fldChar w:fldCharType="separate"/>
      </w:r>
      <w:r>
        <w:rPr>
          <w:rStyle w:val="style85"/>
          <w:rFonts w:cs="Arial"/>
        </w:rPr>
        <w:t>https://thesustainableinnovation.com/tesla-sustainability/</w:t>
      </w:r>
      <w:r>
        <w:rPr/>
        <w:fldChar w:fldCharType="end"/>
      </w:r>
      <w:r>
        <w:rPr>
          <w:rFonts w:cs="Arial"/>
        </w:rPr>
        <w:t xml:space="preserve"> (Accessed 12 July 2026)</w:t>
      </w:r>
    </w:p>
    <w:p>
      <w:pPr>
        <w:pStyle w:val="style0"/>
        <w:rPr>
          <w:rFonts w:cs="Arial"/>
        </w:rPr>
      </w:pPr>
      <w:r>
        <w:rPr>
          <w:rFonts w:cs="Arial"/>
        </w:rPr>
        <w:t xml:space="preserve">Ezell, S. (2024) </w:t>
      </w:r>
      <w:r>
        <w:rPr>
          <w:rFonts w:cs="Arial"/>
          <w:i/>
          <w:iCs/>
        </w:rPr>
        <w:t>How Innovative Is China in the Electric Vehicle and Battery Industries?</w:t>
      </w:r>
      <w:r>
        <w:rPr>
          <w:rFonts w:cs="Arial"/>
        </w:rPr>
        <w:t xml:space="preserve"> Information Technology &amp; Innovation Foundation. Available at: </w:t>
      </w:r>
      <w:r>
        <w:rPr/>
        <w:fldChar w:fldCharType="begin"/>
      </w:r>
      <w:r>
        <w:instrText xml:space="preserve"> HYPERLINK "https://itif.org/publications/2024/07/29/how-innovative-is-china-in-the-electric-vehicle-and-battery-industries/" </w:instrText>
      </w:r>
      <w:r>
        <w:rPr/>
        <w:fldChar w:fldCharType="separate"/>
      </w:r>
      <w:r>
        <w:rPr>
          <w:rStyle w:val="style85"/>
          <w:rFonts w:cs="Arial"/>
        </w:rPr>
        <w:t>https://itif.org/publications/2024/07/29/how-innovative-is-china-in-the-electric-vehicle-and-battery-industries/</w:t>
      </w:r>
      <w:r>
        <w:rPr/>
        <w:fldChar w:fldCharType="end"/>
      </w:r>
      <w:r>
        <w:t xml:space="preserve"> </w:t>
      </w:r>
      <w:r>
        <w:rPr>
          <w:rFonts w:cs="Arial"/>
        </w:rPr>
        <w:t>(Accessed 12 July 2026)</w:t>
      </w:r>
    </w:p>
    <w:p>
      <w:pPr>
        <w:pStyle w:val="style0"/>
        <w:rPr>
          <w:rFonts w:cs="Arial"/>
        </w:rPr>
      </w:pPr>
      <w:r>
        <w:rPr>
          <w:rFonts w:cs="Arial"/>
        </w:rPr>
        <w:t>George, A.S. (2024) ‘AI-enabled intelligent manufacturing: A path to increased productivity, quality, and insights’, </w:t>
      </w:r>
      <w:r>
        <w:rPr>
          <w:rFonts w:cs="Arial"/>
          <w:i/>
          <w:iCs/>
        </w:rPr>
        <w:t>Partners Universal Innovative Research Publication</w:t>
      </w:r>
      <w:r>
        <w:rPr>
          <w:rFonts w:cs="Arial"/>
        </w:rPr>
        <w:t>, </w:t>
      </w:r>
      <w:r>
        <w:rPr>
          <w:rFonts w:cs="Arial"/>
          <w:i/>
          <w:iCs/>
        </w:rPr>
        <w:t>2</w:t>
      </w:r>
      <w:r>
        <w:rPr>
          <w:rFonts w:cs="Arial"/>
        </w:rPr>
        <w:t xml:space="preserve">(4), pp.50-63. doi:10.5281/zenodo.13338085 </w:t>
      </w:r>
    </w:p>
    <w:p>
      <w:pPr>
        <w:pStyle w:val="style0"/>
        <w:rPr/>
      </w:pPr>
      <w:r>
        <w:t xml:space="preserve">Grandviewresearch.com. (2025) </w:t>
      </w:r>
      <w:r>
        <w:rPr>
          <w:i/>
          <w:iCs/>
        </w:rPr>
        <w:t>China Electric Vehicle Market Size &amp; Outlook, 2030</w:t>
      </w:r>
      <w:r>
        <w:t xml:space="preserve">. Available at: </w:t>
      </w:r>
      <w:r>
        <w:rPr/>
        <w:fldChar w:fldCharType="begin"/>
      </w:r>
      <w:r>
        <w:instrText xml:space="preserve"> HYPERLINK "https://www.grandviewresearch.com/horizon/outlook/electric-vehicle-market/china" </w:instrText>
      </w:r>
      <w:r>
        <w:rPr/>
        <w:fldChar w:fldCharType="separate"/>
      </w:r>
      <w:r>
        <w:rPr>
          <w:rStyle w:val="style85"/>
        </w:rPr>
        <w:t>https://www.grandviewresearch.com/horizon/outlook/electric-vehicle-market/china</w:t>
      </w:r>
      <w:r>
        <w:rPr/>
        <w:fldChar w:fldCharType="end"/>
      </w:r>
      <w:r>
        <w:t xml:space="preserve"> </w:t>
      </w:r>
      <w:r>
        <w:rPr>
          <w:rFonts w:cs="Arial"/>
        </w:rPr>
        <w:t>(Accessed 12 July 2026)</w:t>
      </w:r>
      <w:r>
        <w:t xml:space="preserve"> </w:t>
      </w:r>
    </w:p>
    <w:p>
      <w:pPr>
        <w:pStyle w:val="style0"/>
        <w:rPr>
          <w:rFonts w:cs="Arial"/>
        </w:rPr>
      </w:pPr>
      <w:r>
        <w:rPr>
          <w:rFonts w:cs="Arial"/>
          <w:shd w:val="clear" w:color="auto" w:fill="ffffff"/>
        </w:rPr>
        <w:t>Hu, Y. (2025) ‘A comprehensive analysis of Tesla’s development in China’, </w:t>
      </w:r>
      <w:r>
        <w:rPr>
          <w:rFonts w:cs="Arial"/>
          <w:i/>
          <w:iCs/>
          <w:shd w:val="clear" w:color="auto" w:fill="ffffff"/>
        </w:rPr>
        <w:t>Finance &amp; Economics</w:t>
      </w:r>
      <w:r>
        <w:rPr>
          <w:rFonts w:cs="Arial"/>
          <w:shd w:val="clear" w:color="auto" w:fill="ffffff"/>
        </w:rPr>
        <w:t>, </w:t>
      </w:r>
      <w:r>
        <w:rPr>
          <w:rFonts w:cs="Arial"/>
          <w:i/>
          <w:iCs/>
          <w:shd w:val="clear" w:color="auto" w:fill="ffffff"/>
        </w:rPr>
        <w:t>1</w:t>
      </w:r>
      <w:r>
        <w:rPr>
          <w:rFonts w:cs="Arial"/>
          <w:shd w:val="clear" w:color="auto" w:fill="ffffff"/>
        </w:rPr>
        <w:t xml:space="preserve">(3). </w:t>
      </w:r>
      <w:r>
        <w:rPr/>
        <w:fldChar w:fldCharType="begin"/>
      </w:r>
      <w:r>
        <w:instrText xml:space="preserve"> HYPERLINK "https://doi.org/10.61173/35db4017" </w:instrText>
      </w:r>
      <w:r>
        <w:rPr/>
        <w:fldChar w:fldCharType="separate"/>
      </w:r>
      <w:r>
        <w:rPr>
          <w:rStyle w:val="style85"/>
          <w:rFonts w:cs="Arial"/>
          <w:shd w:val="clear" w:color="auto" w:fill="ffffff"/>
        </w:rPr>
        <w:t>https://doi.org/10.61173/35db4017</w:t>
      </w:r>
      <w:r>
        <w:rPr/>
        <w:fldChar w:fldCharType="end"/>
      </w:r>
      <w:r>
        <w:rPr>
          <w:rFonts w:cs="Arial"/>
          <w:shd w:val="clear" w:color="auto" w:fill="ffffff"/>
        </w:rPr>
        <w:t xml:space="preserve"> </w:t>
      </w:r>
    </w:p>
    <w:p>
      <w:pPr>
        <w:pStyle w:val="style0"/>
        <w:rPr>
          <w:rFonts w:cs="Arial"/>
        </w:rPr>
      </w:pPr>
      <w:r>
        <w:rPr>
          <w:rFonts w:cs="Arial"/>
        </w:rPr>
        <w:t xml:space="preserve">International Energy Agency (IEA) (2026a) </w:t>
      </w:r>
      <w:r>
        <w:rPr>
          <w:rStyle w:val="style88"/>
          <w:rFonts w:cs="Arial"/>
        </w:rPr>
        <w:t>Trends in electric cars</w:t>
      </w:r>
      <w:r>
        <w:rPr>
          <w:rFonts w:cs="Arial"/>
        </w:rPr>
        <w:t xml:space="preserve">, In: </w:t>
      </w:r>
      <w:r>
        <w:rPr>
          <w:rStyle w:val="style88"/>
          <w:rFonts w:cs="Arial"/>
        </w:rPr>
        <w:t>Global EV Outlook 2026</w:t>
      </w:r>
      <w:r>
        <w:rPr>
          <w:rFonts w:cs="Arial"/>
        </w:rPr>
        <w:t xml:space="preserve">. Available at: </w:t>
      </w:r>
      <w:r>
        <w:rPr/>
        <w:fldChar w:fldCharType="begin"/>
      </w:r>
      <w:r>
        <w:instrText xml:space="preserve"> HYPERLINK "https://www.iea.org/reports/global-ev-outlook-2026/trends-in-electric-cars" </w:instrText>
      </w:r>
      <w:r>
        <w:rPr/>
        <w:fldChar w:fldCharType="separate"/>
      </w:r>
      <w:r>
        <w:rPr>
          <w:rStyle w:val="style85"/>
          <w:rFonts w:cs="Arial"/>
        </w:rPr>
        <w:t>https://www.iea.org/reports/global-ev-outlook-2026/trends-in-electric-cars</w:t>
      </w:r>
      <w:r>
        <w:rPr/>
        <w:fldChar w:fldCharType="end"/>
      </w:r>
      <w:r>
        <w:rPr>
          <w:rFonts w:cs="Arial"/>
        </w:rPr>
        <w:t xml:space="preserve"> (Accessed 12 July 2026)</w:t>
      </w:r>
    </w:p>
    <w:p>
      <w:pPr>
        <w:pStyle w:val="style0"/>
        <w:rPr>
          <w:rFonts w:cs="Arial"/>
        </w:rPr>
      </w:pPr>
      <w:r>
        <w:rPr>
          <w:rFonts w:cs="Arial"/>
        </w:rPr>
        <w:t xml:space="preserve">International Energy Agency (IEA) (2026b) </w:t>
      </w:r>
      <w:r>
        <w:rPr>
          <w:rStyle w:val="style88"/>
          <w:rFonts w:cs="Arial"/>
        </w:rPr>
        <w:t>Manufacturing and trade</w:t>
      </w:r>
      <w:r>
        <w:rPr>
          <w:rFonts w:cs="Arial"/>
        </w:rPr>
        <w:t xml:space="preserve">. In: </w:t>
      </w:r>
      <w:r>
        <w:rPr>
          <w:rStyle w:val="style88"/>
          <w:rFonts w:cs="Arial"/>
        </w:rPr>
        <w:t>Global EV Outlook 2026</w:t>
      </w:r>
      <w:r>
        <w:rPr>
          <w:rFonts w:cs="Arial"/>
        </w:rPr>
        <w:t xml:space="preserve">. Paris: International Energy Agency. Available at: </w:t>
      </w:r>
      <w:r>
        <w:rPr/>
        <w:fldChar w:fldCharType="begin"/>
      </w:r>
      <w:r>
        <w:instrText xml:space="preserve"> HYPERLINK "https://www.iea.org/reports/global-ev-outlook-2026/manufacturing-and-trade" </w:instrText>
      </w:r>
      <w:r>
        <w:rPr/>
        <w:fldChar w:fldCharType="separate"/>
      </w:r>
      <w:r>
        <w:rPr>
          <w:rStyle w:val="style85"/>
          <w:rFonts w:cs="Arial"/>
        </w:rPr>
        <w:t>https://www.iea.org/reports/global-ev-outlook-2026/manufacturing-and-trade</w:t>
      </w:r>
      <w:r>
        <w:rPr/>
        <w:fldChar w:fldCharType="end"/>
      </w:r>
      <w:r>
        <w:rPr>
          <w:rFonts w:cs="Arial"/>
        </w:rPr>
        <w:t xml:space="preserve"> (Accessed 12 July 2026)</w:t>
      </w:r>
    </w:p>
    <w:p>
      <w:pPr>
        <w:pStyle w:val="style0"/>
        <w:rPr>
          <w:rFonts w:cs="Arial"/>
          <w:color w:val="222222"/>
          <w:shd w:val="clear" w:color="auto" w:fill="ffffff"/>
        </w:rPr>
      </w:pPr>
      <w:r>
        <w:rPr>
          <w:rFonts w:cs="Arial"/>
          <w:shd w:val="clear" w:color="auto" w:fill="ffffff"/>
        </w:rPr>
        <w:t xml:space="preserve">Islami, X., Mustafa, N. and </w:t>
      </w:r>
      <w:r>
        <w:rPr>
          <w:rFonts w:cs="Arial"/>
          <w:shd w:val="clear" w:color="auto" w:fill="ffffff"/>
        </w:rPr>
        <w:t>Topuzovska</w:t>
      </w:r>
      <w:r>
        <w:rPr>
          <w:rFonts w:cs="Arial"/>
          <w:shd w:val="clear" w:color="auto" w:fill="ffffff"/>
        </w:rPr>
        <w:t xml:space="preserve"> </w:t>
      </w:r>
      <w:r>
        <w:rPr>
          <w:rFonts w:cs="Arial"/>
          <w:shd w:val="clear" w:color="auto" w:fill="ffffff"/>
        </w:rPr>
        <w:t>Latkovikj</w:t>
      </w:r>
      <w:r>
        <w:rPr>
          <w:rFonts w:cs="Arial"/>
          <w:shd w:val="clear" w:color="auto" w:fill="ffffff"/>
        </w:rPr>
        <w:t>, M. (2020) ‘Linking Porter’s generic strategies to firm performance’, </w:t>
      </w:r>
      <w:r>
        <w:rPr>
          <w:rFonts w:cs="Arial"/>
          <w:i/>
          <w:iCs/>
          <w:shd w:val="clear" w:color="auto" w:fill="ffffff"/>
        </w:rPr>
        <w:t>Future Business Journal</w:t>
      </w:r>
      <w:r>
        <w:rPr>
          <w:rFonts w:cs="Arial"/>
          <w:shd w:val="clear" w:color="auto" w:fill="ffffff"/>
        </w:rPr>
        <w:t>, </w:t>
      </w:r>
      <w:r>
        <w:rPr>
          <w:rFonts w:cs="Arial"/>
          <w:i/>
          <w:iCs/>
          <w:shd w:val="clear" w:color="auto" w:fill="ffffff"/>
        </w:rPr>
        <w:t>6</w:t>
      </w:r>
      <w:r>
        <w:rPr>
          <w:rFonts w:cs="Arial"/>
          <w:shd w:val="clear" w:color="auto" w:fill="ffffff"/>
        </w:rPr>
        <w:t xml:space="preserve">(1), p.3. </w:t>
      </w:r>
      <w:r>
        <w:rPr/>
        <w:fldChar w:fldCharType="begin"/>
      </w:r>
      <w:r>
        <w:instrText xml:space="preserve"> HYPERLINK "https://doi.org/10.1186/s43093-020-0009-1" </w:instrText>
      </w:r>
      <w:r>
        <w:rPr/>
        <w:fldChar w:fldCharType="separate"/>
      </w:r>
      <w:r>
        <w:rPr>
          <w:rStyle w:val="style85"/>
          <w:rFonts w:cs="Arial"/>
          <w:shd w:val="clear" w:color="auto" w:fill="ffffff"/>
        </w:rPr>
        <w:t>https://doi.org/10.1186/s43093-020-0009-1</w:t>
      </w:r>
      <w:r>
        <w:rPr/>
        <w:fldChar w:fldCharType="end"/>
      </w:r>
    </w:p>
    <w:p>
      <w:pPr>
        <w:pStyle w:val="style0"/>
        <w:rPr>
          <w:rFonts w:cs="Arial"/>
        </w:rPr>
      </w:pPr>
      <w:r>
        <w:rPr>
          <w:rFonts w:cs="Arial"/>
        </w:rPr>
        <w:t>Kaplan, R.S. and Norton, D.P.</w:t>
      </w:r>
      <w:r>
        <w:rPr>
          <w:rFonts w:cs="Arial"/>
          <w:shd w:val="clear" w:color="auto" w:fill="ffffff"/>
        </w:rPr>
        <w:t xml:space="preserve"> </w:t>
      </w:r>
      <w:r>
        <w:rPr>
          <w:rFonts w:cs="Arial"/>
        </w:rPr>
        <w:t>(</w:t>
      </w:r>
      <w:r>
        <w:rPr>
          <w:rFonts w:cs="Arial"/>
          <w:shd w:val="clear" w:color="auto" w:fill="ffffff"/>
        </w:rPr>
        <w:t>1996</w:t>
      </w:r>
      <w:r>
        <w:rPr>
          <w:rFonts w:cs="Arial"/>
        </w:rPr>
        <w:t>)</w:t>
      </w:r>
      <w:r>
        <w:rPr>
          <w:rFonts w:cs="Arial"/>
          <w:shd w:val="clear" w:color="auto" w:fill="ffffff"/>
        </w:rPr>
        <w:t xml:space="preserve"> </w:t>
      </w:r>
      <w:r>
        <w:rPr>
          <w:rFonts w:cs="Arial"/>
        </w:rPr>
        <w:t>‘</w:t>
      </w:r>
      <w:r>
        <w:rPr>
          <w:rFonts w:cs="Arial"/>
          <w:shd w:val="clear" w:color="auto" w:fill="ffffff"/>
        </w:rPr>
        <w:t>Linking the balanced scorecard to strategy</w:t>
      </w:r>
      <w:r>
        <w:rPr>
          <w:rFonts w:cs="Arial"/>
        </w:rPr>
        <w:t>’,</w:t>
      </w:r>
      <w:r>
        <w:rPr>
          <w:rFonts w:cs="Arial"/>
          <w:shd w:val="clear" w:color="auto" w:fill="ffffff"/>
        </w:rPr>
        <w:t> </w:t>
      </w:r>
      <w:r>
        <w:rPr>
          <w:rFonts w:cs="Arial"/>
          <w:i/>
          <w:iCs/>
          <w:shd w:val="clear" w:color="auto" w:fill="ffffff"/>
        </w:rPr>
        <w:t>California management review</w:t>
      </w:r>
      <w:r>
        <w:rPr>
          <w:rFonts w:cs="Arial"/>
          <w:shd w:val="clear" w:color="auto" w:fill="ffffff"/>
        </w:rPr>
        <w:t>, </w:t>
      </w:r>
      <w:r>
        <w:rPr>
          <w:rFonts w:cs="Arial"/>
          <w:i/>
          <w:iCs/>
          <w:shd w:val="clear" w:color="auto" w:fill="ffffff"/>
        </w:rPr>
        <w:t>39</w:t>
      </w:r>
      <w:r>
        <w:rPr>
          <w:rFonts w:cs="Arial"/>
          <w:shd w:val="clear" w:color="auto" w:fill="ffffff"/>
        </w:rPr>
        <w:t>(1), pp.53-79.</w:t>
      </w:r>
      <w:r>
        <w:rPr>
          <w:rFonts w:cs="Arial"/>
        </w:rPr>
        <w:t xml:space="preserve"> </w:t>
      </w:r>
      <w:r>
        <w:rPr/>
        <w:fldChar w:fldCharType="begin"/>
      </w:r>
      <w:r>
        <w:instrText xml:space="preserve"> HYPERLINK "https://journals.sagepub.com/doi/abs/10.2307/41165876" </w:instrText>
      </w:r>
      <w:r>
        <w:rPr/>
        <w:fldChar w:fldCharType="separate"/>
      </w:r>
      <w:r>
        <w:rPr>
          <w:rStyle w:val="style85"/>
          <w:rFonts w:cs="Arial"/>
        </w:rPr>
        <w:t>https://journals.sagepub.com/doi/abs/10.2307/41165876</w:t>
      </w:r>
      <w:r>
        <w:rPr/>
        <w:fldChar w:fldCharType="end"/>
      </w:r>
      <w:r>
        <w:rPr>
          <w:rFonts w:cs="Arial"/>
        </w:rPr>
        <w:t xml:space="preserve"> </w:t>
      </w:r>
    </w:p>
    <w:p>
      <w:pPr>
        <w:pStyle w:val="style0"/>
        <w:rPr>
          <w:rFonts w:cs="Arial"/>
          <w:shd w:val="clear" w:color="auto" w:fill="ffffff"/>
        </w:rPr>
      </w:pPr>
      <w:r>
        <w:rPr>
          <w:rFonts w:cs="Arial"/>
          <w:shd w:val="clear" w:color="auto" w:fill="ffffff"/>
        </w:rPr>
        <w:t>Kero, C.A. and Bogale, A.T. (2023) ‘A Systematic Review of Resource-Based View and Dynamic Capabilities of Firms and Future Research Avenues’, </w:t>
      </w:r>
      <w:r>
        <w:rPr>
          <w:rFonts w:cs="Arial"/>
          <w:i/>
          <w:iCs/>
          <w:shd w:val="clear" w:color="auto" w:fill="ffffff"/>
        </w:rPr>
        <w:t>International Journal of Sustainable Development &amp; Planning</w:t>
      </w:r>
      <w:r>
        <w:rPr>
          <w:rFonts w:cs="Arial"/>
          <w:shd w:val="clear" w:color="auto" w:fill="ffffff"/>
        </w:rPr>
        <w:t>, </w:t>
      </w:r>
      <w:r>
        <w:rPr>
          <w:rFonts w:cs="Arial"/>
          <w:i/>
          <w:iCs/>
          <w:shd w:val="clear" w:color="auto" w:fill="ffffff"/>
        </w:rPr>
        <w:t>18</w:t>
      </w:r>
      <w:r>
        <w:rPr>
          <w:rFonts w:cs="Arial"/>
          <w:shd w:val="clear" w:color="auto" w:fill="ffffff"/>
        </w:rPr>
        <w:t xml:space="preserve">(10). </w:t>
      </w:r>
      <w:r>
        <w:rPr/>
        <w:fldChar w:fldCharType="begin"/>
      </w:r>
      <w:r>
        <w:instrText xml:space="preserve"> HYPERLINK "https://doi.org/10.18280/ijsdp.181016" </w:instrText>
      </w:r>
      <w:r>
        <w:rPr/>
        <w:fldChar w:fldCharType="separate"/>
      </w:r>
      <w:r>
        <w:rPr>
          <w:rStyle w:val="style85"/>
          <w:rFonts w:cs="Arial"/>
          <w:shd w:val="clear" w:color="auto" w:fill="ffffff"/>
        </w:rPr>
        <w:t>https://doi.org/10.18280/ijsdp.181016</w:t>
      </w:r>
      <w:r>
        <w:rPr/>
        <w:fldChar w:fldCharType="end"/>
      </w:r>
      <w:r>
        <w:rPr>
          <w:rFonts w:cs="Arial"/>
          <w:shd w:val="clear" w:color="auto" w:fill="ffffff"/>
        </w:rPr>
        <w:t xml:space="preserve"> </w:t>
      </w:r>
      <w:r>
        <w:rPr>
          <w:rFonts w:cs="Arial"/>
        </w:rPr>
        <w:t xml:space="preserve"> </w:t>
      </w:r>
    </w:p>
    <w:p>
      <w:pPr>
        <w:pStyle w:val="style0"/>
        <w:rPr>
          <w:rFonts w:cs="Arial"/>
        </w:rPr>
      </w:pPr>
      <w:r>
        <w:rPr>
          <w:rFonts w:cs="Arial"/>
        </w:rPr>
        <w:t>Khan, Z. (2024, October 1) ‘</w:t>
      </w:r>
      <w:r>
        <w:rPr>
          <w:rFonts w:cs="Arial"/>
          <w:i/>
          <w:iCs/>
        </w:rPr>
        <w:t>Cutting-Edge Technology from Tesla’</w:t>
      </w:r>
      <w:r>
        <w:rPr>
          <w:rFonts w:cs="Arial"/>
        </w:rPr>
        <w:t xml:space="preserve">. ResearchGate. </w:t>
      </w:r>
      <w:r>
        <w:rPr/>
        <w:fldChar w:fldCharType="begin"/>
      </w:r>
      <w:r>
        <w:instrText xml:space="preserve"> HYPERLINK "https://www.researchgate.net/publication/385544058_CUTTING-EDGE_TECHNOLOGY_FROM_TESLA" </w:instrText>
      </w:r>
      <w:r>
        <w:rPr/>
        <w:fldChar w:fldCharType="separate"/>
      </w:r>
      <w:r>
        <w:rPr>
          <w:rStyle w:val="style85"/>
          <w:rFonts w:cs="Arial"/>
        </w:rPr>
        <w:t>https://www.researchgate.net/publication/385544058_CUTTING-EDGE_TECHNOLOGY_FROM_TESLA</w:t>
      </w:r>
      <w:r>
        <w:rPr/>
        <w:fldChar w:fldCharType="end"/>
      </w:r>
      <w:r>
        <w:rPr>
          <w:rFonts w:cs="Arial"/>
        </w:rPr>
        <w:t xml:space="preserve"> </w:t>
      </w:r>
    </w:p>
    <w:p>
      <w:pPr>
        <w:pStyle w:val="style0"/>
        <w:rPr>
          <w:rFonts w:cs="Arial"/>
        </w:rPr>
      </w:pPr>
      <w:r>
        <w:rPr>
          <w:rFonts w:cs="Arial"/>
        </w:rPr>
        <w:t xml:space="preserve">Kolodny, L. (2026) </w:t>
      </w:r>
      <w:r>
        <w:rPr>
          <w:rFonts w:cs="Arial"/>
          <w:i/>
          <w:iCs/>
        </w:rPr>
        <w:t>Tesla reports 418,227 deliveries for the fourth quarter, down 16%</w:t>
      </w:r>
      <w:r>
        <w:rPr>
          <w:rFonts w:cs="Arial"/>
          <w:i/>
          <w:iCs/>
        </w:rPr>
        <w:t>,</w:t>
      </w:r>
      <w:r>
        <w:rPr>
          <w:rFonts w:cs="Arial"/>
        </w:rPr>
        <w:t xml:space="preserve"> CNBC. Available at: </w:t>
      </w:r>
      <w:r>
        <w:rPr/>
        <w:fldChar w:fldCharType="begin"/>
      </w:r>
      <w:r>
        <w:instrText xml:space="preserve"> HYPERLINK "https://www.cnbc.com/2026/01/02/tesla-tsla-q4-2025-vehicle-deliveries.html" </w:instrText>
      </w:r>
      <w:r>
        <w:rPr/>
        <w:fldChar w:fldCharType="separate"/>
      </w:r>
      <w:r>
        <w:rPr>
          <w:rStyle w:val="style85"/>
          <w:rFonts w:cs="Arial"/>
        </w:rPr>
        <w:t>https://www.cnbc.com/2026/01/02/tesla-tsla-q4-2025-vehicle-deliveries.html</w:t>
      </w:r>
      <w:r>
        <w:rPr/>
        <w:fldChar w:fldCharType="end"/>
      </w:r>
      <w:r>
        <w:rPr>
          <w:rFonts w:cs="Arial"/>
        </w:rPr>
        <w:t xml:space="preserve"> (Accessed 12 July 2026)</w:t>
      </w:r>
    </w:p>
    <w:p>
      <w:pPr>
        <w:pStyle w:val="style0"/>
        <w:rPr>
          <w:rFonts w:cs="Arial"/>
        </w:rPr>
      </w:pPr>
      <w:r>
        <w:rPr>
          <w:rFonts w:cs="Arial"/>
        </w:rPr>
        <w:t xml:space="preserve">Li, C., Na, J., Nan, K. and Wu, M. (2024) </w:t>
      </w:r>
      <w:r>
        <w:rPr>
          <w:rFonts w:cs="Arial"/>
        </w:rPr>
        <w:t>‘</w:t>
      </w:r>
      <w:r>
        <w:rPr>
          <w:rFonts w:cs="Arial"/>
        </w:rPr>
        <w:t>Tesla’s Product Improvement Strategies in the Electric Vehicle Market</w:t>
      </w:r>
      <w:r>
        <w:rPr>
          <w:rFonts w:cs="Arial"/>
        </w:rPr>
        <w:t>’,</w:t>
      </w:r>
      <w:r>
        <w:rPr>
          <w:rFonts w:cs="Arial"/>
        </w:rPr>
        <w:t xml:space="preserve"> </w:t>
      </w:r>
      <w:r>
        <w:rPr>
          <w:rFonts w:cs="Arial"/>
          <w:i/>
          <w:iCs/>
        </w:rPr>
        <w:t>Adv. Econ. Manag. Political Sci</w:t>
      </w:r>
      <w:r>
        <w:rPr>
          <w:rFonts w:cs="Arial"/>
        </w:rPr>
        <w:t>. DOI:</w:t>
      </w:r>
      <w:r>
        <w:rPr/>
        <w:fldChar w:fldCharType="begin"/>
      </w:r>
      <w:r>
        <w:instrText xml:space="preserve"> HYPERLINK "https://doi.org/10.54254/2754-1169/92/20231197" \t "_blank" </w:instrText>
      </w:r>
      <w:r>
        <w:rPr/>
        <w:fldChar w:fldCharType="separate"/>
      </w:r>
      <w:r>
        <w:rPr>
          <w:rStyle w:val="style85"/>
          <w:rFonts w:cs="Arial"/>
        </w:rPr>
        <w:t>10.54254/2754-1169/92/20231197</w:t>
      </w:r>
      <w:r>
        <w:rPr/>
        <w:fldChar w:fldCharType="end"/>
      </w:r>
      <w:r>
        <w:rPr>
          <w:rFonts w:cs="Arial"/>
        </w:rPr>
        <w:t xml:space="preserve"> </w:t>
      </w:r>
    </w:p>
    <w:p>
      <w:pPr>
        <w:pStyle w:val="style0"/>
        <w:rPr>
          <w:rFonts w:cs="Arial"/>
          <w:shd w:val="clear" w:color="auto" w:fill="ffffff"/>
        </w:rPr>
      </w:pPr>
      <w:r>
        <w:rPr>
          <w:rFonts w:cs="Arial"/>
          <w:shd w:val="clear" w:color="auto" w:fill="ffffff"/>
        </w:rPr>
        <w:t>Li, W., Zou, Y. and Zhu, C. (2024) ‘The electric vehicle revolution: a new track for industrial competition among major countries’, </w:t>
      </w:r>
      <w:r>
        <w:rPr>
          <w:rFonts w:cs="Arial"/>
          <w:i/>
          <w:iCs/>
          <w:shd w:val="clear" w:color="auto" w:fill="ffffff"/>
        </w:rPr>
        <w:t>J. WTO &amp; China</w:t>
      </w:r>
      <w:r>
        <w:rPr>
          <w:rFonts w:cs="Arial"/>
          <w:shd w:val="clear" w:color="auto" w:fill="ffffff"/>
        </w:rPr>
        <w:t>, </w:t>
      </w:r>
      <w:r>
        <w:rPr>
          <w:rFonts w:cs="Arial"/>
          <w:i/>
          <w:iCs/>
          <w:shd w:val="clear" w:color="auto" w:fill="ffffff"/>
        </w:rPr>
        <w:t>14</w:t>
      </w:r>
      <w:r>
        <w:rPr>
          <w:rFonts w:cs="Arial"/>
          <w:shd w:val="clear" w:color="auto" w:fill="ffffff"/>
        </w:rPr>
        <w:t xml:space="preserve">, p.3. </w:t>
      </w:r>
      <w:r>
        <w:rPr/>
        <w:fldChar w:fldCharType="begin"/>
      </w:r>
      <w:r>
        <w:instrText xml:space="preserve"> HYPERLINK "https://journal.uibe.edu.cn/docs/2026-01/4222db6f2bf8463aa57b87a6c79464a5.pdf" </w:instrText>
      </w:r>
      <w:r>
        <w:rPr/>
        <w:fldChar w:fldCharType="separate"/>
      </w:r>
      <w:r>
        <w:rPr>
          <w:rStyle w:val="style85"/>
          <w:rFonts w:cs="Arial"/>
          <w:shd w:val="clear" w:color="auto" w:fill="ffffff"/>
        </w:rPr>
        <w:t>https://journal.uibe.edu.cn/docs/2026-01/4222db6f2bf8463aa57b87a6c79464a5.pdf</w:t>
      </w:r>
      <w:r>
        <w:rPr/>
        <w:fldChar w:fldCharType="end"/>
      </w:r>
    </w:p>
    <w:p>
      <w:pPr>
        <w:pStyle w:val="style0"/>
        <w:rPr>
          <w:rFonts w:cs="Arial"/>
        </w:rPr>
      </w:pPr>
      <w:r>
        <w:rPr>
          <w:rFonts w:cs="Arial"/>
        </w:rPr>
        <w:t xml:space="preserve">Loureiro, T. (2025) ‘Tesla’s Governance Model: Leadership, Accountability, and Performance Consequences’. </w:t>
      </w:r>
      <w:r>
        <w:rPr/>
        <w:fldChar w:fldCharType="begin"/>
      </w:r>
      <w:r>
        <w:instrText xml:space="preserve"> HYPERLINK "https://governancelab.org/wp-content/uploads/2025/11/GovLab_WP-9-2025_Tesla-Governance-Model_Tomas-Loureiro.pdf" </w:instrText>
      </w:r>
      <w:r>
        <w:rPr/>
        <w:fldChar w:fldCharType="separate"/>
      </w:r>
      <w:r>
        <w:rPr>
          <w:rStyle w:val="style85"/>
          <w:rFonts w:cs="Arial"/>
        </w:rPr>
        <w:t>https://governancelab.org/wp-content/uploads/2025/11/GovLab_WP-9-2025_Tesla-Governance-Model_Tomas-Loureiro.pdf</w:t>
      </w:r>
      <w:r>
        <w:rPr/>
        <w:fldChar w:fldCharType="end"/>
      </w:r>
      <w:r>
        <w:rPr>
          <w:rFonts w:cs="Arial"/>
        </w:rPr>
        <w:t xml:space="preserve"> </w:t>
      </w:r>
    </w:p>
    <w:p>
      <w:pPr>
        <w:pStyle w:val="style0"/>
        <w:rPr>
          <w:rFonts w:cs="Arial"/>
        </w:rPr>
      </w:pPr>
      <w:r>
        <w:rPr>
          <w:rFonts w:cs="Arial"/>
        </w:rPr>
        <w:t xml:space="preserve">Macrotrends (2024) </w:t>
      </w:r>
      <w:r>
        <w:rPr>
          <w:rFonts w:cs="Arial"/>
          <w:i/>
          <w:iCs/>
        </w:rPr>
        <w:t>Tesla Research and Development Expenses 2009-2019 | TSLA</w:t>
      </w:r>
      <w:r>
        <w:rPr>
          <w:rFonts w:cs="Arial"/>
        </w:rPr>
        <w:t xml:space="preserve">. Macrotrends.net. Available at: </w:t>
      </w:r>
      <w:r>
        <w:rPr/>
        <w:fldChar w:fldCharType="begin"/>
      </w:r>
      <w:r>
        <w:instrText xml:space="preserve"> HYPERLINK "https://www.macrotrends.net/stocks/charts/TSLA/tesla/research-development-expenses" </w:instrText>
      </w:r>
      <w:r>
        <w:rPr/>
        <w:fldChar w:fldCharType="separate"/>
      </w:r>
      <w:r>
        <w:rPr>
          <w:rStyle w:val="style85"/>
          <w:rFonts w:cs="Arial"/>
        </w:rPr>
        <w:t>https://www.macrotrends.net/stocks/charts/TSLA/tesla/research-development-expenses</w:t>
      </w:r>
      <w:r>
        <w:rPr/>
        <w:fldChar w:fldCharType="end"/>
      </w:r>
      <w:r>
        <w:t xml:space="preserve"> </w:t>
      </w:r>
      <w:r>
        <w:rPr>
          <w:rFonts w:cs="Arial"/>
        </w:rPr>
        <w:t>(Accessed 12 July 2026)</w:t>
      </w:r>
    </w:p>
    <w:p>
      <w:pPr>
        <w:pStyle w:val="style0"/>
        <w:rPr/>
      </w:pPr>
      <w:r>
        <w:t xml:space="preserve">Majumdar, A. (2023). </w:t>
      </w:r>
      <w:r>
        <w:rPr>
          <w:i/>
          <w:iCs/>
        </w:rPr>
        <w:t>Tesla: Critical Evaluation of Corporate Social Responsibility and Global Innovation Management</w:t>
      </w:r>
      <w:r>
        <w:t xml:space="preserve">. amitavamajumdar.org. Available at: </w:t>
      </w:r>
      <w:r>
        <w:rPr/>
        <w:fldChar w:fldCharType="begin"/>
      </w:r>
      <w:r>
        <w:instrText xml:space="preserve"> HYPERLINK "https://amitavamajumdar.org/articles/innovation-and-change/tesla-critical-evaluation-of-corporate-social-responsibility-and-global-innovation-management/" </w:instrText>
      </w:r>
      <w:r>
        <w:rPr/>
        <w:fldChar w:fldCharType="separate"/>
      </w:r>
      <w:r>
        <w:rPr>
          <w:rStyle w:val="style85"/>
        </w:rPr>
        <w:t>https://amitavamajumdar.org/articles/innovation-and-change/tesla-critical-evaluation-of-corporate-social-responsibility-and-global-innovation-management/</w:t>
      </w:r>
      <w:r>
        <w:rPr/>
        <w:fldChar w:fldCharType="end"/>
      </w:r>
      <w:r>
        <w:t xml:space="preserve"> </w:t>
      </w:r>
      <w:r>
        <w:rPr>
          <w:rFonts w:cs="Arial"/>
        </w:rPr>
        <w:t>(Accessed 12 July 2026)</w:t>
      </w:r>
    </w:p>
    <w:p>
      <w:pPr>
        <w:pStyle w:val="style0"/>
        <w:rPr>
          <w:rFonts w:cs="Arial"/>
          <w:shd w:val="clear" w:color="auto" w:fill="ffffff"/>
        </w:rPr>
      </w:pPr>
      <w:r>
        <w:rPr>
          <w:rFonts w:cs="Arial"/>
          <w:shd w:val="clear" w:color="auto" w:fill="ffffff"/>
        </w:rPr>
        <w:t>Marinho, M., Camara, R. and Sampaio, S. (2021) ‘Toward unveiling how safe framework supports agile in global software development’, </w:t>
      </w:r>
      <w:r>
        <w:rPr>
          <w:rFonts w:cs="Arial"/>
          <w:i/>
          <w:iCs/>
          <w:shd w:val="clear" w:color="auto" w:fill="ffffff"/>
        </w:rPr>
        <w:t>IEEE Access</w:t>
      </w:r>
      <w:r>
        <w:rPr>
          <w:rFonts w:cs="Arial"/>
          <w:shd w:val="clear" w:color="auto" w:fill="ffffff"/>
        </w:rPr>
        <w:t>, </w:t>
      </w:r>
      <w:r>
        <w:rPr>
          <w:rFonts w:cs="Arial"/>
          <w:i/>
          <w:iCs/>
          <w:shd w:val="clear" w:color="auto" w:fill="ffffff"/>
        </w:rPr>
        <w:t>9</w:t>
      </w:r>
      <w:r>
        <w:rPr>
          <w:rFonts w:cs="Arial"/>
          <w:shd w:val="clear" w:color="auto" w:fill="ffffff"/>
        </w:rPr>
        <w:t xml:space="preserve">, pp.109671-109692. </w:t>
      </w:r>
      <w:r>
        <w:rPr>
          <w:rFonts w:cs="Arial"/>
          <w:bCs/>
          <w:shd w:val="clear" w:color="auto" w:fill="ffffff"/>
        </w:rPr>
        <w:t>DOI:</w:t>
      </w:r>
      <w:r>
        <w:rPr>
          <w:rFonts w:cs="Arial"/>
          <w:b/>
          <w:bCs/>
          <w:shd w:val="clear" w:color="auto" w:fill="ffffff"/>
        </w:rPr>
        <w:t> </w:t>
      </w:r>
      <w:r>
        <w:rPr/>
        <w:fldChar w:fldCharType="begin"/>
      </w:r>
      <w:r>
        <w:instrText xml:space="preserve"> HYPERLINK "https://doi.org/10.1109/ACCESS.2021.3101963" \t "_blank" </w:instrText>
      </w:r>
      <w:r>
        <w:rPr/>
        <w:fldChar w:fldCharType="separate"/>
      </w:r>
      <w:r>
        <w:rPr>
          <w:rStyle w:val="style85"/>
          <w:rFonts w:cs="Arial"/>
          <w:shd w:val="clear" w:color="auto" w:fill="ffffff"/>
        </w:rPr>
        <w:t>10.1109/ACCESS.2021.3101963</w:t>
      </w:r>
      <w:r>
        <w:rPr/>
        <w:fldChar w:fldCharType="end"/>
      </w:r>
      <w:r>
        <w:rPr>
          <w:rFonts w:cs="Arial"/>
          <w:shd w:val="clear" w:color="auto" w:fill="ffffff"/>
        </w:rPr>
        <w:t xml:space="preserve"> </w:t>
      </w:r>
    </w:p>
    <w:p>
      <w:pPr>
        <w:pStyle w:val="style0"/>
        <w:rPr>
          <w:rFonts w:cs="Arial"/>
        </w:rPr>
      </w:pPr>
      <w:r>
        <w:rPr>
          <w:rFonts w:cs="Arial"/>
        </w:rPr>
        <w:t xml:space="preserve">Miao, T. (2025) ‘Strategic Analysis of </w:t>
      </w:r>
      <w:r>
        <w:rPr>
          <w:rFonts w:cs="Arial"/>
        </w:rPr>
        <w:t>Teslas</w:t>
      </w:r>
      <w:r>
        <w:rPr>
          <w:rFonts w:cs="Arial"/>
        </w:rPr>
        <w:t xml:space="preserve"> Future Growth: Innovation, Expansion, and Market Trends’, </w:t>
      </w:r>
      <w:r>
        <w:rPr>
          <w:rFonts w:cs="Arial"/>
          <w:i/>
          <w:iCs/>
        </w:rPr>
        <w:t>Advances in Economics, Management and Political Sciences</w:t>
      </w:r>
      <w:r>
        <w:rPr>
          <w:rFonts w:cs="Arial"/>
        </w:rPr>
        <w:t>, 225(1), pp.24–29. doi:10.54254/2754-1169/2025.cau27622</w:t>
      </w:r>
      <w:r>
        <w:rPr>
          <w:rFonts w:cs="Arial"/>
        </w:rPr>
        <w:t xml:space="preserve"> </w:t>
      </w:r>
    </w:p>
    <w:p>
      <w:pPr>
        <w:pStyle w:val="style0"/>
        <w:rPr>
          <w:rFonts w:cs="Arial"/>
          <w:shd w:val="clear" w:color="auto" w:fill="ffffff"/>
        </w:rPr>
      </w:pPr>
      <w:r>
        <w:rPr>
          <w:rFonts w:cs="Arial"/>
          <w:shd w:val="clear" w:color="auto" w:fill="ffffff"/>
        </w:rPr>
        <w:t>Mo, T., Li, Y., Lau, K.T., Poon, C.K., Wu, Y. and Luo, Y. (2022) ‘Trends and emerging technologies for the development of electric vehicles’, </w:t>
      </w:r>
      <w:r>
        <w:rPr>
          <w:rFonts w:cs="Arial"/>
          <w:i/>
          <w:iCs/>
          <w:shd w:val="clear" w:color="auto" w:fill="ffffff"/>
        </w:rPr>
        <w:t>Energies</w:t>
      </w:r>
      <w:r>
        <w:rPr>
          <w:rFonts w:cs="Arial"/>
          <w:shd w:val="clear" w:color="auto" w:fill="ffffff"/>
        </w:rPr>
        <w:t>, </w:t>
      </w:r>
      <w:r>
        <w:rPr>
          <w:rFonts w:cs="Arial"/>
          <w:i/>
          <w:iCs/>
          <w:shd w:val="clear" w:color="auto" w:fill="ffffff"/>
        </w:rPr>
        <w:t>15</w:t>
      </w:r>
      <w:r>
        <w:rPr>
          <w:rFonts w:cs="Arial"/>
          <w:shd w:val="clear" w:color="auto" w:fill="ffffff"/>
        </w:rPr>
        <w:t xml:space="preserve">(17), p.6271. </w:t>
      </w:r>
      <w:r>
        <w:rPr/>
        <w:fldChar w:fldCharType="begin"/>
      </w:r>
      <w:r>
        <w:instrText xml:space="preserve"> HYPERLINK "https://doi.org/10.3390/en15176271" </w:instrText>
      </w:r>
      <w:r>
        <w:rPr/>
        <w:fldChar w:fldCharType="separate"/>
      </w:r>
      <w:r>
        <w:rPr>
          <w:rStyle w:val="style85"/>
          <w:rFonts w:cs="Arial"/>
          <w:shd w:val="clear" w:color="auto" w:fill="ffffff"/>
        </w:rPr>
        <w:t>https://doi.org/10.3390/en15176271</w:t>
      </w:r>
      <w:r>
        <w:rPr/>
        <w:fldChar w:fldCharType="end"/>
      </w:r>
    </w:p>
    <w:p>
      <w:pPr>
        <w:pStyle w:val="style0"/>
        <w:rPr>
          <w:rFonts w:cs="Arial"/>
          <w:shd w:val="clear" w:color="auto" w:fill="ffffff"/>
        </w:rPr>
      </w:pPr>
      <w:r>
        <w:rPr>
          <w:rFonts w:cs="Arial"/>
          <w:shd w:val="clear" w:color="auto" w:fill="ffffff"/>
        </w:rPr>
        <w:t>Porter, M.E. (2023) ‘Changing patterns of international competition’, In </w:t>
      </w:r>
      <w:r>
        <w:rPr>
          <w:rFonts w:cs="Arial"/>
          <w:i/>
          <w:iCs/>
          <w:shd w:val="clear" w:color="auto" w:fill="ffffff"/>
        </w:rPr>
        <w:t>International strategic management</w:t>
      </w:r>
      <w:r>
        <w:rPr>
          <w:rFonts w:cs="Arial"/>
          <w:shd w:val="clear" w:color="auto" w:fill="ffffff"/>
        </w:rPr>
        <w:t xml:space="preserve"> (pp. 61-86). Routledge. </w:t>
      </w:r>
      <w:r>
        <w:rPr/>
        <w:fldChar w:fldCharType="begin"/>
      </w:r>
      <w:r>
        <w:instrText xml:space="preserve"> HYPERLINK "https://www.academia.edu/download/30781628/porterarticle1.pdf" </w:instrText>
      </w:r>
      <w:r>
        <w:rPr/>
        <w:fldChar w:fldCharType="separate"/>
      </w:r>
      <w:r>
        <w:rPr>
          <w:rStyle w:val="style85"/>
          <w:rFonts w:cs="Arial"/>
          <w:shd w:val="clear" w:color="auto" w:fill="ffffff"/>
        </w:rPr>
        <w:t>https://www.academia.edu/download/30781628/porterarticle1.pdf</w:t>
      </w:r>
      <w:r>
        <w:rPr/>
        <w:fldChar w:fldCharType="end"/>
      </w:r>
    </w:p>
    <w:p>
      <w:pPr>
        <w:pStyle w:val="style0"/>
        <w:rPr>
          <w:rFonts w:cs="Arial"/>
        </w:rPr>
      </w:pPr>
      <w:r>
        <w:rPr>
          <w:rFonts w:cs="Arial"/>
        </w:rPr>
        <w:t>Shanghai Municipal People's Government (2026) ‘</w:t>
      </w:r>
      <w:r>
        <w:rPr>
          <w:rStyle w:val="style88"/>
          <w:rFonts w:cs="Arial"/>
        </w:rPr>
        <w:t>Shanghai.Gov.Cn</w:t>
      </w:r>
      <w:r>
        <w:rPr>
          <w:rStyle w:val="style88"/>
          <w:rFonts w:cs="Arial"/>
        </w:rPr>
        <w:t>’.</w:t>
      </w:r>
      <w:r>
        <w:rPr>
          <w:rFonts w:cs="Arial"/>
        </w:rPr>
        <w:t xml:space="preserve"> English Shanghai. Available at: </w:t>
      </w:r>
      <w:r>
        <w:rPr/>
        <w:fldChar w:fldCharType="begin"/>
      </w:r>
      <w:r>
        <w:instrText xml:space="preserve"> HYPERLINK "https://english.shanghai.gov.cn/en-Latest-WhatsNew/20260107/4c2060e1dc874d40b56a3a8fa8baedf5.html" </w:instrText>
      </w:r>
      <w:r>
        <w:rPr/>
        <w:fldChar w:fldCharType="separate"/>
      </w:r>
      <w:r>
        <w:rPr>
          <w:rStyle w:val="style85"/>
          <w:rFonts w:cs="Arial"/>
        </w:rPr>
        <w:t>Tesla's Shanghai plant powers 52% of automaker's global 2025 deliveries</w:t>
      </w:r>
      <w:r>
        <w:rPr/>
        <w:fldChar w:fldCharType="end"/>
      </w:r>
      <w:r>
        <w:rPr>
          <w:rFonts w:cs="Arial"/>
        </w:rPr>
        <w:t xml:space="preserve"> (Accessed 12 July 2026)</w:t>
      </w:r>
    </w:p>
    <w:p>
      <w:pPr>
        <w:pStyle w:val="style0"/>
        <w:rPr>
          <w:rFonts w:cs="Arial"/>
        </w:rPr>
      </w:pPr>
      <w:r>
        <w:rPr>
          <w:rFonts w:cs="Arial"/>
        </w:rPr>
        <w:t xml:space="preserve">Shanghai.gov.cn. (2025). </w:t>
      </w:r>
      <w:r>
        <w:rPr>
          <w:rFonts w:cs="Arial"/>
          <w:i/>
          <w:iCs/>
        </w:rPr>
        <w:t>Tesla’s Shanghai plant powers 52% of automaker’s global 2025 deliveries</w:t>
      </w:r>
      <w:r>
        <w:rPr>
          <w:rFonts w:cs="Arial"/>
        </w:rPr>
        <w:t xml:space="preserve">. Available at: </w:t>
      </w:r>
      <w:r>
        <w:rPr/>
        <w:fldChar w:fldCharType="begin"/>
      </w:r>
      <w:r>
        <w:instrText xml:space="preserve"> HYPERLINK "https://english.shanghai.gov.cn/en-Latest-WhatsNew/20260107/4c2060e1dc874d40b56a3a8fa8baedf5.html" </w:instrText>
      </w:r>
      <w:r>
        <w:rPr/>
        <w:fldChar w:fldCharType="separate"/>
      </w:r>
      <w:r>
        <w:rPr>
          <w:rStyle w:val="style85"/>
          <w:rFonts w:cs="Arial"/>
        </w:rPr>
        <w:t>https://english.shanghai.gov.cn/en-Latest-WhatsNew/20260107/4c2060e1dc874d40b56a3a8fa8baedf5.html</w:t>
      </w:r>
      <w:r>
        <w:rPr/>
        <w:fldChar w:fldCharType="end"/>
      </w:r>
      <w:r>
        <w:rPr>
          <w:rFonts w:cs="Arial"/>
        </w:rPr>
        <w:t xml:space="preserve"> (Accessed 12 July 2026)</w:t>
      </w:r>
    </w:p>
    <w:p>
      <w:pPr>
        <w:pStyle w:val="style0"/>
        <w:rPr>
          <w:rFonts w:cs="Arial"/>
        </w:rPr>
      </w:pPr>
      <w:r>
        <w:rPr>
          <w:rFonts w:cs="Arial"/>
        </w:rPr>
        <w:t xml:space="preserve">Shi, M., Zhang, Y., </w:t>
      </w:r>
      <w:r>
        <w:rPr>
          <w:rFonts w:cs="Arial"/>
        </w:rPr>
        <w:t>and</w:t>
      </w:r>
      <w:r>
        <w:rPr>
          <w:rFonts w:cs="Arial"/>
        </w:rPr>
        <w:t xml:space="preserve"> Zhu, C. (2022, September 19) ‘</w:t>
      </w:r>
      <w:r>
        <w:rPr>
          <w:rFonts w:cs="Arial"/>
          <w:i/>
          <w:iCs/>
        </w:rPr>
        <w:t>A Review of Factors Affecting Tesla’s Profitability</w:t>
      </w:r>
      <w:r>
        <w:rPr>
          <w:rFonts w:cs="Arial"/>
        </w:rPr>
        <w:t>’, Boya Century Publishing. DOI:</w:t>
      </w:r>
      <w:r>
        <w:rPr/>
        <w:fldChar w:fldCharType="begin"/>
      </w:r>
      <w:r>
        <w:instrText xml:space="preserve"> HYPERLINK "https://doi.org/10.54691/bcpbm.v26i.1821" \t "_blank" </w:instrText>
      </w:r>
      <w:r>
        <w:rPr/>
        <w:fldChar w:fldCharType="separate"/>
      </w:r>
      <w:r>
        <w:rPr>
          <w:rStyle w:val="style85"/>
          <w:rFonts w:cs="Arial"/>
        </w:rPr>
        <w:t>10.54691/</w:t>
      </w:r>
      <w:r>
        <w:rPr>
          <w:rStyle w:val="style85"/>
          <w:rFonts w:cs="Arial"/>
        </w:rPr>
        <w:t>bcpbm.v</w:t>
      </w:r>
      <w:r>
        <w:rPr>
          <w:rStyle w:val="style85"/>
          <w:rFonts w:cs="Arial"/>
        </w:rPr>
        <w:t>26i.1821</w:t>
      </w:r>
      <w:r>
        <w:rPr/>
        <w:fldChar w:fldCharType="end"/>
      </w:r>
      <w:r>
        <w:rPr>
          <w:rFonts w:cs="Arial"/>
        </w:rPr>
        <w:t xml:space="preserve"> </w:t>
      </w:r>
    </w:p>
    <w:p>
      <w:pPr>
        <w:pStyle w:val="style0"/>
        <w:rPr>
          <w:rFonts w:cs="Arial"/>
        </w:rPr>
      </w:pPr>
      <w:r>
        <w:rPr>
          <w:rFonts w:cs="Arial"/>
        </w:rPr>
        <w:t xml:space="preserve">Tesla (2023) </w:t>
      </w:r>
      <w:r>
        <w:rPr>
          <w:rFonts w:cs="Arial"/>
          <w:i/>
          <w:iCs/>
        </w:rPr>
        <w:t>Annual Report</w:t>
      </w:r>
      <w:r>
        <w:rPr>
          <w:rFonts w:cs="Arial"/>
        </w:rPr>
        <w:t xml:space="preserve">. Available at: </w:t>
      </w:r>
      <w:r>
        <w:rPr/>
        <w:fldChar w:fldCharType="begin"/>
      </w:r>
      <w:r>
        <w:instrText xml:space="preserve"> HYPERLINK "https://ir.tesla.com/_flysystem/s3/sec/000162828024002390/tsla-20231231-gen.pdf" </w:instrText>
      </w:r>
      <w:r>
        <w:rPr/>
        <w:fldChar w:fldCharType="separate"/>
      </w:r>
      <w:r>
        <w:rPr>
          <w:rStyle w:val="style85"/>
          <w:rFonts w:cs="Arial"/>
        </w:rPr>
        <w:t>https://ir.tesla.com/_flysystem/s3/sec/000162828024002390/tsla-20231231-gen.pdf</w:t>
      </w:r>
      <w:r>
        <w:rPr/>
        <w:fldChar w:fldCharType="end"/>
      </w:r>
      <w:r>
        <w:rPr>
          <w:rFonts w:cs="Arial"/>
        </w:rPr>
        <w:t xml:space="preserve"> (Accessed 12 July 2026)</w:t>
      </w:r>
    </w:p>
    <w:p>
      <w:pPr>
        <w:pStyle w:val="style0"/>
        <w:rPr>
          <w:rFonts w:cs="Arial"/>
        </w:rPr>
      </w:pPr>
      <w:r>
        <w:rPr>
          <w:rFonts w:cs="Arial"/>
        </w:rPr>
        <w:t xml:space="preserve">Tesla (2025) </w:t>
      </w:r>
      <w:r>
        <w:rPr>
          <w:rFonts w:cs="Arial"/>
          <w:i/>
          <w:iCs/>
        </w:rPr>
        <w:t>Autopilot and Full Self-Driving Capability | Tesla Support United Kingdom</w:t>
      </w:r>
      <w:r>
        <w:rPr>
          <w:rFonts w:cs="Arial"/>
        </w:rPr>
        <w:t xml:space="preserve">, Tesla. Available at: </w:t>
      </w:r>
      <w:r>
        <w:rPr/>
        <w:fldChar w:fldCharType="begin"/>
      </w:r>
      <w:r>
        <w:instrText xml:space="preserve"> HYPERLINK "https://www.tesla.com/en_gb/support/autopilot" </w:instrText>
      </w:r>
      <w:r>
        <w:rPr/>
        <w:fldChar w:fldCharType="separate"/>
      </w:r>
      <w:r>
        <w:rPr>
          <w:rStyle w:val="style85"/>
          <w:rFonts w:cs="Arial"/>
        </w:rPr>
        <w:t>https://www.tesla.com/en_gb/support/autopilot</w:t>
      </w:r>
      <w:r>
        <w:rPr/>
        <w:fldChar w:fldCharType="end"/>
      </w:r>
      <w:r>
        <w:rPr>
          <w:rFonts w:cs="Arial"/>
        </w:rPr>
        <w:t xml:space="preserve"> (Accessed 12 July 2026)</w:t>
      </w:r>
    </w:p>
    <w:p>
      <w:pPr>
        <w:pStyle w:val="style0"/>
        <w:rPr>
          <w:rFonts w:cs="Arial"/>
        </w:rPr>
      </w:pPr>
      <w:r>
        <w:rPr>
          <w:rFonts w:cs="Arial"/>
        </w:rPr>
        <w:t xml:space="preserve">Tesla, Inc. (2020) </w:t>
      </w:r>
      <w:r>
        <w:rPr>
          <w:rStyle w:val="style88"/>
          <w:rFonts w:cs="Arial"/>
        </w:rPr>
        <w:t>Annual Report (Form 10-K) for the fiscal year ended 31 December 2019</w:t>
      </w:r>
      <w:r>
        <w:rPr>
          <w:rFonts w:cs="Arial"/>
        </w:rPr>
        <w:t xml:space="preserve">. U.S. Securities and Exchange Commission. Available at: </w:t>
      </w:r>
      <w:r>
        <w:rPr/>
        <w:fldChar w:fldCharType="begin"/>
      </w:r>
      <w:r>
        <w:instrText xml:space="preserve"> HYPERLINK "https://www.sec.gov/Archives/edgar/data/1318605/000156459020004475/tsla-10k_20191231.htm" </w:instrText>
      </w:r>
      <w:r>
        <w:rPr/>
        <w:fldChar w:fldCharType="separate"/>
      </w:r>
      <w:r>
        <w:rPr>
          <w:rStyle w:val="style85"/>
          <w:rFonts w:cs="Arial"/>
        </w:rPr>
        <w:t>https://www.sec.gov/Archives/edgar/data/1318605/000156459020004475/tsla-10k_20191231.htm</w:t>
      </w:r>
      <w:r>
        <w:rPr/>
        <w:fldChar w:fldCharType="end"/>
      </w:r>
      <w:r>
        <w:rPr>
          <w:rFonts w:cs="Arial"/>
        </w:rPr>
        <w:t xml:space="preserve">  (Accessed 12 July 2026)</w:t>
      </w:r>
    </w:p>
    <w:p>
      <w:pPr>
        <w:pStyle w:val="style0"/>
        <w:rPr>
          <w:rFonts w:cs="Arial"/>
          <w:b/>
        </w:rPr>
      </w:pPr>
      <w:r>
        <w:rPr>
          <w:rFonts w:cs="Arial"/>
        </w:rPr>
        <w:t>Thulin, C.K. and Povlsen, S.B.</w:t>
      </w:r>
      <w:r>
        <w:rPr>
          <w:rFonts w:cs="Arial"/>
          <w:shd w:val="clear" w:color="auto" w:fill="ffffff"/>
        </w:rPr>
        <w:t xml:space="preserve"> </w:t>
      </w:r>
      <w:r>
        <w:rPr>
          <w:rFonts w:cs="Arial"/>
        </w:rPr>
        <w:t>(</w:t>
      </w:r>
      <w:r>
        <w:rPr>
          <w:rFonts w:cs="Arial"/>
          <w:shd w:val="clear" w:color="auto" w:fill="ffffff"/>
        </w:rPr>
        <w:t>2024</w:t>
      </w:r>
      <w:r>
        <w:rPr>
          <w:rFonts w:cs="Arial"/>
        </w:rPr>
        <w:t xml:space="preserve">) </w:t>
      </w:r>
      <w:r>
        <w:rPr>
          <w:rFonts w:cs="Arial"/>
          <w:i/>
          <w:iCs/>
          <w:shd w:val="clear" w:color="auto" w:fill="ffffff"/>
        </w:rPr>
        <w:t>Navigating the road ahead: Tesla’s resilience in the face of emerging rivals</w:t>
      </w:r>
      <w:r>
        <w:rPr>
          <w:rFonts w:cs="Arial"/>
          <w:shd w:val="clear" w:color="auto" w:fill="ffffff"/>
        </w:rPr>
        <w:t> (Doctoral dissertation, Master’s thesis, Copenhagen Business School, MSc Economics &amp; Business Administration Program).</w:t>
      </w:r>
      <w:r>
        <w:rPr>
          <w:rFonts w:cs="Arial"/>
        </w:rPr>
        <w:t xml:space="preserve"> </w:t>
      </w:r>
      <w:r>
        <w:rPr/>
        <w:fldChar w:fldCharType="begin"/>
      </w:r>
      <w:r>
        <w:instrText xml:space="preserve"> HYPERLINK "https://research-api.cbs.dk/ws/portalfiles/portal/108049434/1850915_MASTERS_THESIS_FINAL_TESLA_.pdf" </w:instrText>
      </w:r>
      <w:r>
        <w:rPr/>
        <w:fldChar w:fldCharType="separate"/>
      </w:r>
      <w:r>
        <w:rPr>
          <w:rStyle w:val="style85"/>
          <w:rFonts w:cs="Arial"/>
        </w:rPr>
        <w:t>https://research-api.cbs.dk/ws/portalfiles/portal/108049434/1850915_MASTERS_THESIS_FINAL_TESLA_.pdf</w:t>
      </w:r>
      <w:r>
        <w:rPr/>
        <w:fldChar w:fldCharType="end"/>
      </w:r>
      <w:r>
        <w:rPr>
          <w:rFonts w:cs="Arial"/>
        </w:rPr>
        <w:t xml:space="preserve"> </w:t>
      </w:r>
    </w:p>
    <w:p>
      <w:pPr>
        <w:pStyle w:val="style0"/>
        <w:rPr>
          <w:rFonts w:cs="Arial"/>
          <w:shd w:val="clear" w:color="auto" w:fill="ffffff"/>
        </w:rPr>
      </w:pPr>
      <w:r>
        <w:rPr>
          <w:rFonts w:cs="Arial"/>
          <w:shd w:val="clear" w:color="auto" w:fill="ffffff"/>
        </w:rPr>
        <w:t>Tsiu</w:t>
      </w:r>
      <w:r>
        <w:rPr>
          <w:rFonts w:cs="Arial"/>
          <w:shd w:val="clear" w:color="auto" w:fill="ffffff"/>
        </w:rPr>
        <w:t xml:space="preserve">, S.V., Ngobeni, M., Mathabela, L. and </w:t>
      </w:r>
      <w:r>
        <w:rPr>
          <w:rFonts w:cs="Arial"/>
          <w:shd w:val="clear" w:color="auto" w:fill="ffffff"/>
        </w:rPr>
        <w:t>Thango</w:t>
      </w:r>
      <w:r>
        <w:rPr>
          <w:rFonts w:cs="Arial"/>
          <w:shd w:val="clear" w:color="auto" w:fill="ffffff"/>
        </w:rPr>
        <w:t>, B. (2025) ‘Applications and competitive advantages of data mining and business intelligence in SMEs performance: A systematic review’, </w:t>
      </w:r>
      <w:r>
        <w:rPr>
          <w:rFonts w:cs="Arial"/>
          <w:i/>
          <w:iCs/>
          <w:shd w:val="clear" w:color="auto" w:fill="ffffff"/>
        </w:rPr>
        <w:t>Businesses</w:t>
      </w:r>
      <w:r>
        <w:rPr>
          <w:rFonts w:cs="Arial"/>
          <w:shd w:val="clear" w:color="auto" w:fill="ffffff"/>
        </w:rPr>
        <w:t>, </w:t>
      </w:r>
      <w:r>
        <w:rPr>
          <w:rFonts w:cs="Arial"/>
          <w:i/>
          <w:iCs/>
          <w:shd w:val="clear" w:color="auto" w:fill="ffffff"/>
        </w:rPr>
        <w:t>5</w:t>
      </w:r>
      <w:r>
        <w:rPr>
          <w:rFonts w:cs="Arial"/>
          <w:shd w:val="clear" w:color="auto" w:fill="ffffff"/>
        </w:rPr>
        <w:t xml:space="preserve">(2), p.22. </w:t>
      </w:r>
      <w:r>
        <w:rPr/>
        <w:fldChar w:fldCharType="begin"/>
      </w:r>
      <w:r>
        <w:instrText xml:space="preserve"> HYPERLINK "https://doi.org/10.3390/businesses5020022" </w:instrText>
      </w:r>
      <w:r>
        <w:rPr/>
        <w:fldChar w:fldCharType="separate"/>
      </w:r>
      <w:r>
        <w:rPr>
          <w:rStyle w:val="style85"/>
          <w:rFonts w:cs="Arial"/>
          <w:shd w:val="clear" w:color="auto" w:fill="ffffff"/>
        </w:rPr>
        <w:t>https://doi.org/10.3390/businesses5020022</w:t>
      </w:r>
      <w:r>
        <w:rPr/>
        <w:fldChar w:fldCharType="end"/>
      </w:r>
    </w:p>
    <w:p>
      <w:pPr>
        <w:pStyle w:val="style0"/>
        <w:rPr>
          <w:rFonts w:cs="Arial"/>
        </w:rPr>
      </w:pPr>
      <w:r>
        <w:rPr>
          <w:rFonts w:cs="Arial"/>
        </w:rPr>
        <w:t>Williment</w:t>
      </w:r>
      <w:r>
        <w:rPr>
          <w:rFonts w:cs="Arial"/>
        </w:rPr>
        <w:t xml:space="preserve">, C. (2026) </w:t>
      </w:r>
      <w:r>
        <w:rPr>
          <w:rFonts w:cs="Arial"/>
          <w:i/>
          <w:iCs/>
        </w:rPr>
        <w:t>Tesla’s Drive for a More Resilient and Sustainable Future</w:t>
      </w:r>
      <w:r>
        <w:rPr>
          <w:rFonts w:cs="Arial"/>
        </w:rPr>
        <w:t>,</w:t>
      </w:r>
      <w:r>
        <w:rPr>
          <w:rFonts w:cs="Arial"/>
        </w:rPr>
        <w:t xml:space="preserve"> </w:t>
      </w:r>
      <w:r>
        <w:rPr>
          <w:rFonts w:cs="Arial"/>
        </w:rPr>
        <w:t>SustainabltyMag</w:t>
      </w:r>
      <w:r>
        <w:rPr>
          <w:rFonts w:cs="Arial"/>
        </w:rPr>
        <w:t xml:space="preserve">. Available at: </w:t>
      </w:r>
      <w:r>
        <w:rPr/>
        <w:fldChar w:fldCharType="begin"/>
      </w:r>
      <w:r>
        <w:instrText xml:space="preserve"> HYPERLINK "https://sustainabilitymag.com/news/teslas-sustainability-impact-report-2025-reaching-net-zero" </w:instrText>
      </w:r>
      <w:r>
        <w:rPr/>
        <w:fldChar w:fldCharType="separate"/>
      </w:r>
      <w:r>
        <w:rPr>
          <w:rStyle w:val="style85"/>
          <w:rFonts w:cs="Arial"/>
        </w:rPr>
        <w:t>https://sustainabilitymag.com/news/teslas-sustainability-impact-report-2025-reaching-net-zero</w:t>
      </w:r>
      <w:r>
        <w:rPr/>
        <w:fldChar w:fldCharType="end"/>
      </w:r>
      <w:r>
        <w:rPr>
          <w:rFonts w:cs="Arial"/>
        </w:rPr>
        <w:t xml:space="preserve"> (Accessed 12 July 2026)</w:t>
      </w:r>
    </w:p>
    <w:p>
      <w:pPr>
        <w:pStyle w:val="style0"/>
        <w:rPr>
          <w:rFonts w:cs="Arial"/>
          <w:shd w:val="clear" w:color="auto" w:fill="ffffff"/>
        </w:rPr>
      </w:pPr>
      <w:r>
        <w:rPr>
          <w:rFonts w:cs="Arial"/>
          <w:shd w:val="clear" w:color="auto" w:fill="ffffff"/>
        </w:rPr>
        <w:t>Xu, W. and Mo, W. (2024) ‘Institutional unlocking or technological unlocking? The logic of carbon unlocking in the new energy vehicle industry in China’, </w:t>
      </w:r>
      <w:r>
        <w:rPr>
          <w:rFonts w:cs="Arial"/>
          <w:i/>
          <w:iCs/>
          <w:shd w:val="clear" w:color="auto" w:fill="ffffff"/>
        </w:rPr>
        <w:t>Energy Policy</w:t>
      </w:r>
      <w:r>
        <w:rPr>
          <w:rFonts w:cs="Arial"/>
          <w:shd w:val="clear" w:color="auto" w:fill="ffffff"/>
        </w:rPr>
        <w:t>, </w:t>
      </w:r>
      <w:r>
        <w:rPr>
          <w:rFonts w:cs="Arial"/>
          <w:i/>
          <w:iCs/>
          <w:shd w:val="clear" w:color="auto" w:fill="ffffff"/>
        </w:rPr>
        <w:t>195</w:t>
      </w:r>
      <w:r>
        <w:rPr>
          <w:rFonts w:cs="Arial"/>
          <w:shd w:val="clear" w:color="auto" w:fill="ffffff"/>
        </w:rPr>
        <w:t xml:space="preserve">, p.114369. </w:t>
      </w:r>
      <w:r>
        <w:rPr/>
        <w:fldChar w:fldCharType="begin"/>
      </w:r>
      <w:r>
        <w:instrText xml:space="preserve"> HYPERLINK "https://doi.org/10.1016/j.enpol.2024.114369" </w:instrText>
      </w:r>
      <w:r>
        <w:rPr/>
        <w:fldChar w:fldCharType="separate"/>
      </w:r>
      <w:r>
        <w:rPr>
          <w:rStyle w:val="style85"/>
          <w:rFonts w:cs="Arial"/>
          <w:shd w:val="clear" w:color="auto" w:fill="ffffff"/>
        </w:rPr>
        <w:t>https://doi.org/10.1016/j.enpol.2024.114369</w:t>
      </w:r>
      <w:r>
        <w:rPr/>
        <w:fldChar w:fldCharType="end"/>
      </w:r>
    </w:p>
    <w:p>
      <w:pPr>
        <w:pStyle w:val="style0"/>
        <w:rPr>
          <w:rFonts w:cs="Arial"/>
        </w:rPr>
      </w:pPr>
      <w:r>
        <w:rPr>
          <w:rFonts w:cs="Arial"/>
          <w:shd w:val="clear" w:color="auto" w:fill="ffffff"/>
        </w:rPr>
        <w:t>Yan, J. (2022) ‘BYD and Tesla’s competitive advantages and future development prospects’, </w:t>
      </w:r>
      <w:r>
        <w:rPr>
          <w:rFonts w:cs="Arial"/>
          <w:i/>
          <w:iCs/>
          <w:shd w:val="clear" w:color="auto" w:fill="ffffff"/>
        </w:rPr>
        <w:t xml:space="preserve">BCP </w:t>
      </w:r>
      <w:r>
        <w:rPr>
          <w:rFonts w:cs="Arial"/>
          <w:i/>
          <w:iCs/>
          <w:shd w:val="clear" w:color="auto" w:fill="ffffff"/>
        </w:rPr>
        <w:t>B</w:t>
      </w:r>
      <w:r>
        <w:rPr>
          <w:rFonts w:cs="Arial"/>
          <w:i/>
          <w:iCs/>
          <w:shd w:val="clear" w:color="auto" w:fill="ffffff"/>
        </w:rPr>
        <w:t xml:space="preserve">usiness &amp; </w:t>
      </w:r>
      <w:r>
        <w:rPr>
          <w:rFonts w:cs="Arial"/>
          <w:i/>
          <w:iCs/>
          <w:shd w:val="clear" w:color="auto" w:fill="ffffff"/>
        </w:rPr>
        <w:t>M</w:t>
      </w:r>
      <w:r>
        <w:rPr>
          <w:rFonts w:cs="Arial"/>
          <w:i/>
          <w:iCs/>
          <w:shd w:val="clear" w:color="auto" w:fill="ffffff"/>
        </w:rPr>
        <w:t>anagement</w:t>
      </w:r>
      <w:r>
        <w:rPr>
          <w:rFonts w:cs="Arial"/>
          <w:shd w:val="clear" w:color="auto" w:fill="ffffff"/>
        </w:rPr>
        <w:t>, </w:t>
      </w:r>
      <w:r>
        <w:rPr>
          <w:rFonts w:cs="Arial"/>
          <w:i/>
          <w:iCs/>
          <w:shd w:val="clear" w:color="auto" w:fill="ffffff"/>
        </w:rPr>
        <w:t>18</w:t>
      </w:r>
      <w:r>
        <w:rPr>
          <w:rFonts w:cs="Arial"/>
          <w:shd w:val="clear" w:color="auto" w:fill="ffffff"/>
        </w:rPr>
        <w:t>, pp.442-450. DOI:</w:t>
      </w:r>
      <w:r>
        <w:rPr/>
        <w:fldChar w:fldCharType="begin"/>
      </w:r>
      <w:r>
        <w:instrText xml:space="preserve"> HYPERLINK "https://doi.org/10.54691/bcpbm.v18i.583" \t "_blank" </w:instrText>
      </w:r>
      <w:r>
        <w:rPr/>
        <w:fldChar w:fldCharType="separate"/>
      </w:r>
      <w:r>
        <w:rPr>
          <w:rStyle w:val="style85"/>
          <w:rFonts w:cs="Arial"/>
          <w:shd w:val="clear" w:color="auto" w:fill="ffffff"/>
        </w:rPr>
        <w:t>10.54691/</w:t>
      </w:r>
      <w:r>
        <w:rPr>
          <w:rStyle w:val="style85"/>
          <w:rFonts w:cs="Arial"/>
          <w:shd w:val="clear" w:color="auto" w:fill="ffffff"/>
        </w:rPr>
        <w:t>bcpbm.v</w:t>
      </w:r>
      <w:r>
        <w:rPr>
          <w:rStyle w:val="style85"/>
          <w:rFonts w:cs="Arial"/>
          <w:shd w:val="clear" w:color="auto" w:fill="ffffff"/>
        </w:rPr>
        <w:t>18i.583</w:t>
      </w:r>
      <w:r>
        <w:rPr/>
        <w:fldChar w:fldCharType="end"/>
      </w:r>
      <w:r>
        <w:rPr>
          <w:rFonts w:cs="Arial"/>
          <w:shd w:val="clear" w:color="auto" w:fill="ffffff"/>
        </w:rPr>
        <w:t xml:space="preserve"> </w:t>
      </w:r>
    </w:p>
    <w:p>
      <w:pPr>
        <w:pStyle w:val="style0"/>
        <w:rPr>
          <w:rFonts w:cs="Arial"/>
          <w:shd w:val="clear" w:color="auto" w:fill="ffffff"/>
        </w:rPr>
      </w:pPr>
      <w:r>
        <w:rPr>
          <w:rFonts w:cs="Arial"/>
          <w:shd w:val="clear" w:color="auto" w:fill="ffffff"/>
        </w:rPr>
        <w:t>Yang, T., Peattie, K., Skeete, J.P. and Koenig-Lewis, N. (2024) ‘Navigating transitions: how electric vehicle sharing is shaping sustainable mobility in Chinese cities’, </w:t>
      </w:r>
      <w:r>
        <w:rPr>
          <w:rFonts w:cs="Arial"/>
          <w:i/>
          <w:iCs/>
          <w:shd w:val="clear" w:color="auto" w:fill="ffffff"/>
        </w:rPr>
        <w:t>Sustainability</w:t>
      </w:r>
      <w:r>
        <w:rPr>
          <w:rFonts w:cs="Arial"/>
          <w:shd w:val="clear" w:color="auto" w:fill="ffffff"/>
        </w:rPr>
        <w:t>, </w:t>
      </w:r>
      <w:r>
        <w:rPr>
          <w:rFonts w:cs="Arial"/>
          <w:i/>
          <w:iCs/>
          <w:shd w:val="clear" w:color="auto" w:fill="ffffff"/>
        </w:rPr>
        <w:t>16</w:t>
      </w:r>
      <w:r>
        <w:rPr>
          <w:rFonts w:cs="Arial"/>
          <w:shd w:val="clear" w:color="auto" w:fill="ffffff"/>
        </w:rPr>
        <w:t xml:space="preserve">(19), p.8364. </w:t>
      </w:r>
      <w:r>
        <w:rPr/>
        <w:fldChar w:fldCharType="begin"/>
      </w:r>
      <w:r>
        <w:instrText xml:space="preserve"> HYPERLINK "https://doi.org/10.3390/su16198364" </w:instrText>
      </w:r>
      <w:r>
        <w:rPr/>
        <w:fldChar w:fldCharType="separate"/>
      </w:r>
      <w:r>
        <w:rPr>
          <w:rStyle w:val="style85"/>
          <w:rFonts w:cs="Arial"/>
          <w:shd w:val="clear" w:color="auto" w:fill="ffffff"/>
        </w:rPr>
        <w:t>https://doi.org/10.3390/su16198364</w:t>
      </w:r>
      <w:r>
        <w:rPr/>
        <w:fldChar w:fldCharType="end"/>
      </w:r>
    </w:p>
    <w:p>
      <w:pPr>
        <w:pStyle w:val="style0"/>
        <w:rPr>
          <w:rFonts w:cs="Arial"/>
        </w:rPr>
      </w:pPr>
    </w:p>
    <w:bookmarkStart w:id="24" w:name="_Toc234876938"/>
    <w:p>
      <w:pPr>
        <w:pStyle w:val="style1"/>
        <w:rPr/>
      </w:pPr>
      <w:r>
        <w:t>Appendi</w:t>
      </w:r>
      <w:r>
        <w:t>ces</w:t>
      </w:r>
      <w:bookmarkEnd w:id="24"/>
    </w:p>
    <w:bookmarkStart w:id="25" w:name="_Toc234876939"/>
    <w:p>
      <w:pPr>
        <w:pStyle w:val="style2"/>
        <w:rPr/>
      </w:pPr>
      <w:r>
        <w:t>Appendix 1: Summary of PESTEL Analysis for Tesla's Passenger EV Business in China</w:t>
      </w:r>
      <w:bookmarkEnd w:id="25"/>
    </w:p>
    <w:tbl>
      <w:tblPr>
        <w:tblStyle w:val="style154"/>
        <w:tblW w:w="0" w:type="auto"/>
        <w:jc w:val="center"/>
        <w:tblLook w:val="04A0" w:firstRow="1" w:lastRow="0" w:firstColumn="1" w:lastColumn="0" w:noHBand="0" w:noVBand="1"/>
      </w:tblPr>
      <w:tblGrid>
        <w:gridCol w:w="1776"/>
        <w:gridCol w:w="6250"/>
      </w:tblGrid>
      <w:tr>
        <w:trPr>
          <w:jc w:val="center"/>
        </w:trPr>
        <w:tc>
          <w:tcPr>
            <w:tcW w:w="0" w:type="auto"/>
            <w:tcBorders/>
            <w:hideMark/>
          </w:tcPr>
          <w:p>
            <w:pPr>
              <w:pStyle w:val="style0"/>
              <w:jc w:val="center"/>
              <w:rPr>
                <w:rFonts w:cs="Arial" w:eastAsia="Times New Roman"/>
                <w:b/>
                <w:bCs/>
                <w:sz w:val="24"/>
                <w:szCs w:val="24"/>
              </w:rPr>
            </w:pPr>
            <w:r>
              <w:rPr>
                <w:rFonts w:cs="Arial" w:eastAsia="Times New Roman"/>
                <w:b/>
                <w:bCs/>
                <w:sz w:val="24"/>
                <w:szCs w:val="24"/>
              </w:rPr>
              <w:t>Factor</w:t>
            </w:r>
          </w:p>
        </w:tc>
        <w:tc>
          <w:tcPr>
            <w:tcW w:w="0" w:type="auto"/>
            <w:tcBorders/>
            <w:hideMark/>
          </w:tcPr>
          <w:p>
            <w:pPr>
              <w:pStyle w:val="style0"/>
              <w:jc w:val="center"/>
              <w:rPr>
                <w:rFonts w:cs="Arial" w:eastAsia="Times New Roman"/>
                <w:b/>
                <w:bCs/>
                <w:sz w:val="24"/>
                <w:szCs w:val="24"/>
              </w:rPr>
            </w:pPr>
            <w:r>
              <w:rPr>
                <w:rFonts w:cs="Arial" w:eastAsia="Times New Roman"/>
                <w:b/>
                <w:bCs/>
                <w:sz w:val="24"/>
                <w:szCs w:val="24"/>
              </w:rPr>
              <w:t>Key Findings</w:t>
            </w:r>
          </w:p>
        </w:tc>
      </w:tr>
      <w:tr>
        <w:tblPrEx/>
        <w:trPr>
          <w:jc w:val="center"/>
        </w:trPr>
        <w:tc>
          <w:tcPr>
            <w:tcW w:w="0" w:type="auto"/>
            <w:tcBorders/>
            <w:hideMark/>
          </w:tcPr>
          <w:p>
            <w:pPr>
              <w:pStyle w:val="style0"/>
              <w:jc w:val="left"/>
              <w:rPr>
                <w:rFonts w:cs="Arial" w:eastAsia="Times New Roman"/>
                <w:sz w:val="24"/>
                <w:szCs w:val="24"/>
              </w:rPr>
            </w:pPr>
            <w:r>
              <w:rPr>
                <w:rFonts w:cs="Arial" w:eastAsia="Times New Roman"/>
                <w:b/>
                <w:bCs/>
                <w:sz w:val="24"/>
                <w:szCs w:val="24"/>
              </w:rPr>
              <w:t>Political</w:t>
            </w:r>
          </w:p>
        </w:tc>
        <w:tc>
          <w:tcPr>
            <w:tcW w:w="0" w:type="auto"/>
            <w:tcBorders/>
            <w:hideMark/>
          </w:tcPr>
          <w:p>
            <w:pPr>
              <w:pStyle w:val="style0"/>
              <w:jc w:val="left"/>
              <w:rPr>
                <w:rFonts w:cs="Arial" w:eastAsia="Times New Roman"/>
                <w:sz w:val="24"/>
                <w:szCs w:val="24"/>
              </w:rPr>
            </w:pPr>
            <w:r>
              <w:rPr>
                <w:rFonts w:cs="Arial" w:eastAsia="Times New Roman"/>
                <w:sz w:val="24"/>
                <w:szCs w:val="24"/>
              </w:rPr>
              <w:t>• Strong NEV policies and carbon neutrality targets.</w:t>
            </w:r>
          </w:p>
          <w:p>
            <w:pPr>
              <w:pStyle w:val="style0"/>
              <w:jc w:val="left"/>
              <w:rPr>
                <w:rFonts w:cs="Arial" w:eastAsia="Times New Roman"/>
                <w:sz w:val="24"/>
                <w:szCs w:val="24"/>
              </w:rPr>
            </w:pPr>
            <w:r>
              <w:rPr>
                <w:rFonts w:cs="Arial" w:eastAsia="Times New Roman"/>
                <w:sz w:val="24"/>
                <w:szCs w:val="24"/>
              </w:rPr>
              <w:t>• Government investment in EV infrastructure.</w:t>
            </w:r>
          </w:p>
          <w:p>
            <w:pPr>
              <w:pStyle w:val="style0"/>
              <w:jc w:val="left"/>
              <w:rPr>
                <w:rFonts w:cs="Arial" w:eastAsia="Times New Roman"/>
                <w:sz w:val="24"/>
                <w:szCs w:val="24"/>
              </w:rPr>
            </w:pPr>
            <w:r>
              <w:rPr>
                <w:rFonts w:cs="Arial" w:eastAsia="Times New Roman"/>
                <w:sz w:val="24"/>
                <w:szCs w:val="24"/>
              </w:rPr>
              <w:t>• Preferential support for domestic manufacturers.</w:t>
            </w:r>
          </w:p>
          <w:p>
            <w:pPr>
              <w:pStyle w:val="style0"/>
              <w:jc w:val="left"/>
              <w:rPr>
                <w:rFonts w:cs="Arial" w:eastAsia="Times New Roman"/>
                <w:sz w:val="24"/>
                <w:szCs w:val="24"/>
              </w:rPr>
            </w:pPr>
            <w:r>
              <w:rPr>
                <w:rFonts w:cs="Arial" w:eastAsia="Times New Roman"/>
                <w:sz w:val="24"/>
                <w:szCs w:val="24"/>
              </w:rPr>
              <w:t>• US–China geopolitical tensions increase uncertainty.</w:t>
            </w:r>
          </w:p>
        </w:tc>
      </w:tr>
      <w:tr>
        <w:tblPrEx/>
        <w:trPr>
          <w:jc w:val="center"/>
        </w:trPr>
        <w:tc>
          <w:tcPr>
            <w:tcW w:w="0" w:type="auto"/>
            <w:tcBorders/>
            <w:hideMark/>
          </w:tcPr>
          <w:p>
            <w:pPr>
              <w:pStyle w:val="style0"/>
              <w:jc w:val="left"/>
              <w:rPr>
                <w:rFonts w:cs="Arial" w:eastAsia="Times New Roman"/>
                <w:sz w:val="24"/>
                <w:szCs w:val="24"/>
              </w:rPr>
            </w:pPr>
            <w:r>
              <w:rPr>
                <w:rFonts w:cs="Arial" w:eastAsia="Times New Roman"/>
                <w:b/>
                <w:bCs/>
                <w:sz w:val="24"/>
                <w:szCs w:val="24"/>
              </w:rPr>
              <w:t>Economic</w:t>
            </w:r>
          </w:p>
        </w:tc>
        <w:tc>
          <w:tcPr>
            <w:tcW w:w="0" w:type="auto"/>
            <w:tcBorders/>
            <w:hideMark/>
          </w:tcPr>
          <w:p>
            <w:pPr>
              <w:pStyle w:val="style0"/>
              <w:jc w:val="left"/>
              <w:rPr>
                <w:rFonts w:cs="Arial" w:eastAsia="Times New Roman"/>
                <w:sz w:val="24"/>
                <w:szCs w:val="24"/>
              </w:rPr>
            </w:pPr>
            <w:r>
              <w:rPr>
                <w:rFonts w:cs="Arial" w:eastAsia="Times New Roman"/>
                <w:sz w:val="24"/>
                <w:szCs w:val="24"/>
              </w:rPr>
              <w:t>• China produces ~75% of global EVs (2025).</w:t>
            </w:r>
          </w:p>
          <w:p>
            <w:pPr>
              <w:pStyle w:val="style0"/>
              <w:jc w:val="left"/>
              <w:rPr>
                <w:rFonts w:cs="Arial" w:eastAsia="Times New Roman"/>
                <w:sz w:val="24"/>
                <w:szCs w:val="24"/>
              </w:rPr>
            </w:pPr>
            <w:r>
              <w:rPr>
                <w:rFonts w:cs="Arial" w:eastAsia="Times New Roman"/>
                <w:sz w:val="24"/>
                <w:szCs w:val="24"/>
              </w:rPr>
              <w:t>• Declining battery costs improve efficiency.</w:t>
            </w:r>
          </w:p>
          <w:p>
            <w:pPr>
              <w:pStyle w:val="style0"/>
              <w:jc w:val="left"/>
              <w:rPr>
                <w:rFonts w:cs="Arial" w:eastAsia="Times New Roman"/>
                <w:sz w:val="24"/>
                <w:szCs w:val="24"/>
              </w:rPr>
            </w:pPr>
            <w:r>
              <w:rPr>
                <w:rFonts w:cs="Arial" w:eastAsia="Times New Roman"/>
                <w:sz w:val="24"/>
                <w:szCs w:val="24"/>
              </w:rPr>
              <w:t>• Intense EV price war reduces margins.</w:t>
            </w:r>
          </w:p>
          <w:p>
            <w:pPr>
              <w:pStyle w:val="style0"/>
              <w:jc w:val="left"/>
              <w:rPr>
                <w:rFonts w:cs="Arial" w:eastAsia="Times New Roman"/>
                <w:sz w:val="24"/>
                <w:szCs w:val="24"/>
              </w:rPr>
            </w:pPr>
            <w:r>
              <w:rPr>
                <w:rFonts w:cs="Arial" w:eastAsia="Times New Roman"/>
                <w:sz w:val="24"/>
                <w:szCs w:val="24"/>
              </w:rPr>
              <w:t>• Consumers are increasingly price sensitive.</w:t>
            </w:r>
          </w:p>
        </w:tc>
      </w:tr>
      <w:tr>
        <w:tblPrEx/>
        <w:trPr>
          <w:jc w:val="center"/>
        </w:trPr>
        <w:tc>
          <w:tcPr>
            <w:tcW w:w="0" w:type="auto"/>
            <w:tcBorders/>
            <w:hideMark/>
          </w:tcPr>
          <w:p>
            <w:pPr>
              <w:pStyle w:val="style0"/>
              <w:jc w:val="left"/>
              <w:rPr>
                <w:rFonts w:cs="Arial" w:eastAsia="Times New Roman"/>
                <w:sz w:val="24"/>
                <w:szCs w:val="24"/>
              </w:rPr>
            </w:pPr>
            <w:r>
              <w:rPr>
                <w:rFonts w:cs="Arial" w:eastAsia="Times New Roman"/>
                <w:b/>
                <w:bCs/>
                <w:sz w:val="24"/>
                <w:szCs w:val="24"/>
              </w:rPr>
              <w:t>Social</w:t>
            </w:r>
          </w:p>
        </w:tc>
        <w:tc>
          <w:tcPr>
            <w:tcW w:w="0" w:type="auto"/>
            <w:tcBorders/>
            <w:hideMark/>
          </w:tcPr>
          <w:p>
            <w:pPr>
              <w:pStyle w:val="style0"/>
              <w:jc w:val="left"/>
              <w:rPr>
                <w:rFonts w:cs="Arial" w:eastAsia="Times New Roman"/>
                <w:sz w:val="24"/>
                <w:szCs w:val="24"/>
              </w:rPr>
            </w:pPr>
            <w:r>
              <w:rPr>
                <w:rFonts w:cs="Arial" w:eastAsia="Times New Roman"/>
                <w:sz w:val="24"/>
                <w:szCs w:val="24"/>
              </w:rPr>
              <w:t>• Rising environmental awareness drives EV adoption.</w:t>
            </w:r>
          </w:p>
          <w:p>
            <w:pPr>
              <w:pStyle w:val="style0"/>
              <w:jc w:val="left"/>
              <w:rPr>
                <w:rFonts w:cs="Arial" w:eastAsia="Times New Roman"/>
                <w:sz w:val="24"/>
                <w:szCs w:val="24"/>
              </w:rPr>
            </w:pPr>
            <w:r>
              <w:rPr>
                <w:rFonts w:cs="Arial" w:eastAsia="Times New Roman"/>
                <w:sz w:val="24"/>
                <w:szCs w:val="24"/>
              </w:rPr>
              <w:t>• Growing demand for AI-enabled smart vehicles.</w:t>
            </w:r>
          </w:p>
          <w:p>
            <w:pPr>
              <w:pStyle w:val="style0"/>
              <w:jc w:val="left"/>
              <w:rPr>
                <w:rFonts w:cs="Arial" w:eastAsia="Times New Roman"/>
                <w:sz w:val="24"/>
                <w:szCs w:val="24"/>
              </w:rPr>
            </w:pPr>
            <w:r>
              <w:rPr>
                <w:rFonts w:cs="Arial" w:eastAsia="Times New Roman"/>
                <w:sz w:val="24"/>
                <w:szCs w:val="24"/>
              </w:rPr>
              <w:t>• Consumers prioritise value for money.</w:t>
            </w:r>
          </w:p>
          <w:p>
            <w:pPr>
              <w:pStyle w:val="style0"/>
              <w:jc w:val="left"/>
              <w:rPr>
                <w:rFonts w:cs="Arial" w:eastAsia="Times New Roman"/>
                <w:sz w:val="24"/>
                <w:szCs w:val="24"/>
              </w:rPr>
            </w:pPr>
            <w:r>
              <w:rPr>
                <w:rFonts w:cs="Arial" w:eastAsia="Times New Roman"/>
                <w:sz w:val="24"/>
                <w:szCs w:val="24"/>
              </w:rPr>
              <w:t>• Domestic brands gain stronger customer acceptance.</w:t>
            </w:r>
          </w:p>
        </w:tc>
      </w:tr>
      <w:tr>
        <w:tblPrEx/>
        <w:trPr>
          <w:jc w:val="center"/>
        </w:trPr>
        <w:tc>
          <w:tcPr>
            <w:tcW w:w="0" w:type="auto"/>
            <w:tcBorders/>
            <w:hideMark/>
          </w:tcPr>
          <w:p>
            <w:pPr>
              <w:pStyle w:val="style0"/>
              <w:jc w:val="left"/>
              <w:rPr>
                <w:rFonts w:cs="Arial" w:eastAsia="Times New Roman"/>
                <w:sz w:val="24"/>
                <w:szCs w:val="24"/>
              </w:rPr>
            </w:pPr>
            <w:r>
              <w:rPr>
                <w:rFonts w:cs="Arial" w:eastAsia="Times New Roman"/>
                <w:b/>
                <w:bCs/>
                <w:sz w:val="24"/>
                <w:szCs w:val="24"/>
              </w:rPr>
              <w:t>Technological</w:t>
            </w:r>
          </w:p>
        </w:tc>
        <w:tc>
          <w:tcPr>
            <w:tcW w:w="0" w:type="auto"/>
            <w:tcBorders/>
            <w:hideMark/>
          </w:tcPr>
          <w:p>
            <w:pPr>
              <w:pStyle w:val="style0"/>
              <w:jc w:val="left"/>
              <w:rPr>
                <w:rFonts w:cs="Arial" w:eastAsia="Times New Roman"/>
                <w:sz w:val="24"/>
                <w:szCs w:val="24"/>
              </w:rPr>
            </w:pPr>
            <w:r>
              <w:rPr>
                <w:rFonts w:cs="Arial" w:eastAsia="Times New Roman"/>
                <w:sz w:val="24"/>
                <w:szCs w:val="24"/>
              </w:rPr>
              <w:t>• Rapid advances in AI and battery technology.</w:t>
            </w:r>
          </w:p>
          <w:p>
            <w:pPr>
              <w:pStyle w:val="style0"/>
              <w:jc w:val="left"/>
              <w:rPr>
                <w:rFonts w:cs="Arial" w:eastAsia="Times New Roman"/>
                <w:sz w:val="24"/>
                <w:szCs w:val="24"/>
              </w:rPr>
            </w:pPr>
            <w:r>
              <w:rPr>
                <w:rFonts w:cs="Arial" w:eastAsia="Times New Roman"/>
                <w:sz w:val="24"/>
                <w:szCs w:val="24"/>
              </w:rPr>
              <w:t>• Domestic firms are narrowing Tesla's technology gap.</w:t>
            </w:r>
          </w:p>
          <w:p>
            <w:pPr>
              <w:pStyle w:val="style0"/>
              <w:jc w:val="left"/>
              <w:rPr>
                <w:rFonts w:cs="Arial" w:eastAsia="Times New Roman"/>
                <w:sz w:val="24"/>
                <w:szCs w:val="24"/>
              </w:rPr>
            </w:pPr>
            <w:r>
              <w:rPr>
                <w:rFonts w:cs="Arial" w:eastAsia="Times New Roman"/>
                <w:sz w:val="24"/>
                <w:szCs w:val="24"/>
              </w:rPr>
              <w:t>• Faster innovation cycles intensify competition.</w:t>
            </w:r>
          </w:p>
          <w:p>
            <w:pPr>
              <w:pStyle w:val="style0"/>
              <w:jc w:val="left"/>
              <w:rPr>
                <w:rFonts w:cs="Arial" w:eastAsia="Times New Roman"/>
                <w:sz w:val="24"/>
                <w:szCs w:val="24"/>
              </w:rPr>
            </w:pPr>
            <w:r>
              <w:rPr>
                <w:rFonts w:cs="Arial" w:eastAsia="Times New Roman"/>
                <w:sz w:val="24"/>
                <w:szCs w:val="24"/>
              </w:rPr>
              <w:t>• Software ecosystems are becoming key differentiators.</w:t>
            </w:r>
          </w:p>
        </w:tc>
      </w:tr>
      <w:tr>
        <w:tblPrEx/>
        <w:trPr>
          <w:jc w:val="center"/>
        </w:trPr>
        <w:tc>
          <w:tcPr>
            <w:tcW w:w="0" w:type="auto"/>
            <w:tcBorders/>
            <w:hideMark/>
          </w:tcPr>
          <w:p>
            <w:pPr>
              <w:pStyle w:val="style0"/>
              <w:jc w:val="left"/>
              <w:rPr>
                <w:rFonts w:cs="Arial" w:eastAsia="Times New Roman"/>
                <w:sz w:val="24"/>
                <w:szCs w:val="24"/>
              </w:rPr>
            </w:pPr>
            <w:r>
              <w:rPr>
                <w:rFonts w:cs="Arial" w:eastAsia="Times New Roman"/>
                <w:b/>
                <w:bCs/>
                <w:sz w:val="24"/>
                <w:szCs w:val="24"/>
              </w:rPr>
              <w:t>Environmental</w:t>
            </w:r>
          </w:p>
        </w:tc>
        <w:tc>
          <w:tcPr>
            <w:tcW w:w="0" w:type="auto"/>
            <w:tcBorders/>
            <w:hideMark/>
          </w:tcPr>
          <w:p>
            <w:pPr>
              <w:pStyle w:val="style0"/>
              <w:jc w:val="left"/>
              <w:rPr>
                <w:rFonts w:cs="Arial" w:eastAsia="Times New Roman"/>
                <w:sz w:val="24"/>
                <w:szCs w:val="24"/>
              </w:rPr>
            </w:pPr>
            <w:r>
              <w:rPr>
                <w:rFonts w:cs="Arial" w:eastAsia="Times New Roman"/>
                <w:sz w:val="24"/>
                <w:szCs w:val="24"/>
              </w:rPr>
              <w:t>• Carbon neutrality policies support EV demand.</w:t>
            </w:r>
          </w:p>
          <w:p>
            <w:pPr>
              <w:pStyle w:val="style0"/>
              <w:jc w:val="left"/>
              <w:rPr>
                <w:rFonts w:cs="Arial" w:eastAsia="Times New Roman"/>
                <w:sz w:val="24"/>
                <w:szCs w:val="24"/>
              </w:rPr>
            </w:pPr>
            <w:r>
              <w:rPr>
                <w:rFonts w:cs="Arial" w:eastAsia="Times New Roman"/>
                <w:sz w:val="24"/>
                <w:szCs w:val="24"/>
              </w:rPr>
              <w:t>• Greater focus on battery recycling.</w:t>
            </w:r>
          </w:p>
          <w:p>
            <w:pPr>
              <w:pStyle w:val="style0"/>
              <w:jc w:val="left"/>
              <w:rPr>
                <w:rFonts w:cs="Arial" w:eastAsia="Times New Roman"/>
                <w:sz w:val="24"/>
                <w:szCs w:val="24"/>
              </w:rPr>
            </w:pPr>
            <w:r>
              <w:rPr>
                <w:rFonts w:cs="Arial" w:eastAsia="Times New Roman"/>
                <w:sz w:val="24"/>
                <w:szCs w:val="24"/>
              </w:rPr>
              <w:t>• Increasing ESG expectations across supply chains.</w:t>
            </w:r>
          </w:p>
          <w:p>
            <w:pPr>
              <w:pStyle w:val="style0"/>
              <w:jc w:val="left"/>
              <w:rPr>
                <w:rFonts w:cs="Arial" w:eastAsia="Times New Roman"/>
                <w:sz w:val="24"/>
                <w:szCs w:val="24"/>
              </w:rPr>
            </w:pPr>
            <w:r>
              <w:rPr>
                <w:rFonts w:cs="Arial" w:eastAsia="Times New Roman"/>
                <w:sz w:val="24"/>
                <w:szCs w:val="24"/>
              </w:rPr>
              <w:t>• Sustainable sourcing is becoming more critical.</w:t>
            </w:r>
          </w:p>
        </w:tc>
      </w:tr>
      <w:tr>
        <w:tblPrEx/>
        <w:trPr>
          <w:jc w:val="center"/>
        </w:trPr>
        <w:tc>
          <w:tcPr>
            <w:tcW w:w="0" w:type="auto"/>
            <w:tcBorders/>
            <w:hideMark/>
          </w:tcPr>
          <w:p>
            <w:pPr>
              <w:pStyle w:val="style0"/>
              <w:jc w:val="left"/>
              <w:rPr>
                <w:rFonts w:cs="Arial" w:eastAsia="Times New Roman"/>
                <w:sz w:val="24"/>
                <w:szCs w:val="24"/>
              </w:rPr>
            </w:pPr>
            <w:r>
              <w:rPr>
                <w:rFonts w:cs="Arial" w:eastAsia="Times New Roman"/>
                <w:b/>
                <w:bCs/>
                <w:sz w:val="24"/>
                <w:szCs w:val="24"/>
              </w:rPr>
              <w:t>Legal</w:t>
            </w:r>
          </w:p>
        </w:tc>
        <w:tc>
          <w:tcPr>
            <w:tcW w:w="0" w:type="auto"/>
            <w:tcBorders/>
            <w:hideMark/>
          </w:tcPr>
          <w:p>
            <w:pPr>
              <w:pStyle w:val="style0"/>
              <w:jc w:val="left"/>
              <w:rPr>
                <w:rFonts w:cs="Arial" w:eastAsia="Times New Roman"/>
                <w:sz w:val="24"/>
                <w:szCs w:val="24"/>
              </w:rPr>
            </w:pPr>
            <w:r>
              <w:rPr>
                <w:rFonts w:cs="Arial" w:eastAsia="Times New Roman"/>
                <w:sz w:val="24"/>
                <w:szCs w:val="24"/>
              </w:rPr>
              <w:t>• Stricter autonomous driving regulations.</w:t>
            </w:r>
          </w:p>
          <w:p>
            <w:pPr>
              <w:pStyle w:val="style0"/>
              <w:jc w:val="left"/>
              <w:rPr>
                <w:rFonts w:cs="Arial" w:eastAsia="Times New Roman"/>
                <w:sz w:val="24"/>
                <w:szCs w:val="24"/>
              </w:rPr>
            </w:pPr>
            <w:r>
              <w:rPr>
                <w:rFonts w:cs="Arial" w:eastAsia="Times New Roman"/>
                <w:sz w:val="24"/>
                <w:szCs w:val="24"/>
              </w:rPr>
              <w:t>• Stronger cybersecurity and data localisation rules.</w:t>
            </w:r>
          </w:p>
          <w:p>
            <w:pPr>
              <w:pStyle w:val="style0"/>
              <w:jc w:val="left"/>
              <w:rPr>
                <w:rFonts w:cs="Arial" w:eastAsia="Times New Roman"/>
                <w:sz w:val="24"/>
                <w:szCs w:val="24"/>
              </w:rPr>
            </w:pPr>
            <w:r>
              <w:rPr>
                <w:rFonts w:cs="Arial" w:eastAsia="Times New Roman"/>
                <w:sz w:val="24"/>
                <w:szCs w:val="24"/>
              </w:rPr>
              <w:t>• Increasing compliance requirements.</w:t>
            </w:r>
          </w:p>
          <w:p>
            <w:pPr>
              <w:pStyle w:val="style0"/>
              <w:jc w:val="left"/>
              <w:rPr>
                <w:rFonts w:cs="Arial" w:eastAsia="Times New Roman"/>
                <w:sz w:val="24"/>
                <w:szCs w:val="24"/>
              </w:rPr>
            </w:pPr>
            <w:r>
              <w:rPr>
                <w:rFonts w:cs="Arial" w:eastAsia="Times New Roman"/>
                <w:sz w:val="24"/>
                <w:szCs w:val="24"/>
              </w:rPr>
              <w:t>• Higher regulatory risks for connected vehicles.</w:t>
            </w:r>
          </w:p>
        </w:tc>
      </w:tr>
    </w:tbl>
    <w:p>
      <w:pPr>
        <w:pStyle w:val="style0"/>
        <w:rPr>
          <w:b/>
          <w:i/>
        </w:rPr>
      </w:pPr>
    </w:p>
    <w:bookmarkStart w:id="26" w:name="_Toc234876940"/>
    <w:p>
      <w:pPr>
        <w:pStyle w:val="style2"/>
        <w:rPr/>
      </w:pPr>
      <w:r>
        <w:t>Appendix 2: VRIO Analysis of Tesla's Internal Resources</w:t>
      </w:r>
      <w:bookmarkEnd w:id="26"/>
    </w:p>
    <w:tbl>
      <w:tblPr>
        <w:tblStyle w:val="style154"/>
        <w:tblW w:w="0" w:type="auto"/>
        <w:tblLook w:val="04A0" w:firstRow="1" w:lastRow="0" w:firstColumn="1" w:lastColumn="0" w:noHBand="0" w:noVBand="1"/>
      </w:tblPr>
      <w:tblGrid>
        <w:gridCol w:w="2732"/>
        <w:gridCol w:w="1157"/>
        <w:gridCol w:w="1241"/>
        <w:gridCol w:w="1328"/>
        <w:gridCol w:w="1325"/>
        <w:gridCol w:w="1791"/>
      </w:tblGrid>
      <w:tr>
        <w:trPr/>
        <w:tc>
          <w:tcPr>
            <w:tcW w:w="0" w:type="auto"/>
            <w:tcBorders/>
            <w:hideMark/>
          </w:tcPr>
          <w:p>
            <w:pPr>
              <w:pStyle w:val="style0"/>
              <w:spacing w:after="200"/>
              <w:rPr>
                <w:b/>
                <w:bCs/>
              </w:rPr>
            </w:pPr>
            <w:r>
              <w:rPr>
                <w:b/>
                <w:bCs/>
              </w:rPr>
              <w:t>Resource/Capability</w:t>
            </w:r>
          </w:p>
        </w:tc>
        <w:tc>
          <w:tcPr>
            <w:tcW w:w="0" w:type="auto"/>
            <w:tcBorders/>
            <w:hideMark/>
          </w:tcPr>
          <w:p>
            <w:pPr>
              <w:pStyle w:val="style0"/>
              <w:spacing w:after="200"/>
              <w:jc w:val="center"/>
              <w:rPr>
                <w:b/>
                <w:bCs/>
              </w:rPr>
            </w:pPr>
            <w:r>
              <w:rPr>
                <w:b/>
                <w:bCs/>
              </w:rPr>
              <w:t>Valuable</w:t>
            </w:r>
          </w:p>
        </w:tc>
        <w:tc>
          <w:tcPr>
            <w:tcW w:w="0" w:type="auto"/>
            <w:tcBorders/>
            <w:hideMark/>
          </w:tcPr>
          <w:p>
            <w:pPr>
              <w:pStyle w:val="style0"/>
              <w:spacing w:after="200"/>
              <w:jc w:val="center"/>
              <w:rPr>
                <w:b/>
                <w:bCs/>
              </w:rPr>
            </w:pPr>
            <w:r>
              <w:rPr>
                <w:b/>
                <w:bCs/>
              </w:rPr>
              <w:t>Rare</w:t>
            </w:r>
          </w:p>
        </w:tc>
        <w:tc>
          <w:tcPr>
            <w:tcW w:w="0" w:type="auto"/>
            <w:tcBorders/>
            <w:hideMark/>
          </w:tcPr>
          <w:p>
            <w:pPr>
              <w:pStyle w:val="style0"/>
              <w:spacing w:after="200"/>
              <w:jc w:val="center"/>
              <w:rPr>
                <w:b/>
                <w:bCs/>
              </w:rPr>
            </w:pPr>
            <w:r>
              <w:rPr>
                <w:b/>
                <w:bCs/>
              </w:rPr>
              <w:t>Costly to Imitate</w:t>
            </w:r>
          </w:p>
        </w:tc>
        <w:tc>
          <w:tcPr>
            <w:tcW w:w="0" w:type="auto"/>
            <w:tcBorders/>
            <w:hideMark/>
          </w:tcPr>
          <w:p>
            <w:pPr>
              <w:pStyle w:val="style0"/>
              <w:spacing w:after="200"/>
              <w:jc w:val="center"/>
              <w:rPr>
                <w:b/>
                <w:bCs/>
              </w:rPr>
            </w:pPr>
            <w:r>
              <w:rPr>
                <w:b/>
                <w:bCs/>
              </w:rPr>
              <w:t>Organised</w:t>
            </w:r>
          </w:p>
        </w:tc>
        <w:tc>
          <w:tcPr>
            <w:tcW w:w="0" w:type="auto"/>
            <w:tcBorders/>
            <w:hideMark/>
          </w:tcPr>
          <w:p>
            <w:pPr>
              <w:pStyle w:val="style0"/>
              <w:spacing w:after="200"/>
              <w:rPr>
                <w:b/>
                <w:bCs/>
              </w:rPr>
            </w:pPr>
            <w:r>
              <w:rPr>
                <w:b/>
                <w:bCs/>
              </w:rPr>
              <w:t>Competitive Implication</w:t>
            </w:r>
          </w:p>
        </w:tc>
      </w:tr>
      <w:tr>
        <w:tblPrEx/>
        <w:trPr/>
        <w:tc>
          <w:tcPr>
            <w:tcW w:w="0" w:type="auto"/>
            <w:tcBorders/>
            <w:hideMark/>
          </w:tcPr>
          <w:p>
            <w:pPr>
              <w:pStyle w:val="style0"/>
              <w:spacing w:after="200"/>
              <w:rPr/>
            </w:pPr>
            <w:r>
              <w:t>Global brand reputation</w:t>
            </w:r>
          </w:p>
        </w:tc>
        <w:tc>
          <w:tcPr>
            <w:tcW w:w="0" w:type="auto"/>
            <w:tcBorders/>
            <w:hideMark/>
          </w:tcPr>
          <w:p>
            <w:pPr>
              <w:pStyle w:val="style0"/>
              <w:spacing w:after="200"/>
              <w:jc w:val="center"/>
              <w:rPr/>
            </w:pPr>
            <w:r>
              <w:rPr>
                <w:rFonts w:ascii="MS Gothic" w:cs="MS Gothic" w:eastAsia="MS Gothic" w:hAnsi="MS Gothic" w:hint="eastAsia"/>
              </w:rPr>
              <w:t>✓</w:t>
            </w:r>
          </w:p>
        </w:tc>
        <w:tc>
          <w:tcPr>
            <w:tcW w:w="0" w:type="auto"/>
            <w:tcBorders/>
            <w:hideMark/>
          </w:tcPr>
          <w:p>
            <w:pPr>
              <w:pStyle w:val="style0"/>
              <w:spacing w:after="200"/>
              <w:jc w:val="center"/>
              <w:rPr/>
            </w:pPr>
            <w:r>
              <w:rPr>
                <w:rFonts w:ascii="MS Gothic" w:cs="MS Gothic" w:eastAsia="MS Gothic" w:hAnsi="MS Gothic" w:hint="eastAsia"/>
              </w:rPr>
              <w:t>✓</w:t>
            </w:r>
          </w:p>
        </w:tc>
        <w:tc>
          <w:tcPr>
            <w:tcW w:w="0" w:type="auto"/>
            <w:tcBorders/>
            <w:hideMark/>
          </w:tcPr>
          <w:p>
            <w:pPr>
              <w:pStyle w:val="style0"/>
              <w:spacing w:after="200"/>
              <w:jc w:val="center"/>
              <w:rPr/>
            </w:pPr>
            <w:r>
              <w:rPr>
                <w:rFonts w:ascii="MS Gothic" w:cs="MS Gothic" w:eastAsia="MS Gothic" w:hAnsi="MS Gothic" w:hint="eastAsia"/>
              </w:rPr>
              <w:t>✓</w:t>
            </w:r>
          </w:p>
        </w:tc>
        <w:tc>
          <w:tcPr>
            <w:tcW w:w="0" w:type="auto"/>
            <w:tcBorders/>
            <w:hideMark/>
          </w:tcPr>
          <w:p>
            <w:pPr>
              <w:pStyle w:val="style0"/>
              <w:spacing w:after="200"/>
              <w:jc w:val="center"/>
              <w:rPr/>
            </w:pPr>
            <w:r>
              <w:rPr>
                <w:rFonts w:ascii="MS Gothic" w:cs="MS Gothic" w:eastAsia="MS Gothic" w:hAnsi="MS Gothic" w:hint="eastAsia"/>
              </w:rPr>
              <w:t>✓</w:t>
            </w:r>
          </w:p>
        </w:tc>
        <w:tc>
          <w:tcPr>
            <w:tcW w:w="0" w:type="auto"/>
            <w:tcBorders/>
            <w:hideMark/>
          </w:tcPr>
          <w:p>
            <w:pPr>
              <w:pStyle w:val="style0"/>
              <w:spacing w:after="200"/>
              <w:rPr/>
            </w:pPr>
            <w:r>
              <w:t>Sustained competitive advantage</w:t>
            </w:r>
          </w:p>
        </w:tc>
      </w:tr>
      <w:tr>
        <w:tblPrEx/>
        <w:trPr/>
        <w:tc>
          <w:tcPr>
            <w:tcW w:w="0" w:type="auto"/>
            <w:tcBorders/>
            <w:hideMark/>
          </w:tcPr>
          <w:p>
            <w:pPr>
              <w:pStyle w:val="style0"/>
              <w:spacing w:after="200"/>
              <w:rPr/>
            </w:pPr>
            <w:r>
              <w:t>Gigafactory Shanghai &amp; vertical integration</w:t>
            </w:r>
          </w:p>
        </w:tc>
        <w:tc>
          <w:tcPr>
            <w:tcW w:w="0" w:type="auto"/>
            <w:tcBorders/>
            <w:hideMark/>
          </w:tcPr>
          <w:p>
            <w:pPr>
              <w:pStyle w:val="style0"/>
              <w:spacing w:after="200"/>
              <w:jc w:val="center"/>
              <w:rPr/>
            </w:pPr>
            <w:r>
              <w:rPr>
                <w:rFonts w:ascii="MS Gothic" w:cs="MS Gothic" w:eastAsia="MS Gothic" w:hAnsi="MS Gothic" w:hint="eastAsia"/>
              </w:rPr>
              <w:t>✓</w:t>
            </w:r>
          </w:p>
        </w:tc>
        <w:tc>
          <w:tcPr>
            <w:tcW w:w="0" w:type="auto"/>
            <w:tcBorders/>
            <w:hideMark/>
          </w:tcPr>
          <w:p>
            <w:pPr>
              <w:pStyle w:val="style0"/>
              <w:spacing w:after="200"/>
              <w:jc w:val="center"/>
              <w:rPr/>
            </w:pPr>
            <w:r>
              <w:rPr>
                <w:rFonts w:ascii="MS Gothic" w:cs="MS Gothic" w:eastAsia="MS Gothic" w:hAnsi="MS Gothic" w:hint="eastAsia"/>
              </w:rPr>
              <w:t>✓</w:t>
            </w:r>
          </w:p>
        </w:tc>
        <w:tc>
          <w:tcPr>
            <w:tcW w:w="0" w:type="auto"/>
            <w:tcBorders/>
            <w:hideMark/>
          </w:tcPr>
          <w:p>
            <w:pPr>
              <w:pStyle w:val="style0"/>
              <w:spacing w:after="200"/>
              <w:jc w:val="center"/>
              <w:rPr/>
            </w:pPr>
            <w:r>
              <w:t>Moderate</w:t>
            </w:r>
          </w:p>
        </w:tc>
        <w:tc>
          <w:tcPr>
            <w:tcW w:w="0" w:type="auto"/>
            <w:tcBorders/>
            <w:hideMark/>
          </w:tcPr>
          <w:p>
            <w:pPr>
              <w:pStyle w:val="style0"/>
              <w:spacing w:after="200"/>
              <w:jc w:val="center"/>
              <w:rPr/>
            </w:pPr>
            <w:r>
              <w:rPr>
                <w:rFonts w:ascii="MS Gothic" w:cs="MS Gothic" w:eastAsia="MS Gothic" w:hAnsi="MS Gothic" w:hint="eastAsia"/>
              </w:rPr>
              <w:t>✓</w:t>
            </w:r>
          </w:p>
        </w:tc>
        <w:tc>
          <w:tcPr>
            <w:tcW w:w="0" w:type="auto"/>
            <w:tcBorders/>
            <w:hideMark/>
          </w:tcPr>
          <w:p>
            <w:pPr>
              <w:pStyle w:val="style0"/>
              <w:spacing w:after="200"/>
              <w:rPr/>
            </w:pPr>
            <w:r>
              <w:t>Strong competitive advantage</w:t>
            </w:r>
          </w:p>
        </w:tc>
      </w:tr>
      <w:tr>
        <w:tblPrEx/>
        <w:trPr/>
        <w:tc>
          <w:tcPr>
            <w:tcW w:w="0" w:type="auto"/>
            <w:tcBorders/>
            <w:hideMark/>
          </w:tcPr>
          <w:p>
            <w:pPr>
              <w:pStyle w:val="style0"/>
              <w:spacing w:after="200"/>
              <w:rPr/>
            </w:pPr>
            <w:r>
              <w:t>AI, software and OTA capabilities</w:t>
            </w:r>
          </w:p>
        </w:tc>
        <w:tc>
          <w:tcPr>
            <w:tcW w:w="0" w:type="auto"/>
            <w:tcBorders/>
            <w:hideMark/>
          </w:tcPr>
          <w:p>
            <w:pPr>
              <w:pStyle w:val="style0"/>
              <w:spacing w:after="200"/>
              <w:jc w:val="center"/>
              <w:rPr/>
            </w:pPr>
            <w:r>
              <w:rPr>
                <w:rFonts w:ascii="MS Gothic" w:cs="MS Gothic" w:eastAsia="MS Gothic" w:hAnsi="MS Gothic" w:hint="eastAsia"/>
              </w:rPr>
              <w:t>✓</w:t>
            </w:r>
          </w:p>
        </w:tc>
        <w:tc>
          <w:tcPr>
            <w:tcW w:w="0" w:type="auto"/>
            <w:tcBorders/>
            <w:hideMark/>
          </w:tcPr>
          <w:p>
            <w:pPr>
              <w:pStyle w:val="style0"/>
              <w:spacing w:after="200"/>
              <w:jc w:val="center"/>
              <w:rPr/>
            </w:pPr>
            <w:r>
              <w:rPr>
                <w:rFonts w:ascii="MS Gothic" w:cs="MS Gothic" w:eastAsia="MS Gothic" w:hAnsi="MS Gothic" w:hint="eastAsia"/>
              </w:rPr>
              <w:t>✓</w:t>
            </w:r>
          </w:p>
        </w:tc>
        <w:tc>
          <w:tcPr>
            <w:tcW w:w="0" w:type="auto"/>
            <w:tcBorders/>
            <w:hideMark/>
          </w:tcPr>
          <w:p>
            <w:pPr>
              <w:pStyle w:val="style0"/>
              <w:spacing w:after="200"/>
              <w:jc w:val="center"/>
              <w:rPr/>
            </w:pPr>
            <w:r>
              <w:rPr>
                <w:rFonts w:ascii="MS Gothic" w:cs="MS Gothic" w:eastAsia="MS Gothic" w:hAnsi="MS Gothic" w:hint="eastAsia"/>
              </w:rPr>
              <w:t>✓</w:t>
            </w:r>
          </w:p>
        </w:tc>
        <w:tc>
          <w:tcPr>
            <w:tcW w:w="0" w:type="auto"/>
            <w:tcBorders/>
            <w:hideMark/>
          </w:tcPr>
          <w:p>
            <w:pPr>
              <w:pStyle w:val="style0"/>
              <w:spacing w:after="200"/>
              <w:jc w:val="center"/>
              <w:rPr/>
            </w:pPr>
            <w:r>
              <w:rPr>
                <w:rFonts w:ascii="MS Gothic" w:cs="MS Gothic" w:eastAsia="MS Gothic" w:hAnsi="MS Gothic" w:hint="eastAsia"/>
              </w:rPr>
              <w:t>✓</w:t>
            </w:r>
          </w:p>
        </w:tc>
        <w:tc>
          <w:tcPr>
            <w:tcW w:w="0" w:type="auto"/>
            <w:tcBorders/>
            <w:hideMark/>
          </w:tcPr>
          <w:p>
            <w:pPr>
              <w:pStyle w:val="style0"/>
              <w:spacing w:after="200"/>
              <w:rPr/>
            </w:pPr>
            <w:r>
              <w:t>Sustained competitive advantage</w:t>
            </w:r>
          </w:p>
        </w:tc>
      </w:tr>
      <w:tr>
        <w:tblPrEx/>
        <w:trPr/>
        <w:tc>
          <w:tcPr>
            <w:tcW w:w="0" w:type="auto"/>
            <w:tcBorders/>
            <w:hideMark/>
          </w:tcPr>
          <w:p>
            <w:pPr>
              <w:pStyle w:val="style0"/>
              <w:spacing w:after="200"/>
              <w:rPr/>
            </w:pPr>
            <w:r>
              <w:t>Manufacturing scale and operational efficiency</w:t>
            </w:r>
          </w:p>
        </w:tc>
        <w:tc>
          <w:tcPr>
            <w:tcW w:w="0" w:type="auto"/>
            <w:tcBorders/>
            <w:hideMark/>
          </w:tcPr>
          <w:p>
            <w:pPr>
              <w:pStyle w:val="style0"/>
              <w:spacing w:after="200"/>
              <w:jc w:val="center"/>
              <w:rPr/>
            </w:pPr>
            <w:r>
              <w:rPr>
                <w:rFonts w:ascii="MS Gothic" w:cs="MS Gothic" w:eastAsia="MS Gothic" w:hAnsi="MS Gothic" w:hint="eastAsia"/>
              </w:rPr>
              <w:t>✓</w:t>
            </w:r>
          </w:p>
        </w:tc>
        <w:tc>
          <w:tcPr>
            <w:tcW w:w="0" w:type="auto"/>
            <w:tcBorders/>
            <w:hideMark/>
          </w:tcPr>
          <w:p>
            <w:pPr>
              <w:pStyle w:val="style0"/>
              <w:spacing w:after="200"/>
              <w:jc w:val="center"/>
              <w:rPr/>
            </w:pPr>
            <w:r>
              <w:t>Moderate</w:t>
            </w:r>
          </w:p>
        </w:tc>
        <w:tc>
          <w:tcPr>
            <w:tcW w:w="0" w:type="auto"/>
            <w:tcBorders/>
            <w:hideMark/>
          </w:tcPr>
          <w:p>
            <w:pPr>
              <w:pStyle w:val="style0"/>
              <w:spacing w:after="200"/>
              <w:jc w:val="center"/>
              <w:rPr/>
            </w:pPr>
            <w:r>
              <w:t>Moderate</w:t>
            </w:r>
          </w:p>
        </w:tc>
        <w:tc>
          <w:tcPr>
            <w:tcW w:w="0" w:type="auto"/>
            <w:tcBorders/>
            <w:hideMark/>
          </w:tcPr>
          <w:p>
            <w:pPr>
              <w:pStyle w:val="style0"/>
              <w:spacing w:after="200"/>
              <w:jc w:val="center"/>
              <w:rPr/>
            </w:pPr>
            <w:r>
              <w:rPr>
                <w:rFonts w:ascii="MS Gothic" w:cs="MS Gothic" w:eastAsia="MS Gothic" w:hAnsi="MS Gothic" w:hint="eastAsia"/>
              </w:rPr>
              <w:t>✓</w:t>
            </w:r>
          </w:p>
        </w:tc>
        <w:tc>
          <w:tcPr>
            <w:tcW w:w="0" w:type="auto"/>
            <w:tcBorders/>
            <w:hideMark/>
          </w:tcPr>
          <w:p>
            <w:pPr>
              <w:pStyle w:val="style0"/>
              <w:spacing w:after="200"/>
              <w:rPr/>
            </w:pPr>
            <w:r>
              <w:t>Temporary competitive advantage</w:t>
            </w:r>
          </w:p>
        </w:tc>
      </w:tr>
      <w:tr>
        <w:tblPrEx/>
        <w:trPr/>
        <w:tc>
          <w:tcPr>
            <w:tcW w:w="0" w:type="auto"/>
            <w:tcBorders/>
            <w:hideMark/>
          </w:tcPr>
          <w:p>
            <w:pPr>
              <w:pStyle w:val="style0"/>
              <w:spacing w:after="200"/>
              <w:rPr/>
            </w:pPr>
            <w:r>
              <w:t>Product portfolio concentration</w:t>
            </w:r>
          </w:p>
        </w:tc>
        <w:tc>
          <w:tcPr>
            <w:tcW w:w="0" w:type="auto"/>
            <w:tcBorders/>
            <w:hideMark/>
          </w:tcPr>
          <w:p>
            <w:pPr>
              <w:pStyle w:val="style0"/>
              <w:spacing w:after="200"/>
              <w:jc w:val="center"/>
              <w:rPr/>
            </w:pPr>
            <w:r>
              <w:rPr>
                <w:rFonts w:ascii="MS Gothic" w:cs="MS Gothic" w:eastAsia="MS Gothic" w:hAnsi="MS Gothic" w:hint="eastAsia"/>
              </w:rPr>
              <w:t>✗</w:t>
            </w:r>
          </w:p>
        </w:tc>
        <w:tc>
          <w:tcPr>
            <w:tcW w:w="0" w:type="auto"/>
            <w:tcBorders/>
            <w:hideMark/>
          </w:tcPr>
          <w:p>
            <w:pPr>
              <w:pStyle w:val="style0"/>
              <w:spacing w:after="200"/>
              <w:jc w:val="center"/>
              <w:rPr/>
            </w:pPr>
            <w:r>
              <w:rPr>
                <w:rFonts w:ascii="MS Gothic" w:cs="MS Gothic" w:eastAsia="MS Gothic" w:hAnsi="MS Gothic" w:hint="eastAsia"/>
              </w:rPr>
              <w:t>✗</w:t>
            </w:r>
          </w:p>
        </w:tc>
        <w:tc>
          <w:tcPr>
            <w:tcW w:w="0" w:type="auto"/>
            <w:tcBorders/>
            <w:hideMark/>
          </w:tcPr>
          <w:p>
            <w:pPr>
              <w:pStyle w:val="style0"/>
              <w:spacing w:after="200"/>
              <w:jc w:val="center"/>
              <w:rPr/>
            </w:pPr>
            <w:r>
              <w:rPr>
                <w:rFonts w:ascii="MS Gothic" w:cs="MS Gothic" w:eastAsia="MS Gothic" w:hAnsi="MS Gothic" w:hint="eastAsia"/>
              </w:rPr>
              <w:t>✗</w:t>
            </w:r>
          </w:p>
        </w:tc>
        <w:tc>
          <w:tcPr>
            <w:tcW w:w="0" w:type="auto"/>
            <w:tcBorders/>
            <w:hideMark/>
          </w:tcPr>
          <w:p>
            <w:pPr>
              <w:pStyle w:val="style0"/>
              <w:spacing w:after="200"/>
              <w:jc w:val="center"/>
              <w:rPr/>
            </w:pPr>
            <w:r>
              <w:rPr>
                <w:rFonts w:ascii="MS Gothic" w:cs="MS Gothic" w:eastAsia="MS Gothic" w:hAnsi="MS Gothic" w:hint="eastAsia"/>
              </w:rPr>
              <w:t>✗</w:t>
            </w:r>
          </w:p>
        </w:tc>
        <w:tc>
          <w:tcPr>
            <w:tcW w:w="0" w:type="auto"/>
            <w:tcBorders/>
            <w:hideMark/>
          </w:tcPr>
          <w:p>
            <w:pPr>
              <w:pStyle w:val="style0"/>
              <w:spacing w:after="200"/>
              <w:rPr/>
            </w:pPr>
            <w:r>
              <w:t>Competitive weakness</w:t>
            </w:r>
          </w:p>
        </w:tc>
      </w:tr>
    </w:tbl>
    <w:p>
      <w:pPr>
        <w:pStyle w:val="style0"/>
        <w:rPr/>
      </w:pPr>
    </w:p>
    <w:p>
      <w:pPr>
        <w:pStyle w:val="style0"/>
        <w:spacing w:lineRule="auto" w:line="276"/>
        <w:jc w:val="left"/>
        <w:rPr>
          <w:rFonts w:cs="宋体" w:eastAsia="宋体"/>
          <w:b/>
          <w:bCs/>
          <w:sz w:val="26"/>
          <w:szCs w:val="26"/>
        </w:rPr>
      </w:pPr>
      <w:r>
        <w:br w:type="page"/>
      </w:r>
    </w:p>
    <w:bookmarkStart w:id="27" w:name="_Toc234876941"/>
    <w:p>
      <w:pPr>
        <w:pStyle w:val="style2"/>
        <w:rPr/>
      </w:pPr>
      <w:r>
        <w:t>Appendix 3: SWOT Analysis of Tesla's Passenger EV Business in China</w:t>
      </w:r>
      <w:bookmarkEnd w:id="27"/>
    </w:p>
    <w:tbl>
      <w:tblPr>
        <w:tblStyle w:val="style154"/>
        <w:tblW w:w="0" w:type="auto"/>
        <w:jc w:val="center"/>
        <w:tblLook w:val="04A0" w:firstRow="1" w:lastRow="0" w:firstColumn="1" w:lastColumn="0" w:noHBand="0" w:noVBand="1"/>
      </w:tblPr>
      <w:tblGrid>
        <w:gridCol w:w="4624"/>
        <w:gridCol w:w="4951"/>
      </w:tblGrid>
      <w:tr>
        <w:trPr>
          <w:jc w:val="center"/>
        </w:trPr>
        <w:tc>
          <w:tcPr>
            <w:tcW w:w="0" w:type="auto"/>
            <w:tcBorders/>
            <w:hideMark/>
          </w:tcPr>
          <w:p>
            <w:pPr>
              <w:pStyle w:val="style0"/>
              <w:spacing w:after="200"/>
              <w:jc w:val="center"/>
              <w:rPr>
                <w:b/>
                <w:bCs/>
              </w:rPr>
            </w:pPr>
            <w:r>
              <w:rPr>
                <w:b/>
                <w:bCs/>
              </w:rPr>
              <w:t>Strengths (Internal)</w:t>
            </w:r>
          </w:p>
        </w:tc>
        <w:tc>
          <w:tcPr>
            <w:tcW w:w="0" w:type="auto"/>
            <w:tcBorders/>
            <w:hideMark/>
          </w:tcPr>
          <w:p>
            <w:pPr>
              <w:pStyle w:val="style0"/>
              <w:spacing w:after="200"/>
              <w:jc w:val="center"/>
              <w:rPr>
                <w:b/>
                <w:bCs/>
              </w:rPr>
            </w:pPr>
            <w:r>
              <w:rPr>
                <w:b/>
                <w:bCs/>
              </w:rPr>
              <w:t>Weaknesses (Internal)</w:t>
            </w:r>
          </w:p>
        </w:tc>
      </w:tr>
      <w:tr>
        <w:tblPrEx/>
        <w:trPr>
          <w:trHeight w:val="3866" w:hRule="atLeast"/>
          <w:jc w:val="center"/>
        </w:trPr>
        <w:tc>
          <w:tcPr>
            <w:tcW w:w="0" w:type="auto"/>
            <w:tcBorders/>
            <w:hideMark/>
          </w:tcPr>
          <w:p>
            <w:pPr>
              <w:pStyle w:val="style179"/>
              <w:numPr>
                <w:ilvl w:val="0"/>
                <w:numId w:val="1"/>
              </w:numPr>
              <w:rPr/>
            </w:pPr>
            <w:r>
              <w:t>Globally recognised premium EV brand with strong customer loyalty</w:t>
            </w:r>
          </w:p>
          <w:p>
            <w:pPr>
              <w:pStyle w:val="style179"/>
              <w:numPr>
                <w:ilvl w:val="0"/>
                <w:numId w:val="1"/>
              </w:numPr>
              <w:rPr/>
            </w:pPr>
            <w:r>
              <w:t>Advanced AI, Full Self-Driving (FSD) and over-the-air (OTA) software capabilities</w:t>
            </w:r>
          </w:p>
          <w:p>
            <w:pPr>
              <w:pStyle w:val="style179"/>
              <w:numPr>
                <w:ilvl w:val="0"/>
                <w:numId w:val="1"/>
              </w:numPr>
              <w:rPr/>
            </w:pPr>
            <w:r>
              <w:t>Gigafactory Shanghai provides cost efficiency and supply chain integration</w:t>
            </w:r>
          </w:p>
          <w:p>
            <w:pPr>
              <w:pStyle w:val="style179"/>
              <w:numPr>
                <w:ilvl w:val="0"/>
                <w:numId w:val="1"/>
              </w:numPr>
              <w:rPr/>
            </w:pPr>
            <w:r>
              <w:t>Vertically integrated business model and proprietary charging ecosystem</w:t>
            </w:r>
          </w:p>
        </w:tc>
        <w:tc>
          <w:tcPr>
            <w:tcW w:w="0" w:type="auto"/>
            <w:tcBorders/>
            <w:hideMark/>
          </w:tcPr>
          <w:p>
            <w:pPr>
              <w:pStyle w:val="style179"/>
              <w:numPr>
                <w:ilvl w:val="0"/>
                <w:numId w:val="2"/>
              </w:numPr>
              <w:rPr/>
            </w:pPr>
            <w:r>
              <w:t>Premium pricing increases sensitivity to China's EV price war</w:t>
            </w:r>
          </w:p>
          <w:p>
            <w:pPr>
              <w:pStyle w:val="style179"/>
              <w:numPr>
                <w:ilvl w:val="0"/>
                <w:numId w:val="2"/>
              </w:numPr>
              <w:rPr/>
            </w:pPr>
            <w:r>
              <w:t>Limited presence in the affordable mass-market EV segment</w:t>
            </w:r>
          </w:p>
          <w:p>
            <w:pPr>
              <w:pStyle w:val="style179"/>
              <w:numPr>
                <w:ilvl w:val="0"/>
                <w:numId w:val="2"/>
              </w:numPr>
              <w:rPr/>
            </w:pPr>
            <w:r>
              <w:t>Heavy dependence on China for manufacturing and exports</w:t>
            </w:r>
          </w:p>
          <w:p>
            <w:pPr>
              <w:pStyle w:val="style179"/>
              <w:numPr>
                <w:ilvl w:val="0"/>
                <w:numId w:val="2"/>
              </w:numPr>
              <w:rPr/>
            </w:pPr>
            <w:r>
              <w:t>Leadership concentration and reputational risks associated with senior management</w:t>
            </w:r>
          </w:p>
        </w:tc>
      </w:tr>
      <w:tr>
        <w:tblPrEx/>
        <w:trPr>
          <w:jc w:val="center"/>
        </w:trPr>
        <w:tc>
          <w:tcPr>
            <w:tcW w:w="0" w:type="auto"/>
            <w:tcBorders/>
            <w:hideMark/>
          </w:tcPr>
          <w:p>
            <w:pPr>
              <w:pStyle w:val="style0"/>
              <w:spacing w:after="200"/>
              <w:jc w:val="center"/>
              <w:rPr>
                <w:b/>
                <w:bCs/>
              </w:rPr>
            </w:pPr>
            <w:r>
              <w:rPr>
                <w:b/>
                <w:bCs/>
              </w:rPr>
              <w:t>Opportunities (External)</w:t>
            </w:r>
          </w:p>
        </w:tc>
        <w:tc>
          <w:tcPr>
            <w:tcW w:w="0" w:type="auto"/>
            <w:tcBorders/>
            <w:hideMark/>
          </w:tcPr>
          <w:p>
            <w:pPr>
              <w:pStyle w:val="style0"/>
              <w:spacing w:after="200"/>
              <w:jc w:val="center"/>
              <w:rPr>
                <w:b/>
                <w:bCs/>
              </w:rPr>
            </w:pPr>
            <w:r>
              <w:rPr>
                <w:b/>
                <w:bCs/>
              </w:rPr>
              <w:t>Threats (External)</w:t>
            </w:r>
          </w:p>
        </w:tc>
      </w:tr>
      <w:tr>
        <w:tblPrEx/>
        <w:trPr>
          <w:trHeight w:val="3866" w:hRule="atLeast"/>
          <w:jc w:val="center"/>
        </w:trPr>
        <w:tc>
          <w:tcPr>
            <w:tcW w:w="0" w:type="auto"/>
            <w:tcBorders/>
            <w:hideMark/>
          </w:tcPr>
          <w:p>
            <w:pPr>
              <w:pStyle w:val="style179"/>
              <w:numPr>
                <w:ilvl w:val="0"/>
                <w:numId w:val="3"/>
              </w:numPr>
              <w:rPr/>
            </w:pPr>
            <w:r>
              <w:t>Continued growth of China's New Energy Vehicle (NEV) market</w:t>
            </w:r>
          </w:p>
          <w:p>
            <w:pPr>
              <w:pStyle w:val="style179"/>
              <w:numPr>
                <w:ilvl w:val="0"/>
                <w:numId w:val="3"/>
              </w:numPr>
              <w:rPr/>
            </w:pPr>
            <w:r>
              <w:t>Increasing demand for AI-enabled and connected mobility solutions</w:t>
            </w:r>
          </w:p>
          <w:p>
            <w:pPr>
              <w:pStyle w:val="style179"/>
              <w:numPr>
                <w:ilvl w:val="0"/>
                <w:numId w:val="3"/>
              </w:numPr>
              <w:rPr/>
            </w:pPr>
            <w:r>
              <w:t>Government carbon neutrality targets and EV policy support</w:t>
            </w:r>
          </w:p>
          <w:p>
            <w:pPr>
              <w:pStyle w:val="style179"/>
              <w:numPr>
                <w:ilvl w:val="0"/>
                <w:numId w:val="3"/>
              </w:numPr>
              <w:rPr/>
            </w:pPr>
            <w:r>
              <w:t>Advances in battery technology and renewable energy integration</w:t>
            </w:r>
          </w:p>
        </w:tc>
        <w:tc>
          <w:tcPr>
            <w:tcW w:w="0" w:type="auto"/>
            <w:tcBorders/>
            <w:hideMark/>
          </w:tcPr>
          <w:p>
            <w:pPr>
              <w:pStyle w:val="style179"/>
              <w:numPr>
                <w:ilvl w:val="0"/>
                <w:numId w:val="3"/>
              </w:numPr>
              <w:rPr/>
            </w:pPr>
            <w:r>
              <w:t>Intensifying competition from BYD, NIO, XPeng and Li Auto</w:t>
            </w:r>
          </w:p>
          <w:p>
            <w:pPr>
              <w:pStyle w:val="style179"/>
              <w:numPr>
                <w:ilvl w:val="0"/>
                <w:numId w:val="3"/>
              </w:numPr>
              <w:rPr/>
            </w:pPr>
            <w:r>
              <w:t>Aggressive price competition reducing industry profitability</w:t>
            </w:r>
          </w:p>
          <w:p>
            <w:pPr>
              <w:pStyle w:val="style179"/>
              <w:numPr>
                <w:ilvl w:val="0"/>
                <w:numId w:val="3"/>
              </w:numPr>
              <w:rPr/>
            </w:pPr>
            <w:r>
              <w:t>Stricter regulations on autonomous driving, cybersecurity and data security</w:t>
            </w:r>
          </w:p>
          <w:p>
            <w:pPr>
              <w:pStyle w:val="style179"/>
              <w:numPr>
                <w:ilvl w:val="0"/>
                <w:numId w:val="3"/>
              </w:numPr>
              <w:rPr/>
            </w:pPr>
            <w:r>
              <w:t>US–China geopolitical tensions and supply chain disruptions</w:t>
            </w:r>
          </w:p>
        </w:tc>
      </w:tr>
    </w:tbl>
    <w:p>
      <w:pPr>
        <w:pStyle w:val="style0"/>
        <w:rPr/>
      </w:pPr>
    </w:p>
    <w:p>
      <w:pPr>
        <w:pStyle w:val="style0"/>
        <w:spacing w:lineRule="auto" w:line="276"/>
        <w:jc w:val="left"/>
        <w:rPr>
          <w:b/>
          <w:i/>
        </w:rPr>
      </w:pPr>
      <w:r>
        <w:rPr>
          <w:b/>
          <w:i/>
        </w:rPr>
        <w:br w:type="page"/>
      </w:r>
    </w:p>
    <w:bookmarkStart w:id="28" w:name="_Toc234876942"/>
    <w:p>
      <w:pPr>
        <w:pStyle w:val="style2"/>
        <w:rPr/>
      </w:pPr>
      <w:r>
        <w:t>Appendix 4: Balanced Scorecard for Tesla's Passenger EV Business in China</w:t>
      </w:r>
      <w:bookmarkEnd w:id="28"/>
    </w:p>
    <w:tbl>
      <w:tblPr>
        <w:tblStyle w:val="style154"/>
        <w:tblW w:w="0" w:type="auto"/>
        <w:tblLook w:val="04A0" w:firstRow="1" w:lastRow="0" w:firstColumn="1" w:lastColumn="0" w:noHBand="0" w:noVBand="1"/>
      </w:tblPr>
      <w:tblGrid>
        <w:gridCol w:w="1721"/>
        <w:gridCol w:w="2027"/>
        <w:gridCol w:w="1555"/>
        <w:gridCol w:w="1967"/>
        <w:gridCol w:w="2304"/>
      </w:tblGrid>
      <w:tr>
        <w:trPr/>
        <w:tc>
          <w:tcPr>
            <w:tcW w:w="0" w:type="auto"/>
            <w:tcBorders/>
            <w:hideMark/>
          </w:tcPr>
          <w:p>
            <w:pPr>
              <w:pStyle w:val="style0"/>
              <w:spacing w:after="200"/>
              <w:jc w:val="center"/>
              <w:rPr>
                <w:b/>
                <w:bCs/>
              </w:rPr>
            </w:pPr>
            <w:r>
              <w:rPr>
                <w:b/>
                <w:bCs/>
              </w:rPr>
              <w:t>Perspective</w:t>
            </w:r>
          </w:p>
        </w:tc>
        <w:tc>
          <w:tcPr>
            <w:tcW w:w="0" w:type="auto"/>
            <w:tcBorders/>
            <w:hideMark/>
          </w:tcPr>
          <w:p>
            <w:pPr>
              <w:pStyle w:val="style0"/>
              <w:spacing w:after="200"/>
              <w:jc w:val="center"/>
              <w:rPr>
                <w:b/>
                <w:bCs/>
              </w:rPr>
            </w:pPr>
            <w:r>
              <w:rPr>
                <w:b/>
                <w:bCs/>
              </w:rPr>
              <w:t>Strategic Objectives</w:t>
            </w:r>
          </w:p>
        </w:tc>
        <w:tc>
          <w:tcPr>
            <w:tcW w:w="0" w:type="auto"/>
            <w:tcBorders/>
            <w:hideMark/>
          </w:tcPr>
          <w:p>
            <w:pPr>
              <w:pStyle w:val="style0"/>
              <w:spacing w:after="200"/>
              <w:jc w:val="center"/>
              <w:rPr>
                <w:b/>
                <w:bCs/>
              </w:rPr>
            </w:pPr>
            <w:r>
              <w:rPr>
                <w:b/>
                <w:bCs/>
              </w:rPr>
              <w:t>KPIs</w:t>
            </w:r>
          </w:p>
        </w:tc>
        <w:tc>
          <w:tcPr>
            <w:tcW w:w="0" w:type="auto"/>
            <w:tcBorders/>
            <w:hideMark/>
          </w:tcPr>
          <w:p>
            <w:pPr>
              <w:pStyle w:val="style0"/>
              <w:spacing w:after="200"/>
              <w:jc w:val="center"/>
              <w:rPr>
                <w:b/>
                <w:bCs/>
              </w:rPr>
            </w:pPr>
            <w:r>
              <w:rPr>
                <w:b/>
                <w:bCs/>
              </w:rPr>
              <w:t>Targets</w:t>
            </w:r>
          </w:p>
        </w:tc>
        <w:tc>
          <w:tcPr>
            <w:tcW w:w="0" w:type="auto"/>
            <w:tcBorders/>
            <w:hideMark/>
          </w:tcPr>
          <w:p>
            <w:pPr>
              <w:pStyle w:val="style0"/>
              <w:spacing w:after="200"/>
              <w:jc w:val="center"/>
              <w:rPr>
                <w:b/>
                <w:bCs/>
              </w:rPr>
            </w:pPr>
            <w:r>
              <w:rPr>
                <w:b/>
                <w:bCs/>
              </w:rPr>
              <w:t>Strategic Initiatives</w:t>
            </w:r>
          </w:p>
        </w:tc>
      </w:tr>
      <w:tr>
        <w:tblPrEx/>
        <w:trPr/>
        <w:tc>
          <w:tcPr>
            <w:tcW w:w="0" w:type="auto"/>
            <w:tcBorders/>
            <w:hideMark/>
          </w:tcPr>
          <w:p>
            <w:pPr>
              <w:pStyle w:val="style0"/>
              <w:spacing w:after="200"/>
              <w:rPr/>
            </w:pPr>
            <w:r>
              <w:rPr>
                <w:b/>
                <w:bCs/>
              </w:rPr>
              <w:t>Financial</w:t>
            </w:r>
          </w:p>
        </w:tc>
        <w:tc>
          <w:tcPr>
            <w:tcW w:w="0" w:type="auto"/>
            <w:tcBorders/>
            <w:hideMark/>
          </w:tcPr>
          <w:p>
            <w:pPr>
              <w:pStyle w:val="style0"/>
              <w:spacing w:after="200"/>
              <w:rPr/>
            </w:pPr>
            <w:r>
              <w:t>Improve sustainable profitability and market growth</w:t>
            </w:r>
          </w:p>
        </w:tc>
        <w:tc>
          <w:tcPr>
            <w:tcW w:w="0" w:type="auto"/>
            <w:tcBorders/>
            <w:hideMark/>
          </w:tcPr>
          <w:p>
            <w:pPr>
              <w:pStyle w:val="style0"/>
              <w:spacing w:after="200"/>
              <w:rPr/>
            </w:pPr>
            <w:r>
              <w:t>• Revenue growth (%)</w:t>
            </w:r>
            <w:r>
              <w:br/>
            </w:r>
            <w:r>
              <w:t>• Automotive gross margin (%)</w:t>
            </w:r>
            <w:r>
              <w:br/>
            </w:r>
            <w:r>
              <w:t>• ROIC</w:t>
            </w:r>
          </w:p>
        </w:tc>
        <w:tc>
          <w:tcPr>
            <w:tcW w:w="0" w:type="auto"/>
            <w:tcBorders/>
            <w:hideMark/>
          </w:tcPr>
          <w:p>
            <w:pPr>
              <w:pStyle w:val="style0"/>
              <w:spacing w:after="200"/>
              <w:rPr/>
            </w:pPr>
            <w:r>
              <w:t>• Revenue growth &gt;10%</w:t>
            </w:r>
            <w:r>
              <w:br/>
            </w:r>
            <w:r>
              <w:t>• Gross margin &gt;20%</w:t>
            </w:r>
            <w:r>
              <w:br/>
            </w:r>
            <w:r>
              <w:t>• Positive ROIC</w:t>
            </w:r>
          </w:p>
        </w:tc>
        <w:tc>
          <w:tcPr>
            <w:tcW w:w="0" w:type="auto"/>
            <w:tcBorders/>
            <w:hideMark/>
          </w:tcPr>
          <w:p>
            <w:pPr>
              <w:pStyle w:val="style0"/>
              <w:spacing w:after="200"/>
              <w:rPr/>
            </w:pPr>
            <w:r>
              <w:t>• Increase software-based revenue (FSD, connectivity)</w:t>
            </w:r>
            <w:r>
              <w:br/>
            </w:r>
            <w:r>
              <w:t>• Improve manufacturing efficiency at Gigafactory Shanghai</w:t>
            </w:r>
          </w:p>
        </w:tc>
      </w:tr>
      <w:tr>
        <w:tblPrEx/>
        <w:trPr/>
        <w:tc>
          <w:tcPr>
            <w:tcW w:w="0" w:type="auto"/>
            <w:tcBorders/>
            <w:hideMark/>
          </w:tcPr>
          <w:p>
            <w:pPr>
              <w:pStyle w:val="style0"/>
              <w:spacing w:after="200"/>
              <w:rPr/>
            </w:pPr>
            <w:r>
              <w:rPr>
                <w:b/>
                <w:bCs/>
              </w:rPr>
              <w:t>Customer</w:t>
            </w:r>
          </w:p>
        </w:tc>
        <w:tc>
          <w:tcPr>
            <w:tcW w:w="0" w:type="auto"/>
            <w:tcBorders/>
            <w:hideMark/>
          </w:tcPr>
          <w:p>
            <w:pPr>
              <w:pStyle w:val="style0"/>
              <w:spacing w:after="200"/>
              <w:rPr/>
            </w:pPr>
            <w:r>
              <w:t>Strengthen customer satisfaction and loyalty</w:t>
            </w:r>
          </w:p>
        </w:tc>
        <w:tc>
          <w:tcPr>
            <w:tcW w:w="0" w:type="auto"/>
            <w:tcBorders/>
            <w:hideMark/>
          </w:tcPr>
          <w:p>
            <w:pPr>
              <w:pStyle w:val="style0"/>
              <w:spacing w:after="200"/>
              <w:rPr/>
            </w:pPr>
            <w:r>
              <w:t>• CSAT</w:t>
            </w:r>
            <w:r>
              <w:br/>
            </w:r>
            <w:r>
              <w:t>• Net Promoter Score (NPS)</w:t>
            </w:r>
            <w:r>
              <w:br/>
            </w:r>
            <w:r>
              <w:t>• Repeat purchase rate</w:t>
            </w:r>
          </w:p>
        </w:tc>
        <w:tc>
          <w:tcPr>
            <w:tcW w:w="0" w:type="auto"/>
            <w:tcBorders/>
            <w:hideMark/>
          </w:tcPr>
          <w:p>
            <w:pPr>
              <w:pStyle w:val="style0"/>
              <w:spacing w:after="200"/>
              <w:rPr/>
            </w:pPr>
            <w:r>
              <w:t>• CSAT &gt;90%</w:t>
            </w:r>
            <w:r>
              <w:br/>
            </w:r>
            <w:r>
              <w:t>• Higher NPS than competitors</w:t>
            </w:r>
            <w:r>
              <w:br/>
            </w:r>
            <w:r>
              <w:t>• Increased customer retention</w:t>
            </w:r>
          </w:p>
        </w:tc>
        <w:tc>
          <w:tcPr>
            <w:tcW w:w="0" w:type="auto"/>
            <w:tcBorders/>
            <w:hideMark/>
          </w:tcPr>
          <w:p>
            <w:pPr>
              <w:pStyle w:val="style0"/>
              <w:spacing w:after="200"/>
              <w:rPr/>
            </w:pPr>
            <w:r>
              <w:t>• Expand after-sales services</w:t>
            </w:r>
            <w:r>
              <w:br/>
            </w:r>
            <w:r>
              <w:t>• Improve OTA updates and digital experience</w:t>
            </w:r>
          </w:p>
        </w:tc>
      </w:tr>
      <w:tr>
        <w:tblPrEx/>
        <w:trPr/>
        <w:tc>
          <w:tcPr>
            <w:tcW w:w="0" w:type="auto"/>
            <w:tcBorders/>
            <w:hideMark/>
          </w:tcPr>
          <w:p>
            <w:pPr>
              <w:pStyle w:val="style0"/>
              <w:spacing w:after="200"/>
              <w:rPr/>
            </w:pPr>
            <w:r>
              <w:rPr>
                <w:b/>
                <w:bCs/>
              </w:rPr>
              <w:t>Internal Business Processes</w:t>
            </w:r>
          </w:p>
        </w:tc>
        <w:tc>
          <w:tcPr>
            <w:tcW w:w="0" w:type="auto"/>
            <w:tcBorders/>
            <w:hideMark/>
          </w:tcPr>
          <w:p>
            <w:pPr>
              <w:pStyle w:val="style0"/>
              <w:spacing w:after="200"/>
              <w:rPr/>
            </w:pPr>
            <w:r>
              <w:t>Improve operational efficiency and innovation</w:t>
            </w:r>
          </w:p>
        </w:tc>
        <w:tc>
          <w:tcPr>
            <w:tcW w:w="0" w:type="auto"/>
            <w:tcBorders/>
            <w:hideMark/>
          </w:tcPr>
          <w:p>
            <w:pPr>
              <w:pStyle w:val="style0"/>
              <w:spacing w:after="200"/>
              <w:rPr/>
            </w:pPr>
            <w:r>
              <w:t>• Production efficiency</w:t>
            </w:r>
            <w:r>
              <w:br/>
            </w:r>
            <w:r>
              <w:t>• Vehicle defect rate</w:t>
            </w:r>
            <w:r>
              <w:br/>
            </w:r>
            <w:r>
              <w:t>• Software update frequency</w:t>
            </w:r>
          </w:p>
        </w:tc>
        <w:tc>
          <w:tcPr>
            <w:tcW w:w="0" w:type="auto"/>
            <w:tcBorders/>
            <w:hideMark/>
          </w:tcPr>
          <w:p>
            <w:pPr>
              <w:pStyle w:val="style0"/>
              <w:spacing w:after="200"/>
              <w:rPr/>
            </w:pPr>
            <w:r>
              <w:t>• Lower manufacturing costs</w:t>
            </w:r>
            <w:r>
              <w:br/>
            </w:r>
            <w:r>
              <w:t>• Reduce defects</w:t>
            </w:r>
            <w:r>
              <w:br/>
            </w:r>
            <w:r>
              <w:t>• Faster software deployment</w:t>
            </w:r>
          </w:p>
        </w:tc>
        <w:tc>
          <w:tcPr>
            <w:tcW w:w="0" w:type="auto"/>
            <w:tcBorders/>
            <w:hideMark/>
          </w:tcPr>
          <w:p>
            <w:pPr>
              <w:pStyle w:val="style0"/>
              <w:spacing w:after="200"/>
              <w:rPr/>
            </w:pPr>
            <w:r>
              <w:t>• AI-enabled manufacturing</w:t>
            </w:r>
            <w:r>
              <w:br/>
            </w:r>
            <w:r>
              <w:t>• Battery innovation</w:t>
            </w:r>
            <w:r>
              <w:br/>
            </w:r>
            <w:r>
              <w:t>• Supply chain optimisation</w:t>
            </w:r>
          </w:p>
        </w:tc>
      </w:tr>
      <w:tr>
        <w:tblPrEx/>
        <w:trPr/>
        <w:tc>
          <w:tcPr>
            <w:tcW w:w="0" w:type="auto"/>
            <w:tcBorders/>
            <w:hideMark/>
          </w:tcPr>
          <w:p>
            <w:pPr>
              <w:pStyle w:val="style0"/>
              <w:spacing w:after="200"/>
              <w:rPr/>
            </w:pPr>
            <w:r>
              <w:rPr>
                <w:b/>
                <w:bCs/>
              </w:rPr>
              <w:t>Learning &amp; Growth</w:t>
            </w:r>
          </w:p>
        </w:tc>
        <w:tc>
          <w:tcPr>
            <w:tcW w:w="0" w:type="auto"/>
            <w:tcBorders/>
            <w:hideMark/>
          </w:tcPr>
          <w:p>
            <w:pPr>
              <w:pStyle w:val="style0"/>
              <w:spacing w:after="200"/>
              <w:rPr/>
            </w:pPr>
            <w:r>
              <w:t>Strengthen innovation capability and workforce skills</w:t>
            </w:r>
          </w:p>
        </w:tc>
        <w:tc>
          <w:tcPr>
            <w:tcW w:w="0" w:type="auto"/>
            <w:tcBorders/>
            <w:hideMark/>
          </w:tcPr>
          <w:p>
            <w:pPr>
              <w:pStyle w:val="style0"/>
              <w:rPr/>
            </w:pPr>
            <w:r>
              <w:t>• R&amp;D investment</w:t>
            </w:r>
            <w:r>
              <w:br/>
            </w:r>
            <w:r>
              <w:t>• Training hours</w:t>
            </w:r>
            <w:r>
              <w:br/>
            </w:r>
            <w:r>
              <w:t>• Employee engagement</w:t>
            </w:r>
          </w:p>
        </w:tc>
        <w:tc>
          <w:tcPr>
            <w:tcW w:w="0" w:type="auto"/>
            <w:tcBorders/>
            <w:hideMark/>
          </w:tcPr>
          <w:p>
            <w:pPr>
              <w:pStyle w:val="style0"/>
              <w:rPr/>
            </w:pPr>
            <w:r>
              <w:t>• High R&amp;D investment</w:t>
            </w:r>
            <w:r>
              <w:br/>
            </w:r>
            <w:r>
              <w:t>• Continuous workforce upskilling</w:t>
            </w:r>
            <w:r>
              <w:br/>
            </w:r>
            <w:r>
              <w:t xml:space="preserve">• Higher </w:t>
            </w:r>
            <w:r>
              <w:t>employee engagement</w:t>
            </w:r>
          </w:p>
        </w:tc>
        <w:tc>
          <w:tcPr>
            <w:tcW w:w="0" w:type="auto"/>
            <w:tcBorders/>
            <w:hideMark/>
          </w:tcPr>
          <w:p>
            <w:pPr>
              <w:pStyle w:val="style0"/>
              <w:spacing w:after="200"/>
              <w:rPr/>
            </w:pPr>
            <w:r>
              <w:t>• AI and software training</w:t>
            </w:r>
            <w:r>
              <w:br/>
            </w:r>
            <w:r>
              <w:t>• Leadership development</w:t>
            </w:r>
            <w:r>
              <w:br/>
            </w:r>
            <w:r>
              <w:t>• Innovation culture</w:t>
            </w:r>
          </w:p>
        </w:tc>
      </w:tr>
    </w:tbl>
    <w:p>
      <w:pPr>
        <w:pStyle w:val="style0"/>
        <w:rPr/>
      </w:pPr>
    </w:p>
    <w:sectPr>
      <w:footerReference w:type="default" r:id="rId10"/>
      <w:pgSz w:w="12240" w:h="15840" w:orient="portrait"/>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2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SimSun">
    <w:altName w:val="宋体"/>
    <w:panose1 w:val="02010600030001010101"/>
    <w:charset w:val="86"/>
    <w:family w:val="auto"/>
    <w:pitch w:val="variable"/>
    <w:sig w:usb0="00000203" w:usb1="288F0000" w:usb2="00000016" w:usb3="00000000" w:csb0="00040001" w:csb1="00000000"/>
  </w:font>
  <w:font w:name="Tahoma">
    <w:altName w:val="Tahoma"/>
    <w:panose1 w:val="020b0604030005040204"/>
    <w:charset w:val="00"/>
    <w:family w:val="swiss"/>
    <w:pitch w:val="variable"/>
    <w:sig w:usb0="E1002EFF" w:usb1="C000605B" w:usb2="00000029" w:usb3="00000000" w:csb0="000101FF" w:csb1="00000000"/>
  </w:font>
  <w:font w:name="Cambria">
    <w:altName w:val="Cambria"/>
    <w:panose1 w:val="02040503050004030204"/>
    <w:charset w:val="00"/>
    <w:family w:val="roman"/>
    <w:pitch w:val="variable"/>
    <w:sig w:usb0="E00006FF" w:usb1="420024FF" w:usb2="02000000" w:usb3="00000000" w:csb0="0000019F" w:csb1="00000000"/>
  </w:font>
  <w:font w:name="MS Gothic">
    <w:altName w:val="ＭＳ ゴシック"/>
    <w:panose1 w:val="020b0609070002080204"/>
    <w:charset w:val="80"/>
    <w:family w:val="modern"/>
    <w:pitch w:val="fixed"/>
    <w:sig w:usb0="E00002FF" w:usb1="6AC7FDFB" w:usb2="08000012" w:usb3="00000000" w:csb0="0002009F" w:csb1="00000000"/>
  </w:font>
  <w:font w:name="宋体">
    <w:altName w:val=""/>
    <w:panose1 w:val="00000000000000000000"/>
    <w:charset w:val="00"/>
    <w:family w:val="auto"/>
    <w:pitch w:val="default"/>
    <w:sig w:usb0="E0002AFF" w:usb1="C0007841"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fldChar w:fldCharType="begin"/>
    </w:r>
    <w:r>
      <w:instrText xml:space="preserve"> PAGE   \* MERGEFORMAT </w:instrText>
    </w:r>
    <w:r>
      <w:rPr/>
      <w:fldChar w:fldCharType="separate"/>
    </w:r>
    <w:r>
      <w:t>21</w:t>
    </w:r>
    <w:r>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E7728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05D076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000002"/>
    <w:multiLevelType w:val="hybridMultilevel"/>
    <w:tmpl w:val="145A2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611AC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200" w:lineRule="auto" w:line="276"/>
      </w:pPr>
    </w:pPrDefault>
  </w:docDefaults>
  <w:style w:type="paragraph" w:default="1" w:styleId="style0">
    <w:name w:val="Normal"/>
    <w:next w:val="style0"/>
    <w:qFormat/>
    <w:pPr>
      <w:spacing w:lineRule="auto" w:line="360"/>
      <w:jc w:val="both"/>
    </w:pPr>
    <w:rPr>
      <w:rFonts w:ascii="Arial" w:hAnsi="Arial"/>
      <w:sz w:val="24"/>
      <w:lang w:val="en-GB"/>
    </w:rPr>
  </w:style>
  <w:style w:type="paragraph" w:styleId="style1">
    <w:name w:val="heading 1"/>
    <w:basedOn w:val="style0"/>
    <w:next w:val="style0"/>
    <w:link w:val="style4097"/>
    <w:qFormat/>
    <w:uiPriority w:val="9"/>
    <w:pPr>
      <w:keepNext/>
      <w:keepLines/>
      <w:spacing w:before="480" w:after="0"/>
      <w:outlineLvl w:val="0"/>
    </w:pPr>
    <w:rPr>
      <w:rFonts w:cs="宋体" w:eastAsia="宋体"/>
      <w:b/>
      <w:bCs/>
      <w:sz w:val="28"/>
      <w:szCs w:val="28"/>
    </w:rPr>
  </w:style>
  <w:style w:type="paragraph" w:styleId="style2">
    <w:name w:val="heading 2"/>
    <w:basedOn w:val="style0"/>
    <w:next w:val="style0"/>
    <w:link w:val="style4100"/>
    <w:qFormat/>
    <w:uiPriority w:val="9"/>
    <w:pPr>
      <w:keepNext/>
      <w:keepLines/>
      <w:spacing w:before="200" w:after="0"/>
      <w:outlineLvl w:val="1"/>
    </w:pPr>
    <w:rPr>
      <w:rFonts w:cs="宋体" w:eastAsia="宋体"/>
      <w:b/>
      <w:bCs/>
      <w:sz w:val="26"/>
      <w:szCs w:val="2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12201282-b319-46a0-904b-8a914c1fe936"/>
    <w:basedOn w:val="style65"/>
    <w:next w:val="style4097"/>
    <w:link w:val="style1"/>
    <w:uiPriority w:val="9"/>
    <w:rPr>
      <w:rFonts w:ascii="Arial" w:cs="宋体" w:eastAsia="宋体" w:hAnsi="Arial"/>
      <w:b/>
      <w:bCs/>
      <w:sz w:val="28"/>
      <w:szCs w:val="28"/>
    </w:rPr>
  </w:style>
  <w:style w:type="paragraph" w:styleId="style31">
    <w:name w:val="header"/>
    <w:basedOn w:val="style0"/>
    <w:next w:val="style31"/>
    <w:link w:val="style4098"/>
    <w:uiPriority w:val="99"/>
    <w:pPr>
      <w:tabs>
        <w:tab w:val="center" w:leader="none" w:pos="4680"/>
        <w:tab w:val="right" w:leader="none" w:pos="9360"/>
      </w:tabs>
      <w:spacing w:after="0" w:lineRule="auto" w:line="240"/>
    </w:pPr>
    <w:rPr/>
  </w:style>
  <w:style w:type="character" w:customStyle="1" w:styleId="style4098">
    <w:name w:val="Header Char_082746a7-c2f7-48ce-bbf5-996307b91d12"/>
    <w:basedOn w:val="style65"/>
    <w:next w:val="style4098"/>
    <w:link w:val="style31"/>
    <w:uiPriority w:val="99"/>
    <w:rPr>
      <w:rFonts w:ascii="Arial" w:hAnsi="Arial"/>
      <w:sz w:val="24"/>
    </w:rPr>
  </w:style>
  <w:style w:type="paragraph" w:styleId="style32">
    <w:name w:val="footer"/>
    <w:basedOn w:val="style0"/>
    <w:next w:val="style32"/>
    <w:link w:val="style4099"/>
    <w:uiPriority w:val="99"/>
    <w:pPr>
      <w:tabs>
        <w:tab w:val="center" w:leader="none" w:pos="4680"/>
        <w:tab w:val="right" w:leader="none" w:pos="9360"/>
      </w:tabs>
      <w:spacing w:after="0" w:lineRule="auto" w:line="240"/>
    </w:pPr>
    <w:rPr/>
  </w:style>
  <w:style w:type="character" w:customStyle="1" w:styleId="style4099">
    <w:name w:val="Footer Char_6e3a69c1-6515-4f1b-9ec1-b875394f6cc5"/>
    <w:basedOn w:val="style65"/>
    <w:next w:val="style4099"/>
    <w:link w:val="style32"/>
    <w:uiPriority w:val="99"/>
    <w:rPr>
      <w:rFonts w:ascii="Arial" w:hAnsi="Arial"/>
      <w:sz w:val="24"/>
    </w:rPr>
  </w:style>
  <w:style w:type="character" w:styleId="style87">
    <w:name w:val="Strong"/>
    <w:basedOn w:val="style65"/>
    <w:next w:val="style87"/>
    <w:qFormat/>
    <w:uiPriority w:val="22"/>
    <w:rPr>
      <w:b/>
      <w:bCs/>
    </w:rPr>
  </w:style>
  <w:style w:type="character" w:styleId="style85">
    <w:name w:val="Hyperlink"/>
    <w:basedOn w:val="style65"/>
    <w:next w:val="style85"/>
    <w:uiPriority w:val="99"/>
    <w:rPr>
      <w:color w:val="0000ff"/>
      <w:u w:val="single"/>
    </w:rPr>
  </w:style>
  <w:style w:type="character" w:styleId="style88">
    <w:name w:val="Emphasis"/>
    <w:basedOn w:val="style65"/>
    <w:next w:val="style88"/>
    <w:qFormat/>
    <w:uiPriority w:val="20"/>
    <w:rPr>
      <w:i/>
      <w:iCs/>
    </w:rPr>
  </w:style>
  <w:style w:type="table" w:styleId="style154">
    <w:name w:val="Table Grid"/>
    <w:basedOn w:val="style105"/>
    <w:next w:val="style154"/>
    <w:uiPriority w:val="5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customStyle="1" w:styleId="style4100">
    <w:name w:val="Heading 2 Char_ff11b5f0-0bf1-46e0-a35b-488ba6bb1465"/>
    <w:basedOn w:val="style65"/>
    <w:next w:val="style4100"/>
    <w:link w:val="style2"/>
    <w:uiPriority w:val="9"/>
    <w:rPr>
      <w:rFonts w:ascii="Arial" w:cs="宋体" w:eastAsia="宋体" w:hAnsi="Arial"/>
      <w:b/>
      <w:bCs/>
      <w:sz w:val="26"/>
      <w:szCs w:val="26"/>
    </w:rPr>
  </w:style>
  <w:style w:type="paragraph" w:styleId="style179">
    <w:name w:val="List Paragraph"/>
    <w:basedOn w:val="style0"/>
    <w:next w:val="style179"/>
    <w:qFormat/>
    <w:uiPriority w:val="34"/>
    <w:pPr>
      <w:ind w:left="720"/>
      <w:contextualSpacing/>
    </w:pPr>
    <w:rPr/>
  </w:style>
  <w:style w:type="paragraph" w:styleId="style153">
    <w:name w:val="Balloon Text"/>
    <w:basedOn w:val="style0"/>
    <w:next w:val="style153"/>
    <w:link w:val="style4101"/>
    <w:uiPriority w:val="99"/>
    <w:pPr>
      <w:spacing w:after="0" w:lineRule="auto" w:line="240"/>
    </w:pPr>
    <w:rPr>
      <w:rFonts w:ascii="Tahoma" w:cs="Tahoma" w:hAnsi="Tahoma"/>
      <w:sz w:val="16"/>
      <w:szCs w:val="16"/>
    </w:rPr>
  </w:style>
  <w:style w:type="character" w:customStyle="1" w:styleId="style4101">
    <w:name w:val="Balloon Text Char"/>
    <w:basedOn w:val="style65"/>
    <w:next w:val="style4101"/>
    <w:link w:val="style153"/>
    <w:uiPriority w:val="99"/>
    <w:rPr>
      <w:rFonts w:ascii="Tahoma" w:cs="Tahoma" w:hAnsi="Tahoma"/>
      <w:sz w:val="16"/>
      <w:szCs w:val="16"/>
    </w:rPr>
  </w:style>
  <w:style w:type="paragraph" w:styleId="style266">
    <w:name w:val="TOC Heading"/>
    <w:basedOn w:val="style1"/>
    <w:next w:val="style0"/>
    <w:qFormat/>
    <w:uiPriority w:val="39"/>
    <w:pPr>
      <w:spacing w:lineRule="auto" w:line="276"/>
      <w:jc w:val="left"/>
      <w:outlineLvl w:val="9"/>
    </w:pPr>
    <w:rPr>
      <w:rFonts w:ascii="Cambria" w:hAnsi="Cambria"/>
      <w:color w:val="365f91"/>
    </w:rPr>
  </w:style>
  <w:style w:type="paragraph" w:styleId="style19">
    <w:name w:val="toc 1"/>
    <w:basedOn w:val="style0"/>
    <w:next w:val="style0"/>
    <w:uiPriority w:val="39"/>
    <w:pPr>
      <w:spacing w:after="100"/>
    </w:pPr>
    <w:rPr/>
  </w:style>
  <w:style w:type="table" w:styleId="style233">
    <w:name w:val="Light List Accent 5"/>
    <w:basedOn w:val="style105"/>
    <w:next w:val="style233"/>
    <w:uiPriority w:val="61"/>
    <w:pPr>
      <w:spacing w:after="0" w:lineRule="auto" w:line="240"/>
    </w:pPr>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Rule="auto" w:line="240"/>
      </w:pPr>
      <w:rPr>
        <w:b/>
        <w:bCs/>
        <w:color w:val="ffffff"/>
      </w:rPr>
      <w:tblPr/>
      <w:tcPr>
        <w:tcBorders/>
        <w:shd w:val="clear" w:color="auto" w:fill="4bacc6"/>
      </w:tcPr>
    </w:tblStylePr>
    <w:tblStylePr w:type="lastRow">
      <w:pPr>
        <w:spacing w:before="0" w:after="0" w:lineRule="auto" w:line="240"/>
      </w:pPr>
      <w:rPr>
        <w:b/>
        <w:bCs/>
      </w:rPr>
      <w:tblPr/>
      <w:tcPr>
        <w:tcBorders>
          <w:top w:val="double" w:sz="6" w:space="0" w:color="4bacc6"/>
          <w:left w:val="single" w:sz="8" w:space="0" w:color="4bacc6"/>
          <w:bottom w:val="single" w:sz="8" w:space="0" w:color="4bacc6"/>
          <w:right w:val="single" w:sz="8" w:space="0" w:color="4bacc6"/>
        </w:tcBorders>
      </w:tcPr>
    </w:tblStylePr>
    <w:tblStylePr w:type="band1Horz">
      <w:pPr/>
      <w:tblPr/>
      <w:tcPr>
        <w:tcBorders>
          <w:top w:val="single" w:sz="8" w:space="0" w:color="4bacc6"/>
          <w:left w:val="single" w:sz="8" w:space="0" w:color="4bacc6"/>
          <w:bottom w:val="single" w:sz="8" w:space="0" w:color="4bacc6"/>
          <w:right w:val="single" w:sz="8" w:space="0" w:color="4bacc6"/>
        </w:tcBorders>
      </w:tcPr>
    </w:tblStylePr>
    <w:tblStylePr w:type="firstCol">
      <w:pPr/>
      <w:rPr>
        <w:b/>
        <w:bCs/>
      </w:rPr>
      <w:tcPr>
        <w:tcBorders/>
      </w:tcPr>
    </w:tblStylePr>
    <w:tblStylePr w:type="lastCol">
      <w:pPr/>
      <w:rPr>
        <w:b/>
        <w:bCs/>
      </w:rPr>
      <w:tcPr>
        <w:tcBorders/>
      </w:tcPr>
    </w:tblStylePr>
    <w:tblStylePr w:type="band1Vert">
      <w:pPr/>
      <w:tblPr/>
      <w:tcPr>
        <w:tcBorders>
          <w:top w:val="single" w:sz="8" w:space="0" w:color="4bacc6"/>
          <w:left w:val="single" w:sz="8" w:space="0" w:color="4bacc6"/>
          <w:bottom w:val="single" w:sz="8" w:space="0" w:color="4bacc6"/>
          <w:right w:val="single" w:sz="8" w:space="0" w:color="4bacc6"/>
        </w:tcBorders>
      </w:tcPr>
    </w:tblStylePr>
    <w:tcPr>
      <w:tcBorders/>
    </w:tcPr>
  </w:style>
  <w:style w:type="table" w:styleId="style194">
    <w:name w:val="Medium Shading 2 Accent 2"/>
    <w:basedOn w:val="style105"/>
    <w:next w:val="style194"/>
    <w:uiPriority w:val="64"/>
    <w:pPr>
      <w:spacing w:after="0" w:lineRule="auto" w:line="240"/>
    </w:pPr>
    <w:rPr/>
    <w:tblPr>
      <w:tblStyleRowBandSize w:val="1"/>
      <w:tblStyleColBandSize w:val="1"/>
      <w:tblBorders>
        <w:top w:val="single" w:sz="18" w:space="0" w:color="auto"/>
        <w:bottom w:val="single" w:sz="18" w:space="0" w:color="auto"/>
      </w:tblBorders>
    </w:tblPr>
    <w:tblStylePr w:type="firstRow">
      <w:pPr>
        <w:spacing w:before="0" w:after="0" w:lineRule="auto" w:line="240"/>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Rule="auto" w:line="24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band1Horz">
      <w:pPr/>
      <w:tblPr/>
      <w:tcPr>
        <w:tcBorders/>
        <w:shd w:val="clear" w:color="auto" w:fill="d8d8d8"/>
      </w:tcPr>
    </w:tblStylePr>
    <w:tblStylePr w:type="firstCol">
      <w:pPr/>
      <w:rPr>
        <w:b/>
        <w:bCs/>
        <w:color w:val="ffffff"/>
      </w:rPr>
      <w:tblPr/>
      <w:tcPr>
        <w:tcBorders>
          <w:top w:val="nil"/>
          <w:left w:val="nil"/>
          <w:bottom w:val="single" w:sz="18" w:space="0" w:color="auto"/>
          <w:right w:val="nil"/>
          <w:insideH w:val="nil"/>
          <w:insideV w:val="nil"/>
        </w:tcBorders>
        <w:shd w:val="clear" w:color="auto" w:fill="c0504d"/>
      </w:tcPr>
    </w:tblStylePr>
    <w:tblStylePr w:type="lastCol">
      <w:pPr/>
      <w:rPr>
        <w:b/>
        <w:bCs/>
        <w:color w:val="ffffff"/>
      </w:rPr>
      <w:tblPr/>
      <w:tcPr>
        <w:tcBorders>
          <w:left w:val="nil"/>
          <w:right w:val="nil"/>
          <w:insideH w:val="nil"/>
          <w:insideV w:val="nil"/>
        </w:tcBorders>
        <w:shd w:val="clear" w:color="auto" w:fill="c0504d"/>
      </w:tcPr>
    </w:tblStylePr>
    <w:tblStylePr w:type="band1Vert">
      <w:pPr/>
      <w:tblPr/>
      <w:tcPr>
        <w:tcBorders>
          <w:left w:val="nil"/>
          <w:right w:val="nil"/>
          <w:insideH w:val="nil"/>
          <w:insideV w:val="nil"/>
        </w:tcBorders>
        <w:shd w:val="clear" w:color="auto" w:fill="d8d8d8"/>
      </w:tcPr>
    </w:tblStylePr>
    <w:tblStylePr w:type="neCell">
      <w:pPr/>
      <w:tblPr/>
      <w:tcPr>
        <w:tcBorders>
          <w:top w:val="single" w:sz="18" w:space="0" w:color="auto"/>
          <w:left w:val="nil"/>
          <w:bottom w:val="single" w:sz="18" w:space="0" w:color="auto"/>
          <w:right w:val="nil"/>
          <w:insideH w:val="nil"/>
          <w:insideV w:val="nil"/>
        </w:tcBorders>
      </w:tcPr>
    </w:tblStylePr>
    <w:tblStylePr w:type="nwCell">
      <w:pPr/>
      <w:rPr>
        <w:color w:val="ffffff"/>
      </w:rPr>
      <w:tblPr/>
      <w:tcPr>
        <w:tcBorders>
          <w:top w:val="single" w:sz="18" w:space="0" w:color="auto"/>
          <w:left w:val="nil"/>
          <w:bottom w:val="single" w:sz="18" w:space="0" w:color="auto"/>
          <w:right w:val="nil"/>
          <w:insideH w:val="nil"/>
          <w:insideV w:val="nil"/>
        </w:tcBorders>
      </w:tcPr>
    </w:tblStylePr>
    <w:tcPr>
      <w:tcBorders/>
    </w:tcPr>
  </w:style>
  <w:style w:type="table" w:styleId="style206">
    <w:name w:val="Light Grid Accent 3"/>
    <w:basedOn w:val="style105"/>
    <w:next w:val="style206"/>
    <w:uiPriority w:val="62"/>
    <w:pPr>
      <w:spacing w:after="0" w:lineRule="auto" w:line="240"/>
    </w:pPr>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Rule="auto" w:line="240"/>
      </w:pPr>
      <w:rPr>
        <w:rFonts w:ascii="Cambria" w:cs="宋体" w:eastAsia="宋体" w:hAnsi="Cambria"/>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Rule="auto" w:line="240"/>
      </w:pPr>
      <w:rPr>
        <w:rFonts w:ascii="Cambria" w:cs="宋体" w:eastAsia="宋体" w:hAnsi="Cambria"/>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band1Horz">
      <w:p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pPr/>
      <w:tblPr/>
      <w:tcPr>
        <w:tcBorders>
          <w:top w:val="single" w:sz="8" w:space="0" w:color="9bbb59"/>
          <w:left w:val="single" w:sz="8" w:space="0" w:color="9bbb59"/>
          <w:bottom w:val="single" w:sz="8" w:space="0" w:color="9bbb59"/>
          <w:right w:val="single" w:sz="8" w:space="0" w:color="9bbb59"/>
          <w:insideV w:val="single" w:sz="8" w:space="0" w:color="9bbb59"/>
        </w:tcBorders>
      </w:tcPr>
    </w:tblStylePr>
    <w:tblStylePr w:type="firstCol">
      <w:pPr/>
      <w:rPr>
        <w:rFonts w:ascii="Cambria" w:cs="宋体" w:eastAsia="宋体" w:hAnsi="Cambria"/>
        <w:b/>
        <w:bCs/>
      </w:rPr>
      <w:tcPr>
        <w:tcBorders/>
      </w:tcPr>
    </w:tblStylePr>
    <w:tblStylePr w:type="lastCol">
      <w:pPr/>
      <w:rPr>
        <w:rFonts w:ascii="Cambria" w:cs="宋体" w:eastAsia="宋体" w:hAnsi="Cambria"/>
        <w:b/>
        <w:bCs/>
      </w:rPr>
      <w:tblPr/>
      <w:tcPr>
        <w:tcBorders>
          <w:top w:val="single" w:sz="8" w:space="0" w:color="9bbb59"/>
          <w:left w:val="single" w:sz="8" w:space="0" w:color="9bbb59"/>
          <w:bottom w:val="single" w:sz="8" w:space="0" w:color="9bbb59"/>
          <w:right w:val="single" w:sz="8" w:space="0" w:color="9bbb59"/>
        </w:tcBorders>
      </w:tcPr>
    </w:tblStylePr>
    <w:tblStylePr w:type="band1Vert">
      <w:pPr/>
      <w:tblPr/>
      <w:tcPr>
        <w:tcBorders>
          <w:top w:val="single" w:sz="8" w:space="0" w:color="9bbb59"/>
          <w:left w:val="single" w:sz="8" w:space="0" w:color="9bbb59"/>
          <w:bottom w:val="single" w:sz="8" w:space="0" w:color="9bbb59"/>
          <w:right w:val="single" w:sz="8" w:space="0" w:color="9bbb59"/>
        </w:tcBorders>
        <w:shd w:val="clear" w:color="auto" w:fill="e6eed5"/>
      </w:tcPr>
    </w:tblStylePr>
    <w:tcPr>
      <w:tcBorders/>
    </w:tcPr>
  </w:style>
  <w:style w:type="table" w:styleId="style225">
    <w:name w:val="Medium Grid 1 Accent 4"/>
    <w:basedOn w:val="style105"/>
    <w:next w:val="style225"/>
    <w:uiPriority w:val="67"/>
    <w:pPr>
      <w:spacing w:after="0" w:lineRule="auto" w:line="240"/>
    </w:pPr>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shd w:val="clear" w:color="auto" w:fill="dfd8e8"/>
    </w:tblPr>
    <w:tblStylePr w:type="firstRow">
      <w:pPr/>
      <w:rPr>
        <w:b/>
        <w:bCs/>
      </w:rPr>
      <w:tcPr>
        <w:tcBorders/>
      </w:tcPr>
    </w:tblStylePr>
    <w:tblStylePr w:type="lastRow">
      <w:pPr/>
      <w:rPr>
        <w:b/>
        <w:bCs/>
      </w:rPr>
      <w:tblPr/>
      <w:tcPr>
        <w:tcBorders>
          <w:top w:val="single" w:sz="18" w:space="0" w:color="9f8ab9"/>
        </w:tcBorders>
      </w:tcPr>
    </w:tblStylePr>
    <w:tblStylePr w:type="band1Horz">
      <w:pPr/>
      <w:tblPr/>
      <w:tcPr>
        <w:tcBorders/>
        <w:shd w:val="clear" w:color="auto" w:fill="bfb1d0"/>
      </w:tcPr>
    </w:tblStylePr>
    <w:tblStylePr w:type="firstCol">
      <w:pPr/>
      <w:rPr>
        <w:b/>
        <w:bCs/>
      </w:rPr>
      <w:tcPr>
        <w:tcBorders/>
      </w:tcPr>
    </w:tblStylePr>
    <w:tblStylePr w:type="lastCol">
      <w:pPr/>
      <w:rPr>
        <w:b/>
        <w:bCs/>
      </w:rPr>
      <w:tcPr>
        <w:tcBorders/>
      </w:tcPr>
    </w:tblStylePr>
    <w:tblStylePr w:type="band1Vert">
      <w:pPr/>
      <w:tblPr/>
      <w:tcPr>
        <w:tcBorders/>
        <w:shd w:val="clear" w:color="auto" w:fill="bfb1d0"/>
      </w:tcPr>
    </w:tblStylePr>
    <w:tcPr>
      <w:tcBorders/>
      <w:shd w:val="clear" w:color="auto" w:fill="dfd8e8"/>
    </w:tcPr>
  </w:style>
  <w:style w:type="paragraph" w:styleId="style20">
    <w:name w:val="toc 2"/>
    <w:basedOn w:val="style0"/>
    <w:next w:val="style0"/>
    <w:uiPriority w:val="39"/>
    <w:pPr>
      <w:spacing w:after="100"/>
      <w:ind w:left="240"/>
    </w:pPr>
    <w:rPr/>
  </w:style>
</w:styles>
</file>

<file path=word/_rels/document.xml.rels><?xml version="1.0" encoding="UTF-8"?>
<Relationships xmlns="http://schemas.openxmlformats.org/package/2006/relationships"><Relationship Id="rId11" Type="http://schemas.openxmlformats.org/officeDocument/2006/relationships/styles" Target="styles.xml"/><Relationship Id="rId10" Type="http://schemas.openxmlformats.org/officeDocument/2006/relationships/footer" Target="footer1.xml"/><Relationship Id="rId13" Type="http://schemas.openxmlformats.org/officeDocument/2006/relationships/settings" Target="settings.xml"/><Relationship Id="rId12"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diagramColors" Target="diagrams/colors1.xml"/><Relationship Id="rId15" Type="http://schemas.openxmlformats.org/officeDocument/2006/relationships/theme" Target="theme/theme1.xml"/><Relationship Id="rId14" Type="http://schemas.microsoft.com/office/2007/relationships/diagramDrawing" Target="diagrams/drawing1.xml"/><Relationship Id="rId16" Type="http://schemas.openxmlformats.org/officeDocument/2006/relationships/customXml" Target="../customXml/item1.xml"/><Relationship Id="rId6" Type="http://schemas.openxmlformats.org/officeDocument/2006/relationships/diagramData" Target="diagrams/data1.xml"/><Relationship Id="rId7" Type="http://schemas.openxmlformats.org/officeDocument/2006/relationships/diagramLayout" Target="diagrams/layout1.xml"/><Relationship Id="rId8"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7501E13-FEB8-4F0E-B47C-5F3A157F2AC9}" type="doc">
      <dgm:prSet loTypeId="urn:microsoft.com/office/officeart/2005/8/layout/cycle6" loCatId="cycle" qsTypeId="urn:microsoft.com/office/officeart/2005/8/quickstyle/simple2" qsCatId="simple" csTypeId="urn:microsoft.com/office/officeart/2005/8/colors/colorful3" csCatId="colorful" phldr="1"/>
      <dgm:spPr/>
      <dgm:t>
        <a:bodyPr/>
        <a:lstStyle/>
        <a:p>
          <a:endParaRPr lang="en-US"/>
        </a:p>
      </dgm:t>
    </dgm:pt>
    <dgm:pt modelId="{BA263744-A438-4122-997B-B1D3DE124F18}">
      <dgm:prSet phldrT="[Text]"/>
      <dgm:spPr/>
      <dgm:t>
        <a:bodyPr/>
        <a:lstStyle/>
        <a:p>
          <a:r>
            <a:rPr lang="en-US" b="1"/>
            <a:t>Description</a:t>
          </a:r>
          <a:endParaRPr lang="en-US"/>
        </a:p>
      </dgm:t>
    </dgm:pt>
    <dgm:pt modelId="{7189C248-E100-46E1-A5B2-9812E8D974E0}" type="parTrans" cxnId="{7F10D6AD-F174-42B3-B89B-2B5CECD312E9}">
      <dgm:prSet/>
      <dgm:spPr/>
      <dgm:t>
        <a:bodyPr/>
        <a:lstStyle/>
        <a:p>
          <a:endParaRPr lang="en-US"/>
        </a:p>
      </dgm:t>
    </dgm:pt>
    <dgm:pt modelId="{8F5B7BFE-E27A-4F85-A8AD-0043B3C3EF5D}" type="sibTrans" cxnId="{7F10D6AD-F174-42B3-B89B-2B5CECD312E9}">
      <dgm:prSet/>
      <dgm:spPr/>
      <dgm:t>
        <a:bodyPr/>
        <a:lstStyle/>
        <a:p>
          <a:endParaRPr lang="en-US"/>
        </a:p>
      </dgm:t>
    </dgm:pt>
    <dgm:pt modelId="{41B5F887-1CAC-4757-8941-DDC4BA18E9F4}">
      <dgm:prSet phldrT="[Text]"/>
      <dgm:spPr/>
      <dgm:t>
        <a:bodyPr/>
        <a:lstStyle/>
        <a:p>
          <a:r>
            <a:rPr lang="en-US" b="1"/>
            <a:t>Feelings</a:t>
          </a:r>
          <a:endParaRPr lang="en-US"/>
        </a:p>
      </dgm:t>
    </dgm:pt>
    <dgm:pt modelId="{9871429C-6C62-465C-AA16-8AF883B2E6E0}" type="parTrans" cxnId="{3B37A65D-7BCD-4F46-854E-15A9E3DB5C2B}">
      <dgm:prSet/>
      <dgm:spPr/>
      <dgm:t>
        <a:bodyPr/>
        <a:lstStyle/>
        <a:p>
          <a:endParaRPr lang="en-US"/>
        </a:p>
      </dgm:t>
    </dgm:pt>
    <dgm:pt modelId="{EF4AFE7E-5E66-40DB-A286-ECD7DFABDC86}" type="sibTrans" cxnId="{3B37A65D-7BCD-4F46-854E-15A9E3DB5C2B}">
      <dgm:prSet/>
      <dgm:spPr/>
      <dgm:t>
        <a:bodyPr/>
        <a:lstStyle/>
        <a:p>
          <a:endParaRPr lang="en-US"/>
        </a:p>
      </dgm:t>
    </dgm:pt>
    <dgm:pt modelId="{67F64DD9-BDFF-4C12-88B2-15A012FA0444}">
      <dgm:prSet phldrT="[Text]"/>
      <dgm:spPr/>
      <dgm:t>
        <a:bodyPr/>
        <a:lstStyle/>
        <a:p>
          <a:r>
            <a:rPr lang="en-US" b="1"/>
            <a:t>Evaluation</a:t>
          </a:r>
          <a:endParaRPr lang="en-US"/>
        </a:p>
      </dgm:t>
    </dgm:pt>
    <dgm:pt modelId="{0067E3B8-3F27-4DE6-9BD8-7846923DAB4B}" type="parTrans" cxnId="{2F8ACAE6-F1A0-44B9-96FC-7E47C72D33BC}">
      <dgm:prSet/>
      <dgm:spPr/>
      <dgm:t>
        <a:bodyPr/>
        <a:lstStyle/>
        <a:p>
          <a:endParaRPr lang="en-US"/>
        </a:p>
      </dgm:t>
    </dgm:pt>
    <dgm:pt modelId="{E20C0355-A345-4697-B966-5B069F4BE367}" type="sibTrans" cxnId="{2F8ACAE6-F1A0-44B9-96FC-7E47C72D33BC}">
      <dgm:prSet/>
      <dgm:spPr/>
      <dgm:t>
        <a:bodyPr/>
        <a:lstStyle/>
        <a:p>
          <a:endParaRPr lang="en-US"/>
        </a:p>
      </dgm:t>
    </dgm:pt>
    <dgm:pt modelId="{4FA26527-747B-4352-9FE7-B31BE8105B4E}">
      <dgm:prSet phldrT="[Text]"/>
      <dgm:spPr/>
      <dgm:t>
        <a:bodyPr/>
        <a:lstStyle/>
        <a:p>
          <a:r>
            <a:rPr lang="en-US" b="1"/>
            <a:t>Analysis</a:t>
          </a:r>
          <a:endParaRPr lang="en-US"/>
        </a:p>
      </dgm:t>
    </dgm:pt>
    <dgm:pt modelId="{7A9C0D4B-5823-450F-8886-E78EF656F790}" type="parTrans" cxnId="{BC3D8D46-9CAE-4C01-AD43-CEF3EF34C1E2}">
      <dgm:prSet/>
      <dgm:spPr/>
      <dgm:t>
        <a:bodyPr/>
        <a:lstStyle/>
        <a:p>
          <a:endParaRPr lang="en-US"/>
        </a:p>
      </dgm:t>
    </dgm:pt>
    <dgm:pt modelId="{489D1BEF-7B35-4A3C-A017-F7E45C8B3F3B}" type="sibTrans" cxnId="{BC3D8D46-9CAE-4C01-AD43-CEF3EF34C1E2}">
      <dgm:prSet/>
      <dgm:spPr/>
      <dgm:t>
        <a:bodyPr/>
        <a:lstStyle/>
        <a:p>
          <a:endParaRPr lang="en-US"/>
        </a:p>
      </dgm:t>
    </dgm:pt>
    <dgm:pt modelId="{DFB7331E-FC5A-4A93-B0D9-742D764FBE5E}">
      <dgm:prSet phldrT="[Text]"/>
      <dgm:spPr/>
      <dgm:t>
        <a:bodyPr/>
        <a:lstStyle/>
        <a:p>
          <a:r>
            <a:rPr lang="en-US" b="1"/>
            <a:t>Conclusion</a:t>
          </a:r>
          <a:endParaRPr lang="en-US"/>
        </a:p>
      </dgm:t>
    </dgm:pt>
    <dgm:pt modelId="{8F855DB6-4D1C-411D-8DD1-338490FF8174}" type="parTrans" cxnId="{512837DF-0730-4F2A-977D-408B6B352D91}">
      <dgm:prSet/>
      <dgm:spPr/>
      <dgm:t>
        <a:bodyPr/>
        <a:lstStyle/>
        <a:p>
          <a:endParaRPr lang="en-US"/>
        </a:p>
      </dgm:t>
    </dgm:pt>
    <dgm:pt modelId="{65F67605-B47A-4B5D-A452-2F494CF8A1BE}" type="sibTrans" cxnId="{512837DF-0730-4F2A-977D-408B6B352D91}">
      <dgm:prSet/>
      <dgm:spPr/>
      <dgm:t>
        <a:bodyPr/>
        <a:lstStyle/>
        <a:p>
          <a:endParaRPr lang="en-US"/>
        </a:p>
      </dgm:t>
    </dgm:pt>
    <dgm:pt modelId="{2B0BC08B-0722-478D-988F-F224D7DD0AEC}">
      <dgm:prSet phldrT="[Text]"/>
      <dgm:spPr/>
      <dgm:t>
        <a:bodyPr/>
        <a:lstStyle/>
        <a:p>
          <a:r>
            <a:rPr lang="en-US" b="1"/>
            <a:t>Action Plan</a:t>
          </a:r>
          <a:endParaRPr lang="en-US"/>
        </a:p>
      </dgm:t>
    </dgm:pt>
    <dgm:pt modelId="{05D79991-D601-4F79-A83A-852367C36A30}" type="parTrans" cxnId="{045C05C9-1C4D-4B7B-A3C5-0D224AE590BB}">
      <dgm:prSet/>
      <dgm:spPr/>
      <dgm:t>
        <a:bodyPr/>
        <a:lstStyle/>
        <a:p>
          <a:endParaRPr lang="en-US"/>
        </a:p>
      </dgm:t>
    </dgm:pt>
    <dgm:pt modelId="{0385631E-43AF-48C8-AEEE-9D56780ACDED}" type="sibTrans" cxnId="{045C05C9-1C4D-4B7B-A3C5-0D224AE590BB}">
      <dgm:prSet/>
      <dgm:spPr/>
      <dgm:t>
        <a:bodyPr/>
        <a:lstStyle/>
        <a:p>
          <a:endParaRPr lang="en-US"/>
        </a:p>
      </dgm:t>
    </dgm:pt>
    <dgm:pt modelId="{0C0E2D30-28A7-4862-B4E6-C87F7AC360AF}" type="pres">
      <dgm:prSet presAssocID="{37501E13-FEB8-4F0E-B47C-5F3A157F2AC9}" presName="cycle" presStyleCnt="0">
        <dgm:presLayoutVars>
          <dgm:dir/>
          <dgm:resizeHandles val="exact"/>
        </dgm:presLayoutVars>
      </dgm:prSet>
      <dgm:spPr/>
    </dgm:pt>
    <dgm:pt modelId="{365A0813-CBDD-4C2A-8B04-389DC0FBF241}" type="pres">
      <dgm:prSet presAssocID="{BA263744-A438-4122-997B-B1D3DE124F18}" presName="node" presStyleLbl="node1" presStyleIdx="0" presStyleCnt="6">
        <dgm:presLayoutVars>
          <dgm:bulletEnabled val="1"/>
        </dgm:presLayoutVars>
      </dgm:prSet>
      <dgm:spPr/>
    </dgm:pt>
    <dgm:pt modelId="{8382BC18-1B0C-41F7-8245-05E026554179}" type="pres">
      <dgm:prSet presAssocID="{BA263744-A438-4122-997B-B1D3DE124F18}" presName="spNode" presStyleCnt="0"/>
      <dgm:spPr/>
    </dgm:pt>
    <dgm:pt modelId="{20612444-AF79-48DF-8A9C-072F3BEB1E1D}" type="pres">
      <dgm:prSet presAssocID="{8F5B7BFE-E27A-4F85-A8AD-0043B3C3EF5D}" presName="sibTrans" presStyleLbl="sibTrans1D1" presStyleIdx="0" presStyleCnt="6"/>
      <dgm:spPr/>
    </dgm:pt>
    <dgm:pt modelId="{9D5BA106-4230-4808-8C1F-C123BC4996F4}" type="pres">
      <dgm:prSet presAssocID="{41B5F887-1CAC-4757-8941-DDC4BA18E9F4}" presName="node" presStyleLbl="node1" presStyleIdx="1" presStyleCnt="6">
        <dgm:presLayoutVars>
          <dgm:bulletEnabled val="1"/>
        </dgm:presLayoutVars>
      </dgm:prSet>
      <dgm:spPr/>
    </dgm:pt>
    <dgm:pt modelId="{0FC3AB1C-5611-4709-AE48-1F13D3BCC41F}" type="pres">
      <dgm:prSet presAssocID="{41B5F887-1CAC-4757-8941-DDC4BA18E9F4}" presName="spNode" presStyleCnt="0"/>
      <dgm:spPr/>
    </dgm:pt>
    <dgm:pt modelId="{C6528262-59A1-4903-9765-A13C1742F464}" type="pres">
      <dgm:prSet presAssocID="{EF4AFE7E-5E66-40DB-A286-ECD7DFABDC86}" presName="sibTrans" presStyleLbl="sibTrans1D1" presStyleIdx="1" presStyleCnt="6"/>
      <dgm:spPr/>
    </dgm:pt>
    <dgm:pt modelId="{80B629C2-95A5-497A-BE39-499EED61A48B}" type="pres">
      <dgm:prSet presAssocID="{67F64DD9-BDFF-4C12-88B2-15A012FA0444}" presName="node" presStyleLbl="node1" presStyleIdx="2" presStyleCnt="6">
        <dgm:presLayoutVars>
          <dgm:bulletEnabled val="1"/>
        </dgm:presLayoutVars>
      </dgm:prSet>
      <dgm:spPr/>
    </dgm:pt>
    <dgm:pt modelId="{4C19F58E-9C93-41CA-9674-552C42EF215C}" type="pres">
      <dgm:prSet presAssocID="{67F64DD9-BDFF-4C12-88B2-15A012FA0444}" presName="spNode" presStyleCnt="0"/>
      <dgm:spPr/>
    </dgm:pt>
    <dgm:pt modelId="{E6FB05A1-91EA-4DB6-BC74-9FFE02E9FCB8}" type="pres">
      <dgm:prSet presAssocID="{E20C0355-A345-4697-B966-5B069F4BE367}" presName="sibTrans" presStyleLbl="sibTrans1D1" presStyleIdx="2" presStyleCnt="6"/>
      <dgm:spPr/>
    </dgm:pt>
    <dgm:pt modelId="{05795B5B-CC65-4DBD-AD5F-6D2423EC398A}" type="pres">
      <dgm:prSet presAssocID="{4FA26527-747B-4352-9FE7-B31BE8105B4E}" presName="node" presStyleLbl="node1" presStyleIdx="3" presStyleCnt="6">
        <dgm:presLayoutVars>
          <dgm:bulletEnabled val="1"/>
        </dgm:presLayoutVars>
      </dgm:prSet>
      <dgm:spPr/>
    </dgm:pt>
    <dgm:pt modelId="{981C7617-7A88-4BDC-8EF2-91B8CFC6C273}" type="pres">
      <dgm:prSet presAssocID="{4FA26527-747B-4352-9FE7-B31BE8105B4E}" presName="spNode" presStyleCnt="0"/>
      <dgm:spPr/>
    </dgm:pt>
    <dgm:pt modelId="{53CE2DA0-1984-4651-BCCF-702D81639EA2}" type="pres">
      <dgm:prSet presAssocID="{489D1BEF-7B35-4A3C-A017-F7E45C8B3F3B}" presName="sibTrans" presStyleLbl="sibTrans1D1" presStyleIdx="3" presStyleCnt="6"/>
      <dgm:spPr/>
    </dgm:pt>
    <dgm:pt modelId="{8F55B151-6D97-4FF6-812E-9225D4BFA845}" type="pres">
      <dgm:prSet presAssocID="{DFB7331E-FC5A-4A93-B0D9-742D764FBE5E}" presName="node" presStyleLbl="node1" presStyleIdx="4" presStyleCnt="6">
        <dgm:presLayoutVars>
          <dgm:bulletEnabled val="1"/>
        </dgm:presLayoutVars>
      </dgm:prSet>
      <dgm:spPr/>
    </dgm:pt>
    <dgm:pt modelId="{52D5EFE7-E2CE-44D8-92AA-D05413B0F9F1}" type="pres">
      <dgm:prSet presAssocID="{DFB7331E-FC5A-4A93-B0D9-742D764FBE5E}" presName="spNode" presStyleCnt="0"/>
      <dgm:spPr/>
    </dgm:pt>
    <dgm:pt modelId="{DF0DC1CE-1F4A-48DC-AFFD-07E9C6A0EF07}" type="pres">
      <dgm:prSet presAssocID="{65F67605-B47A-4B5D-A452-2F494CF8A1BE}" presName="sibTrans" presStyleLbl="sibTrans1D1" presStyleIdx="4" presStyleCnt="6"/>
      <dgm:spPr/>
    </dgm:pt>
    <dgm:pt modelId="{FE071207-D571-4BFA-910A-AD1F6D137A48}" type="pres">
      <dgm:prSet presAssocID="{2B0BC08B-0722-478D-988F-F224D7DD0AEC}" presName="node" presStyleLbl="node1" presStyleIdx="5" presStyleCnt="6">
        <dgm:presLayoutVars>
          <dgm:bulletEnabled val="1"/>
        </dgm:presLayoutVars>
      </dgm:prSet>
      <dgm:spPr/>
    </dgm:pt>
    <dgm:pt modelId="{53A315CD-4BC4-443A-A958-1AEE332CCE6F}" type="pres">
      <dgm:prSet presAssocID="{2B0BC08B-0722-478D-988F-F224D7DD0AEC}" presName="spNode" presStyleCnt="0"/>
      <dgm:spPr/>
    </dgm:pt>
    <dgm:pt modelId="{1C0508C7-6ED9-4B6D-9C0A-225E944BB3A3}" type="pres">
      <dgm:prSet presAssocID="{0385631E-43AF-48C8-AEEE-9D56780ACDED}" presName="sibTrans" presStyleLbl="sibTrans1D1" presStyleIdx="5" presStyleCnt="6"/>
      <dgm:spPr/>
    </dgm:pt>
  </dgm:ptLst>
  <dgm:cxnLst>
    <dgm:cxn modelId="{EF805A02-B412-4FCE-B169-BD0B58209F60}" type="presOf" srcId="{4FA26527-747B-4352-9FE7-B31BE8105B4E}" destId="{05795B5B-CC65-4DBD-AD5F-6D2423EC398A}" srcOrd="0" destOrd="0" presId="urn:microsoft.com/office/officeart/2005/8/layout/cycle6"/>
    <dgm:cxn modelId="{FBFA780F-D3BD-404C-AC89-25B204FBAF5B}" type="presOf" srcId="{65F67605-B47A-4B5D-A452-2F494CF8A1BE}" destId="{DF0DC1CE-1F4A-48DC-AFFD-07E9C6A0EF07}" srcOrd="0" destOrd="0" presId="urn:microsoft.com/office/officeart/2005/8/layout/cycle6"/>
    <dgm:cxn modelId="{DF89AE16-F86A-429B-BEFF-7ABD6EE5C2C8}" type="presOf" srcId="{E20C0355-A345-4697-B966-5B069F4BE367}" destId="{E6FB05A1-91EA-4DB6-BC74-9FFE02E9FCB8}" srcOrd="0" destOrd="0" presId="urn:microsoft.com/office/officeart/2005/8/layout/cycle6"/>
    <dgm:cxn modelId="{B51E9531-006D-46B5-9387-F3AA5F34896B}" type="presOf" srcId="{37501E13-FEB8-4F0E-B47C-5F3A157F2AC9}" destId="{0C0E2D30-28A7-4862-B4E6-C87F7AC360AF}" srcOrd="0" destOrd="0" presId="urn:microsoft.com/office/officeart/2005/8/layout/cycle6"/>
    <dgm:cxn modelId="{87AAF73D-7495-4EE0-800E-BE630DF8A4F6}" type="presOf" srcId="{EF4AFE7E-5E66-40DB-A286-ECD7DFABDC86}" destId="{C6528262-59A1-4903-9765-A13C1742F464}" srcOrd="0" destOrd="0" presId="urn:microsoft.com/office/officeart/2005/8/layout/cycle6"/>
    <dgm:cxn modelId="{3B37A65D-7BCD-4F46-854E-15A9E3DB5C2B}" srcId="{37501E13-FEB8-4F0E-B47C-5F3A157F2AC9}" destId="{41B5F887-1CAC-4757-8941-DDC4BA18E9F4}" srcOrd="1" destOrd="0" parTransId="{9871429C-6C62-465C-AA16-8AF883B2E6E0}" sibTransId="{EF4AFE7E-5E66-40DB-A286-ECD7DFABDC86}"/>
    <dgm:cxn modelId="{C2B3CC5D-EA25-478B-9A1A-8277E795D395}" type="presOf" srcId="{489D1BEF-7B35-4A3C-A017-F7E45C8B3F3B}" destId="{53CE2DA0-1984-4651-BCCF-702D81639EA2}" srcOrd="0" destOrd="0" presId="urn:microsoft.com/office/officeart/2005/8/layout/cycle6"/>
    <dgm:cxn modelId="{9DC4C345-7B81-4310-B311-48168051AEEE}" type="presOf" srcId="{BA263744-A438-4122-997B-B1D3DE124F18}" destId="{365A0813-CBDD-4C2A-8B04-389DC0FBF241}" srcOrd="0" destOrd="0" presId="urn:microsoft.com/office/officeart/2005/8/layout/cycle6"/>
    <dgm:cxn modelId="{BC3D8D46-9CAE-4C01-AD43-CEF3EF34C1E2}" srcId="{37501E13-FEB8-4F0E-B47C-5F3A157F2AC9}" destId="{4FA26527-747B-4352-9FE7-B31BE8105B4E}" srcOrd="3" destOrd="0" parTransId="{7A9C0D4B-5823-450F-8886-E78EF656F790}" sibTransId="{489D1BEF-7B35-4A3C-A017-F7E45C8B3F3B}"/>
    <dgm:cxn modelId="{CEEE8D9F-07D1-4481-BDE9-5BA001CA8700}" type="presOf" srcId="{41B5F887-1CAC-4757-8941-DDC4BA18E9F4}" destId="{9D5BA106-4230-4808-8C1F-C123BC4996F4}" srcOrd="0" destOrd="0" presId="urn:microsoft.com/office/officeart/2005/8/layout/cycle6"/>
    <dgm:cxn modelId="{7F10D6AD-F174-42B3-B89B-2B5CECD312E9}" srcId="{37501E13-FEB8-4F0E-B47C-5F3A157F2AC9}" destId="{BA263744-A438-4122-997B-B1D3DE124F18}" srcOrd="0" destOrd="0" parTransId="{7189C248-E100-46E1-A5B2-9812E8D974E0}" sibTransId="{8F5B7BFE-E27A-4F85-A8AD-0043B3C3EF5D}"/>
    <dgm:cxn modelId="{288ED6B3-6993-47F1-A21D-2B666D175F30}" type="presOf" srcId="{DFB7331E-FC5A-4A93-B0D9-742D764FBE5E}" destId="{8F55B151-6D97-4FF6-812E-9225D4BFA845}" srcOrd="0" destOrd="0" presId="urn:microsoft.com/office/officeart/2005/8/layout/cycle6"/>
    <dgm:cxn modelId="{2D705FC5-802F-4D91-B093-A86105B64CEC}" type="presOf" srcId="{8F5B7BFE-E27A-4F85-A8AD-0043B3C3EF5D}" destId="{20612444-AF79-48DF-8A9C-072F3BEB1E1D}" srcOrd="0" destOrd="0" presId="urn:microsoft.com/office/officeart/2005/8/layout/cycle6"/>
    <dgm:cxn modelId="{045C05C9-1C4D-4B7B-A3C5-0D224AE590BB}" srcId="{37501E13-FEB8-4F0E-B47C-5F3A157F2AC9}" destId="{2B0BC08B-0722-478D-988F-F224D7DD0AEC}" srcOrd="5" destOrd="0" parTransId="{05D79991-D601-4F79-A83A-852367C36A30}" sibTransId="{0385631E-43AF-48C8-AEEE-9D56780ACDED}"/>
    <dgm:cxn modelId="{512837DF-0730-4F2A-977D-408B6B352D91}" srcId="{37501E13-FEB8-4F0E-B47C-5F3A157F2AC9}" destId="{DFB7331E-FC5A-4A93-B0D9-742D764FBE5E}" srcOrd="4" destOrd="0" parTransId="{8F855DB6-4D1C-411D-8DD1-338490FF8174}" sibTransId="{65F67605-B47A-4B5D-A452-2F494CF8A1BE}"/>
    <dgm:cxn modelId="{ED17CAE1-FFF0-4AA6-89B8-A43F35397F01}" type="presOf" srcId="{67F64DD9-BDFF-4C12-88B2-15A012FA0444}" destId="{80B629C2-95A5-497A-BE39-499EED61A48B}" srcOrd="0" destOrd="0" presId="urn:microsoft.com/office/officeart/2005/8/layout/cycle6"/>
    <dgm:cxn modelId="{0542EFE5-2D73-4AFC-882B-D6D4CC4085CD}" type="presOf" srcId="{0385631E-43AF-48C8-AEEE-9D56780ACDED}" destId="{1C0508C7-6ED9-4B6D-9C0A-225E944BB3A3}" srcOrd="0" destOrd="0" presId="urn:microsoft.com/office/officeart/2005/8/layout/cycle6"/>
    <dgm:cxn modelId="{2F8ACAE6-F1A0-44B9-96FC-7E47C72D33BC}" srcId="{37501E13-FEB8-4F0E-B47C-5F3A157F2AC9}" destId="{67F64DD9-BDFF-4C12-88B2-15A012FA0444}" srcOrd="2" destOrd="0" parTransId="{0067E3B8-3F27-4DE6-9BD8-7846923DAB4B}" sibTransId="{E20C0355-A345-4697-B966-5B069F4BE367}"/>
    <dgm:cxn modelId="{6E1ABAEE-C213-4768-81AE-54D9A55E367A}" type="presOf" srcId="{2B0BC08B-0722-478D-988F-F224D7DD0AEC}" destId="{FE071207-D571-4BFA-910A-AD1F6D137A48}" srcOrd="0" destOrd="0" presId="urn:microsoft.com/office/officeart/2005/8/layout/cycle6"/>
    <dgm:cxn modelId="{D146221E-8B4B-41A0-AE8E-0B72DD2E7DD8}" type="presParOf" srcId="{0C0E2D30-28A7-4862-B4E6-C87F7AC360AF}" destId="{365A0813-CBDD-4C2A-8B04-389DC0FBF241}" srcOrd="0" destOrd="0" presId="urn:microsoft.com/office/officeart/2005/8/layout/cycle6"/>
    <dgm:cxn modelId="{1673B4FB-AADF-44D5-8ECB-5B5551C6E93A}" type="presParOf" srcId="{0C0E2D30-28A7-4862-B4E6-C87F7AC360AF}" destId="{8382BC18-1B0C-41F7-8245-05E026554179}" srcOrd="1" destOrd="0" presId="urn:microsoft.com/office/officeart/2005/8/layout/cycle6"/>
    <dgm:cxn modelId="{05C89C81-98C8-46BD-802C-1B910F408014}" type="presParOf" srcId="{0C0E2D30-28A7-4862-B4E6-C87F7AC360AF}" destId="{20612444-AF79-48DF-8A9C-072F3BEB1E1D}" srcOrd="2" destOrd="0" presId="urn:microsoft.com/office/officeart/2005/8/layout/cycle6"/>
    <dgm:cxn modelId="{0ECC7608-2F2A-4372-BDB7-D76345D360BA}" type="presParOf" srcId="{0C0E2D30-28A7-4862-B4E6-C87F7AC360AF}" destId="{9D5BA106-4230-4808-8C1F-C123BC4996F4}" srcOrd="3" destOrd="0" presId="urn:microsoft.com/office/officeart/2005/8/layout/cycle6"/>
    <dgm:cxn modelId="{7FA64DD9-2227-4A15-B627-F409E5A2F420}" type="presParOf" srcId="{0C0E2D30-28A7-4862-B4E6-C87F7AC360AF}" destId="{0FC3AB1C-5611-4709-AE48-1F13D3BCC41F}" srcOrd="4" destOrd="0" presId="urn:microsoft.com/office/officeart/2005/8/layout/cycle6"/>
    <dgm:cxn modelId="{1E0FC0FC-E37B-4F7B-8B07-1C75FEC314FA}" type="presParOf" srcId="{0C0E2D30-28A7-4862-B4E6-C87F7AC360AF}" destId="{C6528262-59A1-4903-9765-A13C1742F464}" srcOrd="5" destOrd="0" presId="urn:microsoft.com/office/officeart/2005/8/layout/cycle6"/>
    <dgm:cxn modelId="{81261F3A-503A-40F2-B6A9-FF32CD53C39D}" type="presParOf" srcId="{0C0E2D30-28A7-4862-B4E6-C87F7AC360AF}" destId="{80B629C2-95A5-497A-BE39-499EED61A48B}" srcOrd="6" destOrd="0" presId="urn:microsoft.com/office/officeart/2005/8/layout/cycle6"/>
    <dgm:cxn modelId="{AFE54FCC-E402-4036-A656-1BE0DDD1D6EF}" type="presParOf" srcId="{0C0E2D30-28A7-4862-B4E6-C87F7AC360AF}" destId="{4C19F58E-9C93-41CA-9674-552C42EF215C}" srcOrd="7" destOrd="0" presId="urn:microsoft.com/office/officeart/2005/8/layout/cycle6"/>
    <dgm:cxn modelId="{55893108-0E19-4423-B566-E9780BD41582}" type="presParOf" srcId="{0C0E2D30-28A7-4862-B4E6-C87F7AC360AF}" destId="{E6FB05A1-91EA-4DB6-BC74-9FFE02E9FCB8}" srcOrd="8" destOrd="0" presId="urn:microsoft.com/office/officeart/2005/8/layout/cycle6"/>
    <dgm:cxn modelId="{4D4D734D-02C9-4474-9747-8F2D90C4A468}" type="presParOf" srcId="{0C0E2D30-28A7-4862-B4E6-C87F7AC360AF}" destId="{05795B5B-CC65-4DBD-AD5F-6D2423EC398A}" srcOrd="9" destOrd="0" presId="urn:microsoft.com/office/officeart/2005/8/layout/cycle6"/>
    <dgm:cxn modelId="{1FC2B357-BE8B-42DD-A1E5-01E487B4A953}" type="presParOf" srcId="{0C0E2D30-28A7-4862-B4E6-C87F7AC360AF}" destId="{981C7617-7A88-4BDC-8EF2-91B8CFC6C273}" srcOrd="10" destOrd="0" presId="urn:microsoft.com/office/officeart/2005/8/layout/cycle6"/>
    <dgm:cxn modelId="{EBE05921-E25F-4F4F-B01A-7231AD075F87}" type="presParOf" srcId="{0C0E2D30-28A7-4862-B4E6-C87F7AC360AF}" destId="{53CE2DA0-1984-4651-BCCF-702D81639EA2}" srcOrd="11" destOrd="0" presId="urn:microsoft.com/office/officeart/2005/8/layout/cycle6"/>
    <dgm:cxn modelId="{B7754236-DC48-4C6F-8062-6F9CB5B8C93F}" type="presParOf" srcId="{0C0E2D30-28A7-4862-B4E6-C87F7AC360AF}" destId="{8F55B151-6D97-4FF6-812E-9225D4BFA845}" srcOrd="12" destOrd="0" presId="urn:microsoft.com/office/officeart/2005/8/layout/cycle6"/>
    <dgm:cxn modelId="{E650D8A9-E8B1-4A56-B6CB-1B20D531CC83}" type="presParOf" srcId="{0C0E2D30-28A7-4862-B4E6-C87F7AC360AF}" destId="{52D5EFE7-E2CE-44D8-92AA-D05413B0F9F1}" srcOrd="13" destOrd="0" presId="urn:microsoft.com/office/officeart/2005/8/layout/cycle6"/>
    <dgm:cxn modelId="{50500D27-F79E-4604-AF53-67F51B8A8E44}" type="presParOf" srcId="{0C0E2D30-28A7-4862-B4E6-C87F7AC360AF}" destId="{DF0DC1CE-1F4A-48DC-AFFD-07E9C6A0EF07}" srcOrd="14" destOrd="0" presId="urn:microsoft.com/office/officeart/2005/8/layout/cycle6"/>
    <dgm:cxn modelId="{A0958D33-ADA5-41C2-976C-A6174E3BE710}" type="presParOf" srcId="{0C0E2D30-28A7-4862-B4E6-C87F7AC360AF}" destId="{FE071207-D571-4BFA-910A-AD1F6D137A48}" srcOrd="15" destOrd="0" presId="urn:microsoft.com/office/officeart/2005/8/layout/cycle6"/>
    <dgm:cxn modelId="{E7B326D1-4B54-46B2-8175-B495D055856D}" type="presParOf" srcId="{0C0E2D30-28A7-4862-B4E6-C87F7AC360AF}" destId="{53A315CD-4BC4-443A-A958-1AEE332CCE6F}" srcOrd="16" destOrd="0" presId="urn:microsoft.com/office/officeart/2005/8/layout/cycle6"/>
    <dgm:cxn modelId="{8D3AF5F7-70BD-4617-9BD3-E4AD5B1863CD}" type="presParOf" srcId="{0C0E2D30-28A7-4862-B4E6-C87F7AC360AF}" destId="{1C0508C7-6ED9-4B6D-9C0A-225E944BB3A3}" srcOrd="17" destOrd="0" presId="urn:microsoft.com/office/officeart/2005/8/layout/cycle6"/>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65A0813-CBDD-4C2A-8B04-389DC0FBF241}">
      <dsp:nvSpPr>
        <dsp:cNvPr id="0" name=""/>
        <dsp:cNvSpPr/>
      </dsp:nvSpPr>
      <dsp:spPr>
        <a:xfrm>
          <a:off x="2312565" y="2598"/>
          <a:ext cx="861268" cy="559824"/>
        </a:xfrm>
        <a:prstGeom prst="roundRect">
          <a:avLst/>
        </a:prstGeom>
        <a:solidFill>
          <a:schemeClr val="accent3">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Description</a:t>
          </a:r>
          <a:endParaRPr lang="en-US" sz="1100" kern="1200"/>
        </a:p>
      </dsp:txBody>
      <dsp:txXfrm>
        <a:off x="2339893" y="29926"/>
        <a:ext cx="806612" cy="505168"/>
      </dsp:txXfrm>
    </dsp:sp>
    <dsp:sp modelId="{20612444-AF79-48DF-8A9C-072F3BEB1E1D}">
      <dsp:nvSpPr>
        <dsp:cNvPr id="0" name=""/>
        <dsp:cNvSpPr/>
      </dsp:nvSpPr>
      <dsp:spPr>
        <a:xfrm>
          <a:off x="1425510" y="282510"/>
          <a:ext cx="2635379" cy="2635379"/>
        </a:xfrm>
        <a:custGeom>
          <a:avLst/>
          <a:gdLst/>
          <a:ahLst/>
          <a:cxnLst/>
          <a:rect l="0" t="0" r="0" b="0"/>
          <a:pathLst>
            <a:path>
              <a:moveTo>
                <a:pt x="1753814" y="74266"/>
              </a:moveTo>
              <a:arcTo wR="1317689" hR="1317689" stAng="17359686" swAng="1499184"/>
            </a:path>
          </a:pathLst>
        </a:custGeom>
        <a:noFill/>
        <a:ln w="9525" cap="flat" cmpd="sng" algn="ctr">
          <a:solidFill>
            <a:schemeClr val="accent3">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9D5BA106-4230-4808-8C1F-C123BC4996F4}">
      <dsp:nvSpPr>
        <dsp:cNvPr id="0" name=""/>
        <dsp:cNvSpPr/>
      </dsp:nvSpPr>
      <dsp:spPr>
        <a:xfrm>
          <a:off x="3453718" y="661443"/>
          <a:ext cx="861268" cy="559824"/>
        </a:xfrm>
        <a:prstGeom prst="roundRect">
          <a:avLst/>
        </a:prstGeom>
        <a:solidFill>
          <a:schemeClr val="accent3">
            <a:hueOff val="2250053"/>
            <a:satOff val="-3376"/>
            <a:lumOff val="-549"/>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Feelings</a:t>
          </a:r>
          <a:endParaRPr lang="en-US" sz="1100" kern="1200"/>
        </a:p>
      </dsp:txBody>
      <dsp:txXfrm>
        <a:off x="3481046" y="688771"/>
        <a:ext cx="806612" cy="505168"/>
      </dsp:txXfrm>
    </dsp:sp>
    <dsp:sp modelId="{C6528262-59A1-4903-9765-A13C1742F464}">
      <dsp:nvSpPr>
        <dsp:cNvPr id="0" name=""/>
        <dsp:cNvSpPr/>
      </dsp:nvSpPr>
      <dsp:spPr>
        <a:xfrm>
          <a:off x="1425510" y="282510"/>
          <a:ext cx="2635379" cy="2635379"/>
        </a:xfrm>
        <a:custGeom>
          <a:avLst/>
          <a:gdLst/>
          <a:ahLst/>
          <a:cxnLst/>
          <a:rect l="0" t="0" r="0" b="0"/>
          <a:pathLst>
            <a:path>
              <a:moveTo>
                <a:pt x="2581876" y="946021"/>
              </a:moveTo>
              <a:arcTo wR="1317689" hR="1317689" stAng="20617008" swAng="1965984"/>
            </a:path>
          </a:pathLst>
        </a:custGeom>
        <a:noFill/>
        <a:ln w="9525" cap="flat" cmpd="sng" algn="ctr">
          <a:solidFill>
            <a:schemeClr val="accent3">
              <a:hueOff val="2250053"/>
              <a:satOff val="-3376"/>
              <a:lumOff val="-549"/>
              <a:alphaOff val="0"/>
            </a:schemeClr>
          </a:solidFill>
          <a:prstDash val="solid"/>
        </a:ln>
        <a:effectLst/>
      </dsp:spPr>
      <dsp:style>
        <a:lnRef idx="1">
          <a:scrgbClr r="0" g="0" b="0"/>
        </a:lnRef>
        <a:fillRef idx="0">
          <a:scrgbClr r="0" g="0" b="0"/>
        </a:fillRef>
        <a:effectRef idx="0">
          <a:scrgbClr r="0" g="0" b="0"/>
        </a:effectRef>
        <a:fontRef idx="minor"/>
      </dsp:style>
    </dsp:sp>
    <dsp:sp modelId="{80B629C2-95A5-497A-BE39-499EED61A48B}">
      <dsp:nvSpPr>
        <dsp:cNvPr id="0" name=""/>
        <dsp:cNvSpPr/>
      </dsp:nvSpPr>
      <dsp:spPr>
        <a:xfrm>
          <a:off x="3453718" y="1979132"/>
          <a:ext cx="861268" cy="559824"/>
        </a:xfrm>
        <a:prstGeom prst="roundRect">
          <a:avLst/>
        </a:prstGeom>
        <a:solidFill>
          <a:schemeClr val="accent3">
            <a:hueOff val="4500106"/>
            <a:satOff val="-6752"/>
            <a:lumOff val="-1098"/>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Evaluation</a:t>
          </a:r>
          <a:endParaRPr lang="en-US" sz="1100" kern="1200"/>
        </a:p>
      </dsp:txBody>
      <dsp:txXfrm>
        <a:off x="3481046" y="2006460"/>
        <a:ext cx="806612" cy="505168"/>
      </dsp:txXfrm>
    </dsp:sp>
    <dsp:sp modelId="{E6FB05A1-91EA-4DB6-BC74-9FFE02E9FCB8}">
      <dsp:nvSpPr>
        <dsp:cNvPr id="0" name=""/>
        <dsp:cNvSpPr/>
      </dsp:nvSpPr>
      <dsp:spPr>
        <a:xfrm>
          <a:off x="1425510" y="282510"/>
          <a:ext cx="2635379" cy="2635379"/>
        </a:xfrm>
        <a:custGeom>
          <a:avLst/>
          <a:gdLst/>
          <a:ahLst/>
          <a:cxnLst/>
          <a:rect l="0" t="0" r="0" b="0"/>
          <a:pathLst>
            <a:path>
              <a:moveTo>
                <a:pt x="2238222" y="2260517"/>
              </a:moveTo>
              <a:arcTo wR="1317689" hR="1317689" stAng="2741131" swAng="1499184"/>
            </a:path>
          </a:pathLst>
        </a:custGeom>
        <a:noFill/>
        <a:ln w="9525" cap="flat" cmpd="sng" algn="ctr">
          <a:solidFill>
            <a:schemeClr val="accent3">
              <a:hueOff val="4500106"/>
              <a:satOff val="-6752"/>
              <a:lumOff val="-1098"/>
              <a:alphaOff val="0"/>
            </a:schemeClr>
          </a:solidFill>
          <a:prstDash val="solid"/>
        </a:ln>
        <a:effectLst/>
      </dsp:spPr>
      <dsp:style>
        <a:lnRef idx="1">
          <a:scrgbClr r="0" g="0" b="0"/>
        </a:lnRef>
        <a:fillRef idx="0">
          <a:scrgbClr r="0" g="0" b="0"/>
        </a:fillRef>
        <a:effectRef idx="0">
          <a:scrgbClr r="0" g="0" b="0"/>
        </a:effectRef>
        <a:fontRef idx="minor"/>
      </dsp:style>
    </dsp:sp>
    <dsp:sp modelId="{05795B5B-CC65-4DBD-AD5F-6D2423EC398A}">
      <dsp:nvSpPr>
        <dsp:cNvPr id="0" name=""/>
        <dsp:cNvSpPr/>
      </dsp:nvSpPr>
      <dsp:spPr>
        <a:xfrm>
          <a:off x="2312565" y="2637977"/>
          <a:ext cx="861268" cy="559824"/>
        </a:xfrm>
        <a:prstGeom prst="roundRect">
          <a:avLst/>
        </a:prstGeom>
        <a:solidFill>
          <a:schemeClr val="accent3">
            <a:hueOff val="6750158"/>
            <a:satOff val="-10128"/>
            <a:lumOff val="-1647"/>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Analysis</a:t>
          </a:r>
          <a:endParaRPr lang="en-US" sz="1100" kern="1200"/>
        </a:p>
      </dsp:txBody>
      <dsp:txXfrm>
        <a:off x="2339893" y="2665305"/>
        <a:ext cx="806612" cy="505168"/>
      </dsp:txXfrm>
    </dsp:sp>
    <dsp:sp modelId="{53CE2DA0-1984-4651-BCCF-702D81639EA2}">
      <dsp:nvSpPr>
        <dsp:cNvPr id="0" name=""/>
        <dsp:cNvSpPr/>
      </dsp:nvSpPr>
      <dsp:spPr>
        <a:xfrm>
          <a:off x="1425510" y="282510"/>
          <a:ext cx="2635379" cy="2635379"/>
        </a:xfrm>
        <a:custGeom>
          <a:avLst/>
          <a:gdLst/>
          <a:ahLst/>
          <a:cxnLst/>
          <a:rect l="0" t="0" r="0" b="0"/>
          <a:pathLst>
            <a:path>
              <a:moveTo>
                <a:pt x="881564" y="2561112"/>
              </a:moveTo>
              <a:arcTo wR="1317689" hR="1317689" stAng="6559686" swAng="1499184"/>
            </a:path>
          </a:pathLst>
        </a:custGeom>
        <a:noFill/>
        <a:ln w="9525" cap="flat" cmpd="sng" algn="ctr">
          <a:solidFill>
            <a:schemeClr val="accent3">
              <a:hueOff val="6750158"/>
              <a:satOff val="-10128"/>
              <a:lumOff val="-1647"/>
              <a:alphaOff val="0"/>
            </a:schemeClr>
          </a:solidFill>
          <a:prstDash val="solid"/>
        </a:ln>
        <a:effectLst/>
      </dsp:spPr>
      <dsp:style>
        <a:lnRef idx="1">
          <a:scrgbClr r="0" g="0" b="0"/>
        </a:lnRef>
        <a:fillRef idx="0">
          <a:scrgbClr r="0" g="0" b="0"/>
        </a:fillRef>
        <a:effectRef idx="0">
          <a:scrgbClr r="0" g="0" b="0"/>
        </a:effectRef>
        <a:fontRef idx="minor"/>
      </dsp:style>
    </dsp:sp>
    <dsp:sp modelId="{8F55B151-6D97-4FF6-812E-9225D4BFA845}">
      <dsp:nvSpPr>
        <dsp:cNvPr id="0" name=""/>
        <dsp:cNvSpPr/>
      </dsp:nvSpPr>
      <dsp:spPr>
        <a:xfrm>
          <a:off x="1171413" y="1979132"/>
          <a:ext cx="861268" cy="559824"/>
        </a:xfrm>
        <a:prstGeom prst="roundRect">
          <a:avLst/>
        </a:prstGeom>
        <a:solidFill>
          <a:schemeClr val="accent3">
            <a:hueOff val="9000211"/>
            <a:satOff val="-13504"/>
            <a:lumOff val="-2196"/>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Conclusion</a:t>
          </a:r>
          <a:endParaRPr lang="en-US" sz="1100" kern="1200"/>
        </a:p>
      </dsp:txBody>
      <dsp:txXfrm>
        <a:off x="1198741" y="2006460"/>
        <a:ext cx="806612" cy="505168"/>
      </dsp:txXfrm>
    </dsp:sp>
    <dsp:sp modelId="{DF0DC1CE-1F4A-48DC-AFFD-07E9C6A0EF07}">
      <dsp:nvSpPr>
        <dsp:cNvPr id="0" name=""/>
        <dsp:cNvSpPr/>
      </dsp:nvSpPr>
      <dsp:spPr>
        <a:xfrm>
          <a:off x="1425510" y="282510"/>
          <a:ext cx="2635379" cy="2635379"/>
        </a:xfrm>
        <a:custGeom>
          <a:avLst/>
          <a:gdLst/>
          <a:ahLst/>
          <a:cxnLst/>
          <a:rect l="0" t="0" r="0" b="0"/>
          <a:pathLst>
            <a:path>
              <a:moveTo>
                <a:pt x="53502" y="1689357"/>
              </a:moveTo>
              <a:arcTo wR="1317689" hR="1317689" stAng="9817008" swAng="1965984"/>
            </a:path>
          </a:pathLst>
        </a:custGeom>
        <a:noFill/>
        <a:ln w="9525" cap="flat" cmpd="sng" algn="ctr">
          <a:solidFill>
            <a:schemeClr val="accent3">
              <a:hueOff val="9000211"/>
              <a:satOff val="-13504"/>
              <a:lumOff val="-2196"/>
              <a:alphaOff val="0"/>
            </a:schemeClr>
          </a:solidFill>
          <a:prstDash val="solid"/>
        </a:ln>
        <a:effectLst/>
      </dsp:spPr>
      <dsp:style>
        <a:lnRef idx="1">
          <a:scrgbClr r="0" g="0" b="0"/>
        </a:lnRef>
        <a:fillRef idx="0">
          <a:scrgbClr r="0" g="0" b="0"/>
        </a:fillRef>
        <a:effectRef idx="0">
          <a:scrgbClr r="0" g="0" b="0"/>
        </a:effectRef>
        <a:fontRef idx="minor"/>
      </dsp:style>
    </dsp:sp>
    <dsp:sp modelId="{FE071207-D571-4BFA-910A-AD1F6D137A48}">
      <dsp:nvSpPr>
        <dsp:cNvPr id="0" name=""/>
        <dsp:cNvSpPr/>
      </dsp:nvSpPr>
      <dsp:spPr>
        <a:xfrm>
          <a:off x="1171413" y="661443"/>
          <a:ext cx="861268" cy="559824"/>
        </a:xfrm>
        <a:prstGeom prst="roundRect">
          <a:avLst/>
        </a:prstGeom>
        <a:solidFill>
          <a:schemeClr val="accent3">
            <a:hueOff val="11250264"/>
            <a:satOff val="-16880"/>
            <a:lumOff val="-2745"/>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Action Plan</a:t>
          </a:r>
          <a:endParaRPr lang="en-US" sz="1100" kern="1200"/>
        </a:p>
      </dsp:txBody>
      <dsp:txXfrm>
        <a:off x="1198741" y="688771"/>
        <a:ext cx="806612" cy="505168"/>
      </dsp:txXfrm>
    </dsp:sp>
    <dsp:sp modelId="{1C0508C7-6ED9-4B6D-9C0A-225E944BB3A3}">
      <dsp:nvSpPr>
        <dsp:cNvPr id="0" name=""/>
        <dsp:cNvSpPr/>
      </dsp:nvSpPr>
      <dsp:spPr>
        <a:xfrm>
          <a:off x="1425510" y="282510"/>
          <a:ext cx="2635379" cy="2635379"/>
        </a:xfrm>
        <a:custGeom>
          <a:avLst/>
          <a:gdLst/>
          <a:ahLst/>
          <a:cxnLst/>
          <a:rect l="0" t="0" r="0" b="0"/>
          <a:pathLst>
            <a:path>
              <a:moveTo>
                <a:pt x="397156" y="374861"/>
              </a:moveTo>
              <a:arcTo wR="1317689" hR="1317689" stAng="13541131" swAng="1499184"/>
            </a:path>
          </a:pathLst>
        </a:custGeom>
        <a:noFill/>
        <a:ln w="9525" cap="flat" cmpd="sng" algn="ctr">
          <a:solidFill>
            <a:schemeClr val="accent3">
              <a:hueOff val="11250264"/>
              <a:satOff val="-16880"/>
              <a:lumOff val="-2745"/>
              <a:alphaOff val="0"/>
            </a:schemeClr>
          </a:solidFill>
          <a:prstDash val="solid"/>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53AD4B-15BD-4D06-933A-B933BC508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Words>7010</Words>
  <Pages>33</Pages>
  <Characters>44833</Characters>
  <Application>WPS Office</Application>
  <DocSecurity>0</DocSecurity>
  <Paragraphs>404</Paragraphs>
  <ScaleCrop>false</ScaleCrop>
  <LinksUpToDate>false</LinksUpToDate>
  <CharactersWithSpaces>51605</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2026-07-12T07:02:00Z</dcterms:created>
  <dc:creator>pc</dc:creator>
  <lastModifiedBy>V2218</lastModifiedBy>
  <dcterms:modified xsi:type="dcterms:W3CDTF">2026-08-11T16:51:51Z</dcterms:modified>
  <revision>76</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4261aa086ed840ff9a728cb2428c8a5e</vt:lpwstr>
  </property>
</Properties>
</file>