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272126" w14:textId="1D250405" w:rsidR="007823F5" w:rsidRDefault="0071783E" w:rsidP="007823F5">
      <w:pPr>
        <w:tabs>
          <w:tab w:val="left" w:pos="720"/>
          <w:tab w:val="left" w:pos="1440"/>
          <w:tab w:val="left" w:pos="2160"/>
          <w:tab w:val="left" w:pos="2880"/>
          <w:tab w:val="left" w:pos="3600"/>
        </w:tabs>
        <w:spacing w:line="360" w:lineRule="auto"/>
        <w:jc w:val="both"/>
        <w:rPr>
          <w:rFonts w:asciiTheme="majorBidi" w:hAnsiTheme="majorBidi" w:cstheme="majorBidi"/>
          <w:b/>
          <w:bCs/>
          <w:sz w:val="36"/>
          <w:szCs w:val="36"/>
        </w:rPr>
      </w:pPr>
      <w:r>
        <w:rPr>
          <w:noProof/>
        </w:rPr>
        <w:drawing>
          <wp:inline distT="0" distB="0" distL="0" distR="0" wp14:anchorId="30180112" wp14:editId="00E8B6DE">
            <wp:extent cx="5731510" cy="24657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465705"/>
                    </a:xfrm>
                    <a:prstGeom prst="rect">
                      <a:avLst/>
                    </a:prstGeom>
                  </pic:spPr>
                </pic:pic>
              </a:graphicData>
            </a:graphic>
          </wp:inline>
        </w:drawing>
      </w:r>
    </w:p>
    <w:p w14:paraId="552F5A69" w14:textId="77777777" w:rsidR="007823F5" w:rsidRDefault="007823F5" w:rsidP="007823F5">
      <w:pPr>
        <w:tabs>
          <w:tab w:val="left" w:pos="720"/>
          <w:tab w:val="left" w:pos="1440"/>
          <w:tab w:val="left" w:pos="2160"/>
          <w:tab w:val="left" w:pos="2880"/>
          <w:tab w:val="left" w:pos="3600"/>
        </w:tabs>
        <w:spacing w:line="360" w:lineRule="auto"/>
        <w:jc w:val="both"/>
        <w:rPr>
          <w:rFonts w:asciiTheme="majorBidi" w:hAnsiTheme="majorBidi" w:cstheme="majorBidi"/>
          <w:b/>
          <w:bCs/>
          <w:sz w:val="36"/>
          <w:szCs w:val="36"/>
        </w:rPr>
      </w:pPr>
    </w:p>
    <w:p w14:paraId="6174657C" w14:textId="157C2FDB" w:rsidR="000E5A60" w:rsidRPr="007823F5" w:rsidRDefault="000E5A60" w:rsidP="007823F5">
      <w:pPr>
        <w:jc w:val="center"/>
        <w:rPr>
          <w:b/>
          <w:sz w:val="28"/>
        </w:rPr>
      </w:pPr>
      <w:r w:rsidRPr="007823F5">
        <w:rPr>
          <w:b/>
          <w:sz w:val="28"/>
        </w:rPr>
        <w:t>Student ID</w:t>
      </w:r>
      <w:r w:rsidR="007823F5">
        <w:rPr>
          <w:b/>
          <w:sz w:val="28"/>
        </w:rPr>
        <w:t>:</w:t>
      </w:r>
      <w:r w:rsidR="00F718C7">
        <w:rPr>
          <w:b/>
          <w:sz w:val="28"/>
        </w:rPr>
        <w:t>2133245</w:t>
      </w:r>
    </w:p>
    <w:p w14:paraId="49664068" w14:textId="729DABB2" w:rsidR="000E5A60" w:rsidRPr="00DA741D" w:rsidRDefault="000402E9" w:rsidP="00473E91">
      <w:pPr>
        <w:spacing w:line="360" w:lineRule="auto"/>
        <w:jc w:val="both"/>
        <w:rPr>
          <w:rFonts w:asciiTheme="majorBidi" w:hAnsiTheme="majorBidi" w:cstheme="majorBidi"/>
          <w:b/>
          <w:bCs/>
          <w:sz w:val="36"/>
          <w:szCs w:val="36"/>
        </w:rPr>
      </w:pPr>
      <w:r w:rsidRPr="00DA741D">
        <w:rPr>
          <w:rFonts w:asciiTheme="majorBidi" w:hAnsiTheme="majorBidi" w:cstheme="majorBidi"/>
          <w:b/>
          <w:bCs/>
          <w:sz w:val="36"/>
          <w:szCs w:val="36"/>
        </w:rPr>
        <w:tab/>
      </w:r>
    </w:p>
    <w:p w14:paraId="5BE90FF0" w14:textId="7028B094" w:rsidR="005A6A96" w:rsidRPr="00DA741D" w:rsidRDefault="005A6A96" w:rsidP="00473E91">
      <w:pPr>
        <w:spacing w:line="360" w:lineRule="auto"/>
        <w:jc w:val="both"/>
        <w:rPr>
          <w:rFonts w:asciiTheme="majorBidi" w:hAnsiTheme="majorBidi" w:cstheme="majorBidi"/>
        </w:rPr>
      </w:pPr>
      <w:r w:rsidRPr="00DA741D">
        <w:rPr>
          <w:rFonts w:asciiTheme="majorBidi" w:hAnsiTheme="majorBidi" w:cstheme="majorBidi"/>
        </w:rPr>
        <w:br w:type="page"/>
      </w:r>
    </w:p>
    <w:sdt>
      <w:sdtPr>
        <w:rPr>
          <w:rFonts w:ascii="Times New Roman" w:eastAsiaTheme="minorHAnsi" w:hAnsi="Times New Roman" w:cstheme="minorBidi"/>
          <w:color w:val="auto"/>
          <w:sz w:val="22"/>
          <w:szCs w:val="22"/>
        </w:rPr>
        <w:id w:val="1559278775"/>
        <w:docPartObj>
          <w:docPartGallery w:val="Table of Contents"/>
          <w:docPartUnique/>
        </w:docPartObj>
      </w:sdtPr>
      <w:sdtEndPr>
        <w:rPr>
          <w:rFonts w:asciiTheme="majorBidi" w:hAnsiTheme="majorBidi" w:cstheme="majorBidi"/>
          <w:b/>
          <w:bCs/>
          <w:noProof/>
        </w:rPr>
      </w:sdtEndPr>
      <w:sdtContent>
        <w:p w14:paraId="3709A16D" w14:textId="2DFA324D" w:rsidR="001F47B0" w:rsidRPr="000B66EA" w:rsidRDefault="003F721C" w:rsidP="007823F5">
          <w:pPr>
            <w:pStyle w:val="TOCHeading"/>
            <w:shd w:val="clear" w:color="auto" w:fill="002060"/>
            <w:rPr>
              <w:rFonts w:asciiTheme="majorBidi" w:hAnsiTheme="majorBidi" w:cstheme="majorBidi"/>
              <w:b/>
              <w:color w:val="FFFFFF" w:themeColor="background1"/>
            </w:rPr>
          </w:pPr>
          <w:r w:rsidRPr="000B66EA">
            <w:rPr>
              <w:rFonts w:asciiTheme="majorBidi" w:hAnsiTheme="majorBidi" w:cstheme="majorBidi"/>
              <w:b/>
              <w:color w:val="FFFFFF" w:themeColor="background1"/>
            </w:rPr>
            <w:t>Table of Contents</w:t>
          </w:r>
        </w:p>
        <w:p w14:paraId="41228156" w14:textId="4C26EA8E" w:rsidR="003F721C" w:rsidRPr="00DA741D" w:rsidRDefault="0071783E" w:rsidP="00473E91">
          <w:pPr>
            <w:spacing w:line="360" w:lineRule="auto"/>
            <w:jc w:val="both"/>
            <w:rPr>
              <w:rFonts w:asciiTheme="majorBidi" w:hAnsiTheme="majorBidi" w:cstheme="majorBidi"/>
            </w:rPr>
          </w:pPr>
          <w:r>
            <w:rPr>
              <w:noProof/>
            </w:rPr>
            <w:drawing>
              <wp:inline distT="0" distB="0" distL="0" distR="0" wp14:anchorId="0C01271A" wp14:editId="036C4EC5">
                <wp:extent cx="5731510" cy="1233805"/>
                <wp:effectExtent l="0" t="0" r="254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233805"/>
                        </a:xfrm>
                        <a:prstGeom prst="rect">
                          <a:avLst/>
                        </a:prstGeom>
                      </pic:spPr>
                    </pic:pic>
                  </a:graphicData>
                </a:graphic>
              </wp:inline>
            </w:drawing>
          </w:r>
        </w:p>
      </w:sdtContent>
    </w:sdt>
    <w:p w14:paraId="4E743F87" w14:textId="3DEE89EA" w:rsidR="003F721C" w:rsidRPr="00DA741D" w:rsidRDefault="003F721C" w:rsidP="00473E91">
      <w:pPr>
        <w:spacing w:line="360" w:lineRule="auto"/>
        <w:jc w:val="both"/>
        <w:rPr>
          <w:rFonts w:asciiTheme="majorBidi" w:hAnsiTheme="majorBidi" w:cstheme="majorBidi"/>
        </w:rPr>
      </w:pPr>
    </w:p>
    <w:p w14:paraId="0861740E" w14:textId="77777777" w:rsidR="00737C1A" w:rsidRPr="00DA741D" w:rsidRDefault="00737C1A" w:rsidP="00473E91">
      <w:pPr>
        <w:spacing w:line="360" w:lineRule="auto"/>
        <w:jc w:val="both"/>
        <w:rPr>
          <w:rFonts w:asciiTheme="majorBidi" w:hAnsiTheme="majorBidi" w:cstheme="majorBidi"/>
        </w:rPr>
      </w:pPr>
    </w:p>
    <w:p w14:paraId="7D8987AE" w14:textId="2027168C" w:rsidR="003F721C" w:rsidRPr="00DA741D" w:rsidRDefault="003F721C" w:rsidP="00473E91">
      <w:pPr>
        <w:spacing w:line="360" w:lineRule="auto"/>
        <w:jc w:val="both"/>
        <w:rPr>
          <w:rFonts w:asciiTheme="majorBidi" w:hAnsiTheme="majorBidi" w:cstheme="majorBidi"/>
        </w:rPr>
      </w:pPr>
    </w:p>
    <w:p w14:paraId="1698C7E9" w14:textId="7E3A0152" w:rsidR="003F721C" w:rsidRPr="00DA741D" w:rsidRDefault="003F721C" w:rsidP="00473E91">
      <w:pPr>
        <w:spacing w:line="360" w:lineRule="auto"/>
        <w:jc w:val="both"/>
        <w:rPr>
          <w:rFonts w:asciiTheme="majorBidi" w:hAnsiTheme="majorBidi" w:cstheme="majorBidi"/>
        </w:rPr>
      </w:pPr>
    </w:p>
    <w:p w14:paraId="1251922A" w14:textId="5E6113F9" w:rsidR="003F721C" w:rsidRPr="00DA741D" w:rsidRDefault="003F721C" w:rsidP="00473E91">
      <w:pPr>
        <w:spacing w:line="360" w:lineRule="auto"/>
        <w:jc w:val="both"/>
        <w:rPr>
          <w:rFonts w:asciiTheme="majorBidi" w:hAnsiTheme="majorBidi" w:cstheme="majorBidi"/>
        </w:rPr>
      </w:pPr>
    </w:p>
    <w:p w14:paraId="4D481292" w14:textId="60FD4015" w:rsidR="003F721C" w:rsidRPr="00DA741D" w:rsidRDefault="003F721C" w:rsidP="00473E91">
      <w:pPr>
        <w:spacing w:line="360" w:lineRule="auto"/>
        <w:jc w:val="both"/>
        <w:rPr>
          <w:rFonts w:asciiTheme="majorBidi" w:hAnsiTheme="majorBidi" w:cstheme="majorBidi"/>
        </w:rPr>
      </w:pPr>
    </w:p>
    <w:p w14:paraId="6E9045AF" w14:textId="2FCE4588" w:rsidR="003F721C" w:rsidRPr="00DA741D" w:rsidRDefault="003F721C" w:rsidP="00473E91">
      <w:pPr>
        <w:spacing w:line="360" w:lineRule="auto"/>
        <w:jc w:val="both"/>
        <w:rPr>
          <w:rFonts w:asciiTheme="majorBidi" w:hAnsiTheme="majorBidi" w:cstheme="majorBidi"/>
        </w:rPr>
      </w:pPr>
    </w:p>
    <w:p w14:paraId="71FC1065" w14:textId="77777777" w:rsidR="003F721C" w:rsidRPr="00DA741D" w:rsidRDefault="003F721C" w:rsidP="007823F5">
      <w:pPr>
        <w:pStyle w:val="Heading1"/>
        <w:pBdr>
          <w:bottom w:val="single" w:sz="4" w:space="1" w:color="auto"/>
        </w:pBdr>
        <w:sectPr w:rsidR="003F721C" w:rsidRPr="00DA741D" w:rsidSect="003F721C">
          <w:footerReference w:type="default" r:id="rId10"/>
          <w:pgSz w:w="11906" w:h="16838" w:code="9"/>
          <w:pgMar w:top="1440" w:right="1440" w:bottom="1440" w:left="1440" w:header="720" w:footer="720" w:gutter="0"/>
          <w:pgNumType w:fmt="lowerRoman" w:start="1"/>
          <w:cols w:space="720"/>
          <w:docGrid w:linePitch="360"/>
        </w:sectPr>
      </w:pPr>
    </w:p>
    <w:p w14:paraId="174E4F18" w14:textId="6857238F" w:rsidR="003F721C" w:rsidRPr="00D120E5" w:rsidRDefault="003F721C" w:rsidP="0069669F">
      <w:pPr>
        <w:pStyle w:val="Heading1"/>
        <w:pBdr>
          <w:bottom w:val="single" w:sz="4" w:space="2" w:color="auto"/>
        </w:pBdr>
      </w:pPr>
      <w:bookmarkStart w:id="0" w:name="_Toc106038015"/>
      <w:r w:rsidRPr="00D120E5">
        <w:t>Introduction</w:t>
      </w:r>
      <w:bookmarkEnd w:id="0"/>
    </w:p>
    <w:p w14:paraId="3A6A2AB9" w14:textId="336BB97F" w:rsidR="006D7500" w:rsidRPr="00D120E5" w:rsidRDefault="00221A47" w:rsidP="009E1FE6">
      <w:pPr>
        <w:spacing w:line="360" w:lineRule="auto"/>
        <w:jc w:val="both"/>
        <w:rPr>
          <w:rFonts w:asciiTheme="majorBidi" w:hAnsiTheme="majorBidi" w:cstheme="majorBidi"/>
          <w:sz w:val="22"/>
        </w:rPr>
      </w:pPr>
      <w:r w:rsidRPr="00D120E5">
        <w:rPr>
          <w:rFonts w:asciiTheme="majorBidi" w:hAnsiTheme="majorBidi" w:cstheme="majorBidi"/>
        </w:rPr>
        <w:t xml:space="preserve">The essay has been developed with the intension of identifying the legal process of the </w:t>
      </w:r>
      <w:r w:rsidR="00EB3DED" w:rsidRPr="00D120E5">
        <w:rPr>
          <w:rFonts w:asciiTheme="majorBidi" w:hAnsiTheme="majorBidi" w:cstheme="majorBidi"/>
        </w:rPr>
        <w:t>Supreme-</w:t>
      </w:r>
      <w:r w:rsidR="0071783E" w:rsidRPr="00D120E5">
        <w:rPr>
          <w:rFonts w:asciiTheme="majorBidi" w:hAnsiTheme="majorBidi" w:cstheme="majorBidi"/>
        </w:rPr>
        <w:t>Court and</w:t>
      </w:r>
      <w:r w:rsidRPr="00D120E5">
        <w:rPr>
          <w:rFonts w:asciiTheme="majorBidi" w:hAnsiTheme="majorBidi" w:cstheme="majorBidi"/>
        </w:rPr>
        <w:t xml:space="preserve"> </w:t>
      </w:r>
      <w:r w:rsidR="00241B31" w:rsidRPr="00D120E5">
        <w:rPr>
          <w:rFonts w:asciiTheme="majorBidi" w:hAnsiTheme="majorBidi" w:cstheme="majorBidi"/>
        </w:rPr>
        <w:t>the impacts generated by the surrounding</w:t>
      </w:r>
      <w:r w:rsidR="00CD6821" w:rsidRPr="00D120E5">
        <w:t xml:space="preserve"> </w:t>
      </w:r>
      <w:r w:rsidR="00CD6821" w:rsidRPr="00D120E5">
        <w:rPr>
          <w:rFonts w:asciiTheme="majorBidi" w:hAnsiTheme="majorBidi" w:cstheme="majorBidi"/>
        </w:rPr>
        <w:t>diversity</w:t>
      </w:r>
      <w:r w:rsidR="00241B31" w:rsidRPr="00D120E5">
        <w:rPr>
          <w:rFonts w:asciiTheme="majorBidi" w:hAnsiTheme="majorBidi" w:cstheme="majorBidi"/>
        </w:rPr>
        <w:t xml:space="preserve"> such as Ethnics and Genders</w:t>
      </w:r>
      <w:r w:rsidR="00B765E3" w:rsidRPr="00D120E5">
        <w:rPr>
          <w:rFonts w:asciiTheme="majorBidi" w:hAnsiTheme="majorBidi" w:cstheme="majorBidi"/>
        </w:rPr>
        <w:t xml:space="preserve">. </w:t>
      </w:r>
      <w:r w:rsidR="000B7CCE" w:rsidRPr="00D120E5">
        <w:rPr>
          <w:rFonts w:asciiTheme="majorBidi" w:hAnsiTheme="majorBidi" w:cstheme="majorBidi"/>
        </w:rPr>
        <w:t>T</w:t>
      </w:r>
      <w:r w:rsidR="008850DF" w:rsidRPr="00D120E5">
        <w:rPr>
          <w:rFonts w:asciiTheme="majorBidi" w:hAnsiTheme="majorBidi" w:cstheme="majorBidi"/>
        </w:rPr>
        <w:t>he</w:t>
      </w:r>
      <w:r w:rsidR="000B7CCE" w:rsidRPr="00D120E5">
        <w:rPr>
          <w:rFonts w:asciiTheme="majorBidi" w:hAnsiTheme="majorBidi" w:cstheme="majorBidi"/>
        </w:rPr>
        <w:t xml:space="preserve"> </w:t>
      </w:r>
      <w:r w:rsidR="00734C20" w:rsidRPr="00D120E5">
        <w:rPr>
          <w:rFonts w:asciiTheme="majorBidi" w:hAnsiTheme="majorBidi" w:cstheme="majorBidi"/>
        </w:rPr>
        <w:t>United Kingdom</w:t>
      </w:r>
      <w:r w:rsidR="008850DF" w:rsidRPr="00D120E5">
        <w:rPr>
          <w:rFonts w:asciiTheme="majorBidi" w:hAnsiTheme="majorBidi" w:cstheme="majorBidi"/>
        </w:rPr>
        <w:t xml:space="preserve">'s </w:t>
      </w:r>
      <w:r w:rsidR="000B7CCE" w:rsidRPr="00D120E5">
        <w:rPr>
          <w:rFonts w:asciiTheme="majorBidi" w:hAnsiTheme="majorBidi" w:cstheme="majorBidi"/>
        </w:rPr>
        <w:t>uppermost</w:t>
      </w:r>
      <w:r w:rsidR="008850DF" w:rsidRPr="00D120E5">
        <w:rPr>
          <w:rFonts w:asciiTheme="majorBidi" w:hAnsiTheme="majorBidi" w:cstheme="majorBidi"/>
        </w:rPr>
        <w:t xml:space="preserve"> court</w:t>
      </w:r>
      <w:r w:rsidR="000B7CCE" w:rsidRPr="00D120E5">
        <w:rPr>
          <w:rFonts w:asciiTheme="majorBidi" w:hAnsiTheme="majorBidi" w:cstheme="majorBidi"/>
        </w:rPr>
        <w:t xml:space="preserve"> is seemed to be the </w:t>
      </w:r>
      <w:r w:rsidR="00EB3DED" w:rsidRPr="00D120E5">
        <w:rPr>
          <w:rFonts w:asciiTheme="majorBidi" w:hAnsiTheme="majorBidi" w:cstheme="majorBidi"/>
        </w:rPr>
        <w:t>Supreme-Court</w:t>
      </w:r>
      <w:r w:rsidR="008850DF" w:rsidRPr="00D120E5">
        <w:rPr>
          <w:rFonts w:asciiTheme="majorBidi" w:hAnsiTheme="majorBidi" w:cstheme="majorBidi"/>
        </w:rPr>
        <w:t xml:space="preserve">. The </w:t>
      </w:r>
      <w:r w:rsidR="00EB3DED" w:rsidRPr="00D120E5">
        <w:rPr>
          <w:rFonts w:asciiTheme="majorBidi" w:hAnsiTheme="majorBidi" w:cstheme="majorBidi"/>
        </w:rPr>
        <w:t>Supreme-</w:t>
      </w:r>
      <w:r w:rsidR="0071783E" w:rsidRPr="00D120E5">
        <w:rPr>
          <w:rFonts w:asciiTheme="majorBidi" w:hAnsiTheme="majorBidi" w:cstheme="majorBidi"/>
        </w:rPr>
        <w:t>Court has</w:t>
      </w:r>
      <w:r w:rsidR="008850DF" w:rsidRPr="00D120E5">
        <w:rPr>
          <w:rFonts w:asciiTheme="majorBidi" w:hAnsiTheme="majorBidi" w:cstheme="majorBidi"/>
        </w:rPr>
        <w:t xml:space="preserve"> considerable authority to act on national matters and in the public interest. Importantly, it also hears and resolves "Devolution Issues." Commercial disputes, household conflicts, jurisdictional assessment claims, and any issues arising </w:t>
      </w:r>
      <w:r w:rsidR="003A0912" w:rsidRPr="00D120E5">
        <w:rPr>
          <w:rFonts w:asciiTheme="majorBidi" w:hAnsiTheme="majorBidi" w:cstheme="majorBidi"/>
        </w:rPr>
        <w:t>based on</w:t>
      </w:r>
      <w:r w:rsidR="008850DF" w:rsidRPr="00D120E5">
        <w:rPr>
          <w:rFonts w:asciiTheme="majorBidi" w:hAnsiTheme="majorBidi" w:cstheme="majorBidi"/>
        </w:rPr>
        <w:t xml:space="preserve"> the Human</w:t>
      </w:r>
      <w:r w:rsidR="003A0912" w:rsidRPr="00D120E5">
        <w:rPr>
          <w:rFonts w:asciiTheme="majorBidi" w:hAnsiTheme="majorBidi" w:cstheme="majorBidi"/>
        </w:rPr>
        <w:t>-</w:t>
      </w:r>
      <w:r w:rsidR="008850DF" w:rsidRPr="00D120E5">
        <w:rPr>
          <w:rFonts w:asciiTheme="majorBidi" w:hAnsiTheme="majorBidi" w:cstheme="majorBidi"/>
        </w:rPr>
        <w:t>Rights</w:t>
      </w:r>
      <w:r w:rsidR="003A3DAB" w:rsidRPr="00D120E5">
        <w:rPr>
          <w:rFonts w:asciiTheme="majorBidi" w:hAnsiTheme="majorBidi" w:cstheme="majorBidi"/>
        </w:rPr>
        <w:t>-</w:t>
      </w:r>
      <w:r w:rsidR="008850DF" w:rsidRPr="00D120E5">
        <w:rPr>
          <w:rFonts w:asciiTheme="majorBidi" w:hAnsiTheme="majorBidi" w:cstheme="majorBidi"/>
        </w:rPr>
        <w:t>Act</w:t>
      </w:r>
      <w:r w:rsidR="00843DFB" w:rsidRPr="00D120E5">
        <w:rPr>
          <w:rFonts w:asciiTheme="majorBidi" w:hAnsiTheme="majorBidi" w:cstheme="majorBidi"/>
        </w:rPr>
        <w:t xml:space="preserve"> </w:t>
      </w:r>
      <w:r w:rsidR="008850DF" w:rsidRPr="00D120E5">
        <w:rPr>
          <w:rFonts w:asciiTheme="majorBidi" w:hAnsiTheme="majorBidi" w:cstheme="majorBidi"/>
        </w:rPr>
        <w:t xml:space="preserve">1998 are all </w:t>
      </w:r>
      <w:r w:rsidR="00CD4A7D" w:rsidRPr="00D120E5">
        <w:rPr>
          <w:rFonts w:asciiTheme="majorBidi" w:hAnsiTheme="majorBidi" w:cstheme="majorBidi"/>
        </w:rPr>
        <w:t>received</w:t>
      </w:r>
      <w:r w:rsidR="008850DF" w:rsidRPr="00D120E5">
        <w:rPr>
          <w:rFonts w:asciiTheme="majorBidi" w:hAnsiTheme="majorBidi" w:cstheme="majorBidi"/>
        </w:rPr>
        <w:t xml:space="preserve"> by the </w:t>
      </w:r>
      <w:r w:rsidR="007A43F9" w:rsidRPr="00D120E5">
        <w:rPr>
          <w:rFonts w:asciiTheme="majorBidi" w:hAnsiTheme="majorBidi" w:cstheme="majorBidi"/>
        </w:rPr>
        <w:t>Supreme</w:t>
      </w:r>
      <w:r w:rsidR="00CD4A7D" w:rsidRPr="00D120E5">
        <w:rPr>
          <w:rFonts w:asciiTheme="majorBidi" w:hAnsiTheme="majorBidi" w:cstheme="majorBidi"/>
        </w:rPr>
        <w:t>-</w:t>
      </w:r>
      <w:r w:rsidR="008850DF" w:rsidRPr="00D120E5">
        <w:rPr>
          <w:rFonts w:asciiTheme="majorBidi" w:hAnsiTheme="majorBidi" w:cstheme="majorBidi"/>
        </w:rPr>
        <w:t xml:space="preserve">Court. The Constitutional Reform Act of 2005 is used to conduct the selection process for new </w:t>
      </w:r>
      <w:r w:rsidR="00EB3DED" w:rsidRPr="00D120E5">
        <w:rPr>
          <w:rFonts w:asciiTheme="majorBidi" w:hAnsiTheme="majorBidi" w:cstheme="majorBidi"/>
        </w:rPr>
        <w:t>Supreme-</w:t>
      </w:r>
      <w:r w:rsidR="0071783E" w:rsidRPr="00D120E5">
        <w:rPr>
          <w:rFonts w:asciiTheme="majorBidi" w:hAnsiTheme="majorBidi" w:cstheme="majorBidi"/>
        </w:rPr>
        <w:t>Court appointments</w:t>
      </w:r>
      <w:r w:rsidR="008850DF" w:rsidRPr="00D120E5">
        <w:rPr>
          <w:rFonts w:asciiTheme="majorBidi" w:hAnsiTheme="majorBidi" w:cstheme="majorBidi"/>
        </w:rPr>
        <w:t xml:space="preserve">. The parliament has the authority to announce the selection </w:t>
      </w:r>
      <w:r w:rsidR="00B10C9D" w:rsidRPr="00D120E5">
        <w:rPr>
          <w:rFonts w:asciiTheme="majorBidi" w:hAnsiTheme="majorBidi" w:cstheme="majorBidi"/>
        </w:rPr>
        <w:t>criteria</w:t>
      </w:r>
      <w:r w:rsidR="008850DF" w:rsidRPr="00D120E5">
        <w:rPr>
          <w:rFonts w:asciiTheme="majorBidi" w:hAnsiTheme="majorBidi" w:cstheme="majorBidi"/>
        </w:rPr>
        <w:t xml:space="preserve"> and justice's eligibility.</w:t>
      </w:r>
      <w:r w:rsidR="00EC1FBA" w:rsidRPr="00D120E5">
        <w:rPr>
          <w:rFonts w:asciiTheme="majorBidi" w:hAnsiTheme="majorBidi" w:cstheme="majorBidi"/>
        </w:rPr>
        <w:t xml:space="preserve"> The demographics and the selection process have been described in the below essay. </w:t>
      </w:r>
      <w:r w:rsidR="006D7500" w:rsidRPr="00D120E5">
        <w:rPr>
          <w:rFonts w:asciiTheme="majorBidi" w:hAnsiTheme="majorBidi" w:cstheme="majorBidi"/>
        </w:rPr>
        <w:br w:type="page"/>
      </w:r>
    </w:p>
    <w:p w14:paraId="14600706" w14:textId="4CDCE3EE" w:rsidR="0042349A" w:rsidRPr="00D120E5" w:rsidRDefault="006824DB" w:rsidP="007823F5">
      <w:pPr>
        <w:pStyle w:val="Heading1"/>
        <w:pBdr>
          <w:bottom w:val="single" w:sz="4" w:space="1" w:color="auto"/>
        </w:pBdr>
      </w:pPr>
      <w:bookmarkStart w:id="1" w:name="_Toc106038016"/>
      <w:r w:rsidRPr="00D120E5">
        <w:t xml:space="preserve">Importance of Diversity in </w:t>
      </w:r>
      <w:r w:rsidR="0069669F" w:rsidRPr="00D120E5">
        <w:t>the</w:t>
      </w:r>
      <w:r w:rsidRPr="00D120E5">
        <w:t xml:space="preserve"> UK Judiciary</w:t>
      </w:r>
      <w:bookmarkEnd w:id="1"/>
    </w:p>
    <w:p w14:paraId="14AA2714" w14:textId="2F7C727F" w:rsidR="00041703" w:rsidRPr="00D120E5" w:rsidRDefault="00914D51" w:rsidP="00B55D77">
      <w:pPr>
        <w:spacing w:line="360" w:lineRule="auto"/>
        <w:jc w:val="both"/>
      </w:pPr>
      <w:r w:rsidRPr="00D120E5">
        <w:t xml:space="preserve">In the </w:t>
      </w:r>
      <w:r w:rsidR="00810C9D" w:rsidRPr="00D120E5">
        <w:t>UK</w:t>
      </w:r>
      <w:r w:rsidRPr="00D120E5">
        <w:t xml:space="preserve">, the </w:t>
      </w:r>
      <w:r w:rsidR="00EB3DED" w:rsidRPr="00D120E5">
        <w:t>Supreme-</w:t>
      </w:r>
      <w:r w:rsidR="0071783E" w:rsidRPr="00D120E5">
        <w:t>Court is</w:t>
      </w:r>
      <w:r w:rsidRPr="00D120E5">
        <w:t xml:space="preserve"> </w:t>
      </w:r>
      <w:r w:rsidR="00B70EBC" w:rsidRPr="00D120E5">
        <w:t>entitled</w:t>
      </w:r>
      <w:r w:rsidRPr="00D120E5">
        <w:t xml:space="preserve"> to </w:t>
      </w:r>
      <w:r w:rsidR="00B70EBC" w:rsidRPr="00D120E5">
        <w:t xml:space="preserve">the highest court after October 2009. </w:t>
      </w:r>
      <w:r w:rsidR="00A80DC4" w:rsidRPr="00D120E5">
        <w:t xml:space="preserve">At this date, the </w:t>
      </w:r>
      <w:r w:rsidR="00EB3DED" w:rsidRPr="00D120E5">
        <w:t>Supreme-</w:t>
      </w:r>
      <w:r w:rsidR="0071783E" w:rsidRPr="00D120E5">
        <w:t>Court has</w:t>
      </w:r>
      <w:r w:rsidR="00A80DC4" w:rsidRPr="00D120E5">
        <w:t xml:space="preserve"> substituted </w:t>
      </w:r>
      <w:r w:rsidR="003C7FC2" w:rsidRPr="00D120E5">
        <w:t>the Appellate Committee</w:t>
      </w:r>
      <w:r w:rsidR="004D61F3" w:rsidRPr="00D120E5">
        <w:t xml:space="preserve">. </w:t>
      </w:r>
      <w:r w:rsidR="00A0654C" w:rsidRPr="00D120E5">
        <w:t>Before that the Appellate</w:t>
      </w:r>
      <w:r w:rsidR="0098491B" w:rsidRPr="00D120E5">
        <w:t>-</w:t>
      </w:r>
      <w:r w:rsidR="00A0654C" w:rsidRPr="00D120E5">
        <w:t>Committee</w:t>
      </w:r>
      <w:r w:rsidR="003936C9" w:rsidRPr="00D120E5">
        <w:t xml:space="preserve"> was included in the </w:t>
      </w:r>
      <w:r w:rsidR="0083032A" w:rsidRPr="00D120E5">
        <w:t>House</w:t>
      </w:r>
      <w:r w:rsidR="0098491B" w:rsidRPr="00D120E5">
        <w:t>-</w:t>
      </w:r>
      <w:r w:rsidR="003936C9" w:rsidRPr="00D120E5">
        <w:t>of</w:t>
      </w:r>
      <w:r w:rsidR="0098491B" w:rsidRPr="00D120E5">
        <w:t>-</w:t>
      </w:r>
      <w:r w:rsidR="0083032A" w:rsidRPr="00D120E5">
        <w:t>Lords</w:t>
      </w:r>
      <w:r w:rsidR="00C66028" w:rsidRPr="00D120E5">
        <w:t xml:space="preserve"> (The </w:t>
      </w:r>
      <w:r w:rsidR="00EB3DED" w:rsidRPr="00D120E5">
        <w:t>Supreme-</w:t>
      </w:r>
      <w:r w:rsidR="0071783E" w:rsidRPr="00D120E5">
        <w:t>Court,</w:t>
      </w:r>
      <w:r w:rsidR="00C66028" w:rsidRPr="00D120E5">
        <w:t xml:space="preserve"> 2019)</w:t>
      </w:r>
      <w:r w:rsidR="003936C9" w:rsidRPr="00D120E5">
        <w:t xml:space="preserve">. </w:t>
      </w:r>
      <w:r w:rsidR="00102915" w:rsidRPr="00D120E5">
        <w:t>From that period of time, the roles and responsibilities have been specifically stated in the judicial book</w:t>
      </w:r>
      <w:r w:rsidR="00AF5E2F" w:rsidRPr="00D120E5">
        <w:t xml:space="preserve"> </w:t>
      </w:r>
      <w:r w:rsidR="00102915" w:rsidRPr="00D120E5">
        <w:t xml:space="preserve">of </w:t>
      </w:r>
      <w:r w:rsidR="006640F8" w:rsidRPr="00D120E5">
        <w:t xml:space="preserve">the </w:t>
      </w:r>
      <w:r w:rsidR="00102915" w:rsidRPr="00D120E5">
        <w:t xml:space="preserve">UK </w:t>
      </w:r>
      <w:r w:rsidR="006640F8" w:rsidRPr="00D120E5">
        <w:t xml:space="preserve">which is </w:t>
      </w:r>
      <w:r w:rsidR="009312A4" w:rsidRPr="00D120E5">
        <w:t xml:space="preserve">named The </w:t>
      </w:r>
      <w:r w:rsidR="00EB3DED" w:rsidRPr="00D120E5">
        <w:t>Supreme-</w:t>
      </w:r>
      <w:r w:rsidR="0071783E" w:rsidRPr="00D120E5">
        <w:t>Court UK</w:t>
      </w:r>
      <w:r w:rsidR="00CC6D85" w:rsidRPr="00D120E5">
        <w:t>.</w:t>
      </w:r>
      <w:r w:rsidR="008953E0" w:rsidRPr="00D120E5">
        <w:t xml:space="preserve"> </w:t>
      </w:r>
    </w:p>
    <w:p w14:paraId="57A9E4D1" w14:textId="77777777" w:rsidR="0069669F" w:rsidRDefault="0069669F" w:rsidP="00ED1022">
      <w:pPr>
        <w:spacing w:after="360" w:line="360" w:lineRule="auto"/>
        <w:jc w:val="both"/>
      </w:pPr>
      <w:r>
        <w:rPr>
          <w:noProof/>
        </w:rPr>
        <w:drawing>
          <wp:inline distT="0" distB="0" distL="0" distR="0" wp14:anchorId="3A7DAAE6" wp14:editId="2444CF01">
            <wp:extent cx="3596640" cy="336434"/>
            <wp:effectExtent l="0" t="0" r="381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90315" cy="345197"/>
                    </a:xfrm>
                    <a:prstGeom prst="rect">
                      <a:avLst/>
                    </a:prstGeom>
                  </pic:spPr>
                </pic:pic>
              </a:graphicData>
            </a:graphic>
          </wp:inline>
        </w:drawing>
      </w:r>
    </w:p>
    <w:p w14:paraId="439A9CBF" w14:textId="2BBC0A08" w:rsidR="00914D51" w:rsidRDefault="004416FF" w:rsidP="00ED1022">
      <w:pPr>
        <w:spacing w:after="360" w:line="360" w:lineRule="auto"/>
        <w:jc w:val="both"/>
      </w:pPr>
      <w:r w:rsidRPr="00D120E5">
        <w:t xml:space="preserve">Being the highest court in the UK, it is the final court where both civil </w:t>
      </w:r>
      <w:r w:rsidR="003A1219" w:rsidRPr="00D120E5">
        <w:t xml:space="preserve">cases as well as the </w:t>
      </w:r>
      <w:r w:rsidRPr="00D120E5">
        <w:t xml:space="preserve">criminal cases are appealed for </w:t>
      </w:r>
      <w:r w:rsidR="00C17205" w:rsidRPr="00D120E5">
        <w:t>the final</w:t>
      </w:r>
      <w:r w:rsidRPr="00D120E5">
        <w:t xml:space="preserve"> hearing.</w:t>
      </w:r>
      <w:r w:rsidR="002A7D9D" w:rsidRPr="00D120E5">
        <w:t xml:space="preserve"> </w:t>
      </w:r>
      <w:r w:rsidR="00C17205" w:rsidRPr="00D120E5">
        <w:t xml:space="preserve">As a result, </w:t>
      </w:r>
      <w:r w:rsidR="00AE27DB" w:rsidRPr="00D120E5">
        <w:t>in elaborating</w:t>
      </w:r>
      <w:r w:rsidR="00C17205" w:rsidRPr="00D120E5">
        <w:t xml:space="preserve"> the United Kingdom Law the </w:t>
      </w:r>
      <w:r w:rsidR="00EB3DED" w:rsidRPr="00D120E5">
        <w:t>Supreme-</w:t>
      </w:r>
      <w:r w:rsidR="0071783E" w:rsidRPr="00D120E5">
        <w:t>Court plays</w:t>
      </w:r>
      <w:r w:rsidR="00C17205" w:rsidRPr="00D120E5">
        <w:t xml:space="preserve"> a significant role. </w:t>
      </w:r>
      <w:r w:rsidR="00FF6524" w:rsidRPr="00D120E5">
        <w:t xml:space="preserve">The </w:t>
      </w:r>
      <w:r w:rsidR="00EB3DED" w:rsidRPr="00D120E5">
        <w:t>Supreme-</w:t>
      </w:r>
      <w:r w:rsidR="0071783E" w:rsidRPr="00D120E5">
        <w:t>Court hears</w:t>
      </w:r>
      <w:r w:rsidR="00FF6524" w:rsidRPr="00D120E5">
        <w:t xml:space="preserve"> the final appeal from the Civil and Criminal Cases of the Court</w:t>
      </w:r>
      <w:r w:rsidR="004C1664" w:rsidRPr="00D120E5">
        <w:t>-</w:t>
      </w:r>
      <w:r w:rsidR="00FF6524" w:rsidRPr="00D120E5">
        <w:t>of</w:t>
      </w:r>
      <w:r w:rsidR="004C1664" w:rsidRPr="00D120E5">
        <w:t>-</w:t>
      </w:r>
      <w:r w:rsidR="00FF6524" w:rsidRPr="00D120E5">
        <w:t>Appeal</w:t>
      </w:r>
      <w:r w:rsidR="00ED0875" w:rsidRPr="00D120E5">
        <w:t xml:space="preserve"> </w:t>
      </w:r>
      <w:r w:rsidR="006C1425" w:rsidRPr="00D120E5">
        <w:t xml:space="preserve">and the High Court </w:t>
      </w:r>
      <w:r w:rsidR="0016748D" w:rsidRPr="00D120E5">
        <w:t xml:space="preserve">in a few specific instances </w:t>
      </w:r>
      <w:r w:rsidR="00ED0875" w:rsidRPr="00D120E5">
        <w:t>appeared from England and Wales.</w:t>
      </w:r>
      <w:r w:rsidR="006568C0" w:rsidRPr="00D120E5">
        <w:t xml:space="preserve"> While in the turn of Scotland, it hears cases from the Court of Session. </w:t>
      </w:r>
      <w:r w:rsidR="00857431" w:rsidRPr="00D120E5">
        <w:t xml:space="preserve">The cases are often about the </w:t>
      </w:r>
      <w:r w:rsidR="00554545" w:rsidRPr="00D120E5">
        <w:t>questionable points</w:t>
      </w:r>
      <w:r w:rsidR="00D863FC" w:rsidRPr="00D120E5">
        <w:t xml:space="preserve"> of</w:t>
      </w:r>
      <w:r w:rsidR="00554545" w:rsidRPr="00D120E5">
        <w:t xml:space="preserve"> </w:t>
      </w:r>
      <w:r w:rsidR="00D863FC" w:rsidRPr="00D120E5">
        <w:t xml:space="preserve">public interests </w:t>
      </w:r>
      <w:r w:rsidR="00857431" w:rsidRPr="00D120E5">
        <w:t xml:space="preserve">which have great public </w:t>
      </w:r>
      <w:r w:rsidR="00047D39" w:rsidRPr="00D120E5">
        <w:t>consideration</w:t>
      </w:r>
      <w:r w:rsidR="00857431" w:rsidRPr="00D120E5">
        <w:t xml:space="preserve"> to the nation. </w:t>
      </w:r>
      <w:r w:rsidR="00D863FC" w:rsidRPr="00D120E5">
        <w:t>Th</w:t>
      </w:r>
      <w:r w:rsidR="004C20BE" w:rsidRPr="00D120E5">
        <w:t xml:space="preserve">ese </w:t>
      </w:r>
      <w:r w:rsidR="00D863FC" w:rsidRPr="00D120E5">
        <w:t>public interest</w:t>
      </w:r>
      <w:r w:rsidR="004C20BE" w:rsidRPr="00D120E5">
        <w:t>s</w:t>
      </w:r>
      <w:r w:rsidR="00D863FC" w:rsidRPr="00D120E5">
        <w:t xml:space="preserve"> can also </w:t>
      </w:r>
      <w:r w:rsidR="006B7CAF" w:rsidRPr="00D120E5">
        <w:t>urge</w:t>
      </w:r>
      <w:r w:rsidR="004C20BE" w:rsidRPr="00D120E5">
        <w:t xml:space="preserve"> the significance of</w:t>
      </w:r>
      <w:r w:rsidR="00D863FC" w:rsidRPr="00D120E5">
        <w:t xml:space="preserve"> the constitutional interest as well to be </w:t>
      </w:r>
      <w:r w:rsidR="004C1664" w:rsidRPr="00D120E5">
        <w:t>received</w:t>
      </w:r>
      <w:r w:rsidR="00D863FC" w:rsidRPr="00D120E5">
        <w:t xml:space="preserve"> by the </w:t>
      </w:r>
      <w:r w:rsidR="00EB3DED" w:rsidRPr="00D120E5">
        <w:t>Supreme-</w:t>
      </w:r>
      <w:r w:rsidR="0071783E" w:rsidRPr="00D120E5">
        <w:t>Court in</w:t>
      </w:r>
      <w:r w:rsidR="00D863FC" w:rsidRPr="00D120E5">
        <w:t xml:space="preserve"> the UK. </w:t>
      </w:r>
      <w:r w:rsidR="006E1966" w:rsidRPr="00D120E5">
        <w:t>Also,</w:t>
      </w:r>
      <w:r w:rsidR="006B7CAF" w:rsidRPr="00D120E5">
        <w:t xml:space="preserve"> importantly, the </w:t>
      </w:r>
      <w:r w:rsidR="00EB3DED" w:rsidRPr="00D120E5">
        <w:t>Supreme-</w:t>
      </w:r>
      <w:r w:rsidR="0071783E" w:rsidRPr="00D120E5">
        <w:t>Court also</w:t>
      </w:r>
      <w:r w:rsidR="006B7CAF" w:rsidRPr="00D120E5">
        <w:t xml:space="preserve"> hears and resolves the “Devolution Issues”</w:t>
      </w:r>
      <w:r w:rsidR="00567163" w:rsidRPr="00D120E5">
        <w:t xml:space="preserve"> (The </w:t>
      </w:r>
      <w:r w:rsidR="00EB3DED" w:rsidRPr="00D120E5">
        <w:t>Supreme-</w:t>
      </w:r>
      <w:r w:rsidR="0071783E" w:rsidRPr="00D120E5">
        <w:t>Court,</w:t>
      </w:r>
      <w:r w:rsidR="00567163" w:rsidRPr="00D120E5">
        <w:t xml:space="preserve"> 2012)</w:t>
      </w:r>
      <w:r w:rsidR="00862AB2" w:rsidRPr="00D120E5">
        <w:t xml:space="preserve">. </w:t>
      </w:r>
      <w:r w:rsidR="004526AF" w:rsidRPr="00D120E5">
        <w:t xml:space="preserve">Devolution Issues </w:t>
      </w:r>
      <w:r w:rsidR="006E1966" w:rsidRPr="00D120E5">
        <w:t>refer</w:t>
      </w:r>
      <w:r w:rsidR="004526AF" w:rsidRPr="00D120E5">
        <w:t xml:space="preserve"> to the </w:t>
      </w:r>
      <w:r w:rsidR="00D13804" w:rsidRPr="00D120E5">
        <w:t>devolvement of authorities in Scotland, Northern</w:t>
      </w:r>
      <w:r w:rsidR="004313DF" w:rsidRPr="00D120E5">
        <w:t xml:space="preserve"> </w:t>
      </w:r>
      <w:r w:rsidR="00D13804" w:rsidRPr="00D120E5">
        <w:t>Ireland</w:t>
      </w:r>
      <w:r w:rsidR="003B1BAA" w:rsidRPr="00D120E5">
        <w:t xml:space="preserve"> and Wales</w:t>
      </w:r>
      <w:r w:rsidR="00F00C6B" w:rsidRPr="00D120E5">
        <w:t xml:space="preserve"> according to the imposed power on them. </w:t>
      </w:r>
      <w:r w:rsidR="00EE0F9E" w:rsidRPr="00D120E5">
        <w:t xml:space="preserve">The </w:t>
      </w:r>
      <w:r w:rsidR="00EB3DED" w:rsidRPr="00D120E5">
        <w:t>Supreme-</w:t>
      </w:r>
      <w:r w:rsidR="0071783E" w:rsidRPr="00D120E5">
        <w:t>Court consults</w:t>
      </w:r>
      <w:r w:rsidR="00EE0F9E" w:rsidRPr="00D120E5">
        <w:t xml:space="preserve"> </w:t>
      </w:r>
      <w:r w:rsidR="00146303" w:rsidRPr="00D120E5">
        <w:t>these issues</w:t>
      </w:r>
      <w:r w:rsidR="00EE0F9E" w:rsidRPr="00D120E5">
        <w:t xml:space="preserve"> </w:t>
      </w:r>
      <w:r w:rsidR="00146303" w:rsidRPr="00D120E5">
        <w:t>over</w:t>
      </w:r>
      <w:r w:rsidR="00EE0F9E" w:rsidRPr="00D120E5">
        <w:t xml:space="preserve"> a reference </w:t>
      </w:r>
      <w:r w:rsidR="00146303" w:rsidRPr="00D120E5">
        <w:t xml:space="preserve">from the respected body or bodies exercising the power of authority such as </w:t>
      </w:r>
      <w:r w:rsidR="00B160CD" w:rsidRPr="00D120E5">
        <w:t xml:space="preserve">the </w:t>
      </w:r>
      <w:r w:rsidR="00146303" w:rsidRPr="00D120E5">
        <w:t>Attorney General</w:t>
      </w:r>
      <w:r w:rsidR="00BA259E" w:rsidRPr="00D120E5">
        <w:t xml:space="preserve"> so that it can verify the issue of a lawsuit</w:t>
      </w:r>
      <w:r w:rsidR="00B160CD" w:rsidRPr="00D120E5">
        <w:t xml:space="preserve">. </w:t>
      </w:r>
      <w:r w:rsidR="00EA5053" w:rsidRPr="00D120E5">
        <w:t xml:space="preserve">The specific appellate courts can also </w:t>
      </w:r>
      <w:r w:rsidR="005F0310" w:rsidRPr="00D120E5">
        <w:t xml:space="preserve">provide the reference to the </w:t>
      </w:r>
      <w:r w:rsidR="00EB3DED" w:rsidRPr="00D120E5">
        <w:t>Supreme-</w:t>
      </w:r>
      <w:r w:rsidR="0071783E" w:rsidRPr="00D120E5">
        <w:t>Court for</w:t>
      </w:r>
      <w:r w:rsidR="005F0310" w:rsidRPr="00D120E5">
        <w:t xml:space="preserve"> justification of such issues.</w:t>
      </w:r>
    </w:p>
    <w:p w14:paraId="232EBCCA" w14:textId="2680DB25" w:rsidR="0069669F" w:rsidRPr="00D120E5" w:rsidRDefault="0069669F" w:rsidP="00ED1022">
      <w:pPr>
        <w:spacing w:after="360" w:line="360" w:lineRule="auto"/>
        <w:jc w:val="both"/>
      </w:pPr>
      <w:r>
        <w:rPr>
          <w:noProof/>
        </w:rPr>
        <w:drawing>
          <wp:inline distT="0" distB="0" distL="0" distR="0" wp14:anchorId="3863F4A8" wp14:editId="423CFE2F">
            <wp:extent cx="3361509" cy="185037"/>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19355" cy="199230"/>
                    </a:xfrm>
                    <a:prstGeom prst="rect">
                      <a:avLst/>
                    </a:prstGeom>
                  </pic:spPr>
                </pic:pic>
              </a:graphicData>
            </a:graphic>
          </wp:inline>
        </w:drawing>
      </w:r>
    </w:p>
    <w:p w14:paraId="4D7C7C99" w14:textId="67D9A228" w:rsidR="00DC431E" w:rsidRPr="00D120E5" w:rsidRDefault="00DC431E" w:rsidP="00127B41">
      <w:pPr>
        <w:spacing w:after="240" w:line="360" w:lineRule="auto"/>
        <w:jc w:val="both"/>
      </w:pPr>
      <w:r w:rsidRPr="00D120E5">
        <w:t xml:space="preserve">The </w:t>
      </w:r>
      <w:r w:rsidR="00EB3DED" w:rsidRPr="00D120E5">
        <w:t>Supreme-</w:t>
      </w:r>
      <w:r w:rsidR="0071783E" w:rsidRPr="00D120E5">
        <w:t>Court has</w:t>
      </w:r>
      <w:r w:rsidRPr="00D120E5">
        <w:t xml:space="preserve"> significant levels of power to execute on national issues and public interests. In terms of Scottish civil cases, these cases did not require any permission from the Court of Session to be appealed to the </w:t>
      </w:r>
      <w:r w:rsidR="00EB3DED" w:rsidRPr="00D120E5">
        <w:t xml:space="preserve">Supreme-Court </w:t>
      </w:r>
      <w:r w:rsidRPr="00D120E5">
        <w:t xml:space="preserve"> other than validating the issue from a couple of advocates till 2015. After that period, it is mandatory to be verified and to get permission from the Court of Session to appeal in the </w:t>
      </w:r>
      <w:r w:rsidR="00EB3DED" w:rsidRPr="00D120E5">
        <w:t xml:space="preserve">Supreme-Court </w:t>
      </w:r>
      <w:r w:rsidRPr="00D120E5">
        <w:t xml:space="preserve"> and sometimes the permission can be attained from the </w:t>
      </w:r>
      <w:r w:rsidR="00EB3DED" w:rsidRPr="00D120E5">
        <w:t xml:space="preserve">Supreme-Court </w:t>
      </w:r>
      <w:r w:rsidRPr="00D120E5">
        <w:t xml:space="preserve"> as well (The </w:t>
      </w:r>
      <w:r w:rsidR="00EB3DED" w:rsidRPr="00D120E5">
        <w:t xml:space="preserve">Supreme-Court </w:t>
      </w:r>
      <w:r w:rsidRPr="00D120E5">
        <w:t xml:space="preserve">, 2019). The </w:t>
      </w:r>
      <w:r w:rsidR="00EB3DED" w:rsidRPr="00D120E5">
        <w:t>Supreme-</w:t>
      </w:r>
      <w:r w:rsidR="0071783E" w:rsidRPr="00D120E5">
        <w:t>Court does</w:t>
      </w:r>
      <w:r w:rsidRPr="00D120E5">
        <w:t xml:space="preserve"> hear some specific fields of cases such as commercial arguments, household disputes, jurisdictional assessment claims in contradiction of public establishments and any problems </w:t>
      </w:r>
      <w:r w:rsidR="00D860B0" w:rsidRPr="00D120E5">
        <w:t>based on</w:t>
      </w:r>
      <w:r w:rsidRPr="00D120E5">
        <w:t xml:space="preserve"> the </w:t>
      </w:r>
      <w:r w:rsidR="00D860B0" w:rsidRPr="00D120E5">
        <w:t>Human-Rights-Act</w:t>
      </w:r>
      <w:r w:rsidR="00B7780A" w:rsidRPr="00D120E5">
        <w:t xml:space="preserve"> </w:t>
      </w:r>
      <w:r w:rsidR="00D860B0" w:rsidRPr="00D120E5">
        <w:t>1998</w:t>
      </w:r>
      <w:r w:rsidRPr="00D120E5">
        <w:t xml:space="preserve">. The </w:t>
      </w:r>
      <w:r w:rsidR="00EB3DED" w:rsidRPr="00D120E5">
        <w:t>Supreme-</w:t>
      </w:r>
      <w:r w:rsidR="0071783E" w:rsidRPr="00D120E5">
        <w:t>Court also</w:t>
      </w:r>
      <w:r w:rsidRPr="00D120E5">
        <w:t xml:space="preserve"> hears the criminal case appeals only verified and validated by the High Court of Justiciary considering the devolution issues. As stated before, the </w:t>
      </w:r>
      <w:r w:rsidR="00EB3DED" w:rsidRPr="00D120E5">
        <w:t>Supreme-</w:t>
      </w:r>
      <w:r w:rsidR="0071783E" w:rsidRPr="00D120E5">
        <w:t>Court considers</w:t>
      </w:r>
      <w:r w:rsidRPr="00D120E5">
        <w:t xml:space="preserve"> the “Devolution Issues” in Scotland, Northern Ireland and Wales. </w:t>
      </w:r>
    </w:p>
    <w:p w14:paraId="085FEE60" w14:textId="1331CC32" w:rsidR="00DC431E" w:rsidRPr="00D120E5" w:rsidRDefault="0069669F" w:rsidP="00ED1022">
      <w:pPr>
        <w:spacing w:after="360" w:line="360" w:lineRule="auto"/>
        <w:jc w:val="both"/>
      </w:pPr>
      <w:r>
        <w:rPr>
          <w:noProof/>
        </w:rPr>
        <w:drawing>
          <wp:inline distT="0" distB="0" distL="0" distR="0" wp14:anchorId="7873628B" wp14:editId="0377B7AF">
            <wp:extent cx="5670550" cy="523875"/>
            <wp:effectExtent l="0" t="0" r="635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064" r="-1"/>
                    <a:stretch/>
                  </pic:blipFill>
                  <pic:spPr bwMode="auto">
                    <a:xfrm>
                      <a:off x="0" y="0"/>
                      <a:ext cx="5670550" cy="523875"/>
                    </a:xfrm>
                    <a:prstGeom prst="rect">
                      <a:avLst/>
                    </a:prstGeom>
                    <a:ln>
                      <a:noFill/>
                    </a:ln>
                    <a:extLst>
                      <a:ext uri="{53640926-AAD7-44D8-BBD7-CCE9431645EC}">
                        <a14:shadowObscured xmlns:a14="http://schemas.microsoft.com/office/drawing/2010/main"/>
                      </a:ext>
                    </a:extLst>
                  </pic:spPr>
                </pic:pic>
              </a:graphicData>
            </a:graphic>
          </wp:inline>
        </w:drawing>
      </w:r>
      <w:r w:rsidR="00DC431E" w:rsidRPr="00D120E5">
        <w:t xml:space="preserve">Judicial opinions are influenced by ethnicity and the gender of justice. Maya Rich (2016) stated in a report that with the emergence of female justice in the </w:t>
      </w:r>
      <w:r w:rsidR="00EB3DED" w:rsidRPr="00D120E5">
        <w:t>Supreme-</w:t>
      </w:r>
      <w:r w:rsidR="0071783E" w:rsidRPr="00D120E5">
        <w:t>Court,</w:t>
      </w:r>
      <w:r w:rsidR="00DC431E" w:rsidRPr="00D120E5">
        <w:t xml:space="preserve"> there are more opportunities for reviewing the decisions of the </w:t>
      </w:r>
      <w:r w:rsidR="00EB3DED" w:rsidRPr="00D120E5">
        <w:t>Supreme-</w:t>
      </w:r>
      <w:r w:rsidR="0071783E" w:rsidRPr="00D120E5">
        <w:t>Court in</w:t>
      </w:r>
      <w:r w:rsidR="00DC431E" w:rsidRPr="00D120E5">
        <w:t xml:space="preserve"> the UK. According to his study, researchers have developed different models to assess the gendered impact on </w:t>
      </w:r>
      <w:r w:rsidR="00EB3DED" w:rsidRPr="00D120E5">
        <w:t>Supreme-</w:t>
      </w:r>
      <w:r w:rsidR="00D120E5" w:rsidRPr="00D120E5">
        <w:t>Court decisions</w:t>
      </w:r>
      <w:r w:rsidR="00DC431E" w:rsidRPr="00D120E5">
        <w:t xml:space="preserve">. The conventional model states that there is no distinct effect on </w:t>
      </w:r>
      <w:r w:rsidR="00EB3DED" w:rsidRPr="00D120E5">
        <w:t>Supreme-</w:t>
      </w:r>
      <w:r w:rsidR="00D120E5" w:rsidRPr="00D120E5">
        <w:t>Court decision</w:t>
      </w:r>
      <w:r w:rsidR="00DC431E" w:rsidRPr="00D120E5">
        <w:t>-making. They are supposed to make decisions based on the existing laws and regulatory guidelines (</w:t>
      </w:r>
      <w:proofErr w:type="spellStart"/>
      <w:r w:rsidR="00DC431E" w:rsidRPr="00D120E5">
        <w:t>Renberg</w:t>
      </w:r>
      <w:proofErr w:type="spellEnd"/>
      <w:r w:rsidR="00DC431E" w:rsidRPr="00D120E5">
        <w:t xml:space="preserve">, 2014). The attitudinal model describes a different aspect stating that </w:t>
      </w:r>
      <w:r w:rsidR="00D120E5" w:rsidRPr="00D120E5">
        <w:t>either the men or</w:t>
      </w:r>
      <w:r w:rsidR="00DC431E" w:rsidRPr="00D120E5">
        <w:t xml:space="preserve"> the women may have the same decision-making capability which is supported by the conventional model of justice or they have different ideological perspectives due to their political philosophy. Such political ideology can be influenced by career experience, psychological and political backgrounds, socialization aspects and other external impacts. The ethnic influence comes from the socialization influence and social and personal backgrounds supported by Boyd, Collins and </w:t>
      </w:r>
      <w:proofErr w:type="spellStart"/>
      <w:r w:rsidR="00DC431E" w:rsidRPr="00D120E5">
        <w:t>Ringhand</w:t>
      </w:r>
      <w:proofErr w:type="spellEnd"/>
      <w:r w:rsidR="00DC431E" w:rsidRPr="00D120E5">
        <w:t xml:space="preserve"> (2018).</w:t>
      </w:r>
    </w:p>
    <w:p w14:paraId="014A2F20" w14:textId="77777777" w:rsidR="0069669F" w:rsidRDefault="0069669F" w:rsidP="00ED1022">
      <w:pPr>
        <w:spacing w:after="240" w:line="360" w:lineRule="auto"/>
        <w:jc w:val="both"/>
      </w:pPr>
      <w:r>
        <w:rPr>
          <w:noProof/>
        </w:rPr>
        <w:drawing>
          <wp:inline distT="0" distB="0" distL="0" distR="0" wp14:anchorId="4C3BF7D4" wp14:editId="1432156E">
            <wp:extent cx="4214949" cy="28773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45696" cy="296662"/>
                    </a:xfrm>
                    <a:prstGeom prst="rect">
                      <a:avLst/>
                    </a:prstGeom>
                  </pic:spPr>
                </pic:pic>
              </a:graphicData>
            </a:graphic>
          </wp:inline>
        </w:drawing>
      </w:r>
    </w:p>
    <w:p w14:paraId="734E1292" w14:textId="15FE922E" w:rsidR="00DC431E" w:rsidRPr="00D120E5" w:rsidRDefault="00DC431E" w:rsidP="00ED1022">
      <w:pPr>
        <w:spacing w:after="240" w:line="360" w:lineRule="auto"/>
        <w:jc w:val="both"/>
      </w:pPr>
      <w:r w:rsidRPr="00D120E5">
        <w:t xml:space="preserve">The selection process </w:t>
      </w:r>
      <w:r w:rsidR="003238F2" w:rsidRPr="00D120E5">
        <w:t>of candidates for Justice in the Supreme-Court</w:t>
      </w:r>
      <w:r w:rsidRPr="00D120E5">
        <w:t xml:space="preserve"> is conducted with the application of the </w:t>
      </w:r>
      <w:r w:rsidR="00255065" w:rsidRPr="00D120E5">
        <w:t>Constitutional-Reform-Act 2005</w:t>
      </w:r>
      <w:r w:rsidRPr="00D120E5">
        <w:t>. The Crime</w:t>
      </w:r>
      <w:r w:rsidR="002F68F2" w:rsidRPr="00D120E5">
        <w:t>-</w:t>
      </w:r>
      <w:r w:rsidRPr="00D120E5">
        <w:t>and</w:t>
      </w:r>
      <w:r w:rsidR="002F68F2" w:rsidRPr="00D120E5">
        <w:t>-</w:t>
      </w:r>
      <w:r w:rsidRPr="00D120E5">
        <w:t>Courts</w:t>
      </w:r>
      <w:r w:rsidR="002F68F2" w:rsidRPr="00D120E5">
        <w:t>-</w:t>
      </w:r>
      <w:r w:rsidRPr="00D120E5">
        <w:t xml:space="preserve">Act 2013 has been implemented to amend this act with which the statute is developed to appoint a justice to the </w:t>
      </w:r>
      <w:r w:rsidR="00EB3DED" w:rsidRPr="00D120E5">
        <w:t>Supreme-</w:t>
      </w:r>
      <w:r w:rsidR="00D120E5" w:rsidRPr="00D120E5">
        <w:t xml:space="preserve">Court. </w:t>
      </w:r>
      <w:r w:rsidRPr="00D120E5">
        <w:t xml:space="preserve">The Lord Chancellor once arranged an independent selection commission which initially consulted with the Lord Chancellor about the advertised position and about the selection and recruitment process of the </w:t>
      </w:r>
      <w:r w:rsidR="00EB3DED" w:rsidRPr="00D120E5">
        <w:t>Supreme-</w:t>
      </w:r>
      <w:r w:rsidR="00D120E5" w:rsidRPr="00D120E5">
        <w:t>Court Justice</w:t>
      </w:r>
      <w:r w:rsidRPr="00D120E5">
        <w:t xml:space="preserve"> (The </w:t>
      </w:r>
      <w:r w:rsidR="00EB3DED" w:rsidRPr="00D120E5">
        <w:t>Supreme-</w:t>
      </w:r>
      <w:r w:rsidR="00D120E5" w:rsidRPr="00D120E5">
        <w:t>Court,</w:t>
      </w:r>
      <w:r w:rsidRPr="00D120E5">
        <w:t xml:space="preserve"> 2019). The parliament is present to set the initial eligible criteria. After that, the vacancy is advertised and the candidates are asked to provide their initial personal declaration about their interest in working with the </w:t>
      </w:r>
      <w:r w:rsidR="00EB3DED" w:rsidRPr="00D120E5">
        <w:t>Supreme-</w:t>
      </w:r>
      <w:r w:rsidR="00D120E5" w:rsidRPr="00D120E5">
        <w:t>Court in</w:t>
      </w:r>
      <w:r w:rsidRPr="00D120E5">
        <w:t xml:space="preserve"> the UK. The work experiences as well as a comprehensive statement from an independent assessor is required to submit to the recruitment authority. The interviewing process began with shortlisted candidates. If there are two or more candidates with similar merit and qualification, justice can be selected with the determination of enhancing the diversity of the panel. The shortlisted report is sent to the Lord Chancellor and the political parties and other senior judges for consideration which can either be accepted or rejected by Lord Chancellor to be reviewed by the commission. The final name is selected by the Prime Minister and The Queen with an announcement to the candidates about their selection. </w:t>
      </w:r>
    </w:p>
    <w:p w14:paraId="560072EC" w14:textId="77777777" w:rsidR="0069669F" w:rsidRDefault="0069669F" w:rsidP="00ED1022">
      <w:pPr>
        <w:spacing w:after="240" w:line="360" w:lineRule="auto"/>
        <w:jc w:val="both"/>
      </w:pPr>
      <w:r>
        <w:rPr>
          <w:noProof/>
        </w:rPr>
        <w:drawing>
          <wp:inline distT="0" distB="0" distL="0" distR="0" wp14:anchorId="03D0E28E" wp14:editId="081B9510">
            <wp:extent cx="4302034" cy="222946"/>
            <wp:effectExtent l="0" t="0" r="381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57991" cy="231028"/>
                    </a:xfrm>
                    <a:prstGeom prst="rect">
                      <a:avLst/>
                    </a:prstGeom>
                  </pic:spPr>
                </pic:pic>
              </a:graphicData>
            </a:graphic>
          </wp:inline>
        </w:drawing>
      </w:r>
    </w:p>
    <w:p w14:paraId="3945EEBE" w14:textId="6A45AFCF" w:rsidR="00DC431E" w:rsidRPr="00D120E5" w:rsidRDefault="00DC431E" w:rsidP="00ED1022">
      <w:pPr>
        <w:spacing w:after="240" w:line="360" w:lineRule="auto"/>
        <w:jc w:val="both"/>
      </w:pPr>
      <w:r w:rsidRPr="00D120E5">
        <w:t xml:space="preserve">There are three regulatory statutes and bodies which govern the selection process of the </w:t>
      </w:r>
      <w:r w:rsidR="002F68F2" w:rsidRPr="00D120E5">
        <w:t xml:space="preserve">Justice candidates in the </w:t>
      </w:r>
      <w:r w:rsidR="00EB3DED" w:rsidRPr="00D120E5">
        <w:t>Supreme-</w:t>
      </w:r>
      <w:r w:rsidR="00D120E5" w:rsidRPr="00D120E5">
        <w:t>Court Justice</w:t>
      </w:r>
      <w:r w:rsidRPr="00D120E5">
        <w:t xml:space="preserve">. Initially the </w:t>
      </w:r>
      <w:r w:rsidR="00255065" w:rsidRPr="00D120E5">
        <w:t>Constitutional-Reform-Act-2005</w:t>
      </w:r>
      <w:r w:rsidRPr="00D120E5">
        <w:t xml:space="preserve"> is applied in setting out the selection process. This </w:t>
      </w:r>
      <w:r w:rsidR="00255065" w:rsidRPr="00D120E5">
        <w:t>Constitutional-Reform-Act-2005</w:t>
      </w:r>
      <w:r w:rsidRPr="00D120E5">
        <w:t xml:space="preserve"> is amended by the Crime</w:t>
      </w:r>
      <w:r w:rsidR="00321864" w:rsidRPr="00D120E5">
        <w:t>-</w:t>
      </w:r>
      <w:r w:rsidRPr="00D120E5">
        <w:t>and</w:t>
      </w:r>
      <w:r w:rsidR="00321864" w:rsidRPr="00D120E5">
        <w:t>-</w:t>
      </w:r>
      <w:r w:rsidRPr="00D120E5">
        <w:t>Courts</w:t>
      </w:r>
      <w:r w:rsidR="00321864" w:rsidRPr="00D120E5">
        <w:t>-</w:t>
      </w:r>
      <w:r w:rsidRPr="00D120E5">
        <w:t xml:space="preserve">Act 2013 which states the disputes or conflicts of the selection process prior to the </w:t>
      </w:r>
      <w:r w:rsidR="00255065" w:rsidRPr="00D120E5">
        <w:t>Constitutional-Reform-Act</w:t>
      </w:r>
      <w:r w:rsidR="00321864" w:rsidRPr="00D120E5">
        <w:t xml:space="preserve"> </w:t>
      </w:r>
      <w:r w:rsidR="00255065" w:rsidRPr="00D120E5">
        <w:t>2005</w:t>
      </w:r>
      <w:r w:rsidRPr="00D120E5">
        <w:t xml:space="preserve">. In addition, the parliament has the power to announce the eligibility of the selection criteria and the justice. These three regulatory statutes and bodies are responsible to govern the selection process of </w:t>
      </w:r>
      <w:r w:rsidR="00EB3DED" w:rsidRPr="00D120E5">
        <w:t>Supreme-</w:t>
      </w:r>
      <w:r w:rsidR="00D120E5" w:rsidRPr="00D120E5">
        <w:t>Court Justices</w:t>
      </w:r>
      <w:r w:rsidRPr="00D120E5">
        <w:t xml:space="preserve">. </w:t>
      </w:r>
    </w:p>
    <w:p w14:paraId="458A7D00" w14:textId="1F31F334" w:rsidR="00DC431E" w:rsidRPr="00D120E5" w:rsidRDefault="0069669F" w:rsidP="00DC431E">
      <w:pPr>
        <w:spacing w:line="360" w:lineRule="auto"/>
        <w:jc w:val="both"/>
      </w:pPr>
      <w:r>
        <w:rPr>
          <w:noProof/>
        </w:rPr>
        <w:drawing>
          <wp:inline distT="0" distB="0" distL="0" distR="0" wp14:anchorId="5A4BE117" wp14:editId="13D088F9">
            <wp:extent cx="5731510" cy="30924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9245"/>
                    </a:xfrm>
                    <a:prstGeom prst="rect">
                      <a:avLst/>
                    </a:prstGeom>
                  </pic:spPr>
                </pic:pic>
              </a:graphicData>
            </a:graphic>
          </wp:inline>
        </w:drawing>
      </w:r>
      <w:r w:rsidR="00DC431E" w:rsidRPr="00D120E5">
        <w:t xml:space="preserve">The current composition of </w:t>
      </w:r>
      <w:r w:rsidR="00EB3DED" w:rsidRPr="00D120E5">
        <w:t>Supreme-</w:t>
      </w:r>
      <w:r w:rsidR="00D120E5" w:rsidRPr="00D120E5">
        <w:t>Court justices</w:t>
      </w:r>
      <w:r w:rsidR="00DC431E" w:rsidRPr="00D120E5">
        <w:t xml:space="preserve"> in the UK is developed in such a way that the women account for 39% of barristers and 52% of the lawyers are women. Also, 76% of Chartered Legal Executives come from female candidates. In addition, </w:t>
      </w:r>
      <w:bookmarkStart w:id="2" w:name="_Hlk106037577"/>
      <w:r w:rsidR="00060604" w:rsidRPr="00D120E5">
        <w:t xml:space="preserve">the women are practicing as barristers </w:t>
      </w:r>
      <w:r w:rsidR="00E37167" w:rsidRPr="00D120E5">
        <w:t>comprising the 33% of the total members of barristers in the UK</w:t>
      </w:r>
      <w:bookmarkEnd w:id="2"/>
      <w:r w:rsidR="00E37167" w:rsidRPr="00D120E5">
        <w:t>.</w:t>
      </w:r>
      <w:r w:rsidR="00C661D1" w:rsidRPr="00D120E5">
        <w:t xml:space="preserve"> Where the percentage is</w:t>
      </w:r>
      <w:r w:rsidR="00DC431E" w:rsidRPr="00D120E5">
        <w:t xml:space="preserve"> 44% of </w:t>
      </w:r>
      <w:r w:rsidR="00C661D1" w:rsidRPr="00D120E5">
        <w:t xml:space="preserve">the practicing </w:t>
      </w:r>
      <w:r w:rsidR="00DC431E" w:rsidRPr="00D120E5">
        <w:t>lawyers</w:t>
      </w:r>
      <w:r w:rsidR="00C661D1" w:rsidRPr="00D120E5">
        <w:t xml:space="preserve"> in the UK judiciary</w:t>
      </w:r>
      <w:r w:rsidR="005C1E4A" w:rsidRPr="00D120E5">
        <w:t xml:space="preserve">. Also, </w:t>
      </w:r>
      <w:r w:rsidR="00AF1BD3" w:rsidRPr="00D120E5">
        <w:t>73%</w:t>
      </w:r>
      <w:r w:rsidR="00E01829" w:rsidRPr="00D120E5">
        <w:t xml:space="preserve"> </w:t>
      </w:r>
      <w:r w:rsidR="00877C18" w:rsidRPr="00D120E5">
        <w:t xml:space="preserve">are </w:t>
      </w:r>
      <w:r w:rsidR="005C1E4A" w:rsidRPr="00D120E5">
        <w:t xml:space="preserve">women </w:t>
      </w:r>
      <w:r w:rsidR="00877C18" w:rsidRPr="00D120E5">
        <w:t xml:space="preserve">who </w:t>
      </w:r>
      <w:r w:rsidR="005C1E4A" w:rsidRPr="00D120E5">
        <w:t xml:space="preserve">are doing outstanding performance </w:t>
      </w:r>
      <w:r w:rsidR="0055743F" w:rsidRPr="00D120E5">
        <w:t>as</w:t>
      </w:r>
      <w:r w:rsidR="005C1E4A" w:rsidRPr="00D120E5">
        <w:t xml:space="preserve"> </w:t>
      </w:r>
      <w:r w:rsidR="00DC431E" w:rsidRPr="00D120E5">
        <w:t>Chartered Legal Executive</w:t>
      </w:r>
      <w:r w:rsidR="00F55253" w:rsidRPr="00D120E5">
        <w:t>s</w:t>
      </w:r>
      <w:r w:rsidR="00DC431E" w:rsidRPr="00D120E5">
        <w:t xml:space="preserve"> with 15 years or more experience. Throughout all statutory Judicial Appointments Commission (JAC) operations in 2020-21, women accounted for 43% of entries and 44% of nominations. There were disparities by position, with women receiving an estimated 17 per cent fewer referrals from the group of potential applicants than men (Ministry of Justice, 2021). While talking about the ethnicity in the </w:t>
      </w:r>
      <w:r w:rsidR="00EB3DED" w:rsidRPr="00D120E5">
        <w:t>Supreme-</w:t>
      </w:r>
      <w:r w:rsidR="00D120E5" w:rsidRPr="00D120E5">
        <w:t>Court in</w:t>
      </w:r>
      <w:r w:rsidR="00DC431E" w:rsidRPr="00D120E5">
        <w:t xml:space="preserve"> the UK, </w:t>
      </w:r>
      <w:bookmarkStart w:id="3" w:name="_Hlk106037772"/>
      <w:r w:rsidR="002D7250" w:rsidRPr="00D120E5">
        <w:t xml:space="preserve">the </w:t>
      </w:r>
      <w:r w:rsidR="003C2F96" w:rsidRPr="00D120E5">
        <w:t xml:space="preserve">Asian and Black along with other </w:t>
      </w:r>
      <w:r w:rsidR="003F5CC2" w:rsidRPr="00D120E5">
        <w:t xml:space="preserve">ethnic </w:t>
      </w:r>
      <w:r w:rsidR="003C2F96" w:rsidRPr="00D120E5">
        <w:t>minority groups</w:t>
      </w:r>
      <w:r w:rsidR="002D7250" w:rsidRPr="00D120E5">
        <w:t xml:space="preserve"> </w:t>
      </w:r>
      <w:bookmarkEnd w:id="3"/>
      <w:r w:rsidR="002D7250" w:rsidRPr="00D120E5">
        <w:t xml:space="preserve">are practicing as barristers comprising the </w:t>
      </w:r>
      <w:r w:rsidR="003F5CC2" w:rsidRPr="00D120E5">
        <w:t>15</w:t>
      </w:r>
      <w:r w:rsidR="002D7250" w:rsidRPr="00D120E5">
        <w:t>% of the total members of barristers in the UK</w:t>
      </w:r>
      <w:r w:rsidR="003F5CC2" w:rsidRPr="00D120E5">
        <w:t xml:space="preserve">. Where the percentage is </w:t>
      </w:r>
      <w:r w:rsidR="00270E38" w:rsidRPr="00D120E5">
        <w:t>18</w:t>
      </w:r>
      <w:r w:rsidR="003F5CC2" w:rsidRPr="00D120E5">
        <w:t xml:space="preserve">% of the practicing </w:t>
      </w:r>
      <w:r w:rsidR="00E646BE" w:rsidRPr="00D120E5">
        <w:t xml:space="preserve">solicitors </w:t>
      </w:r>
      <w:r w:rsidR="003F5CC2" w:rsidRPr="00D120E5">
        <w:t xml:space="preserve">in the UK judiciary. Also, </w:t>
      </w:r>
      <w:r w:rsidR="00327526" w:rsidRPr="00D120E5">
        <w:t>14</w:t>
      </w:r>
      <w:r w:rsidR="003F5CC2" w:rsidRPr="00D120E5">
        <w:t xml:space="preserve">% are </w:t>
      </w:r>
      <w:r w:rsidR="0046692F" w:rsidRPr="00D120E5">
        <w:t xml:space="preserve">of those Asian and Black along with other ethnic minority groups </w:t>
      </w:r>
      <w:r w:rsidR="003F5CC2" w:rsidRPr="00D120E5">
        <w:t>who are doing outstanding performance as Chartered Legal Executives</w:t>
      </w:r>
      <w:r w:rsidR="00EB7ED5" w:rsidRPr="00D120E5">
        <w:t xml:space="preserve"> and 7%</w:t>
      </w:r>
      <w:r w:rsidR="00596671" w:rsidRPr="00D120E5">
        <w:t xml:space="preserve"> with more than 15 years of experience</w:t>
      </w:r>
      <w:r w:rsidR="00205D46" w:rsidRPr="00D120E5">
        <w:t xml:space="preserve"> i</w:t>
      </w:r>
      <w:r w:rsidR="00DC431E" w:rsidRPr="00D120E5">
        <w:t>n England and Wales</w:t>
      </w:r>
      <w:r w:rsidR="00205D46" w:rsidRPr="00D120E5">
        <w:t xml:space="preserve">. </w:t>
      </w:r>
      <w:r w:rsidR="00DC431E" w:rsidRPr="00D120E5">
        <w:t xml:space="preserve">In all legal activities from 2020 to 2021, Black, Asian, and minority ethnic candidates received around 8% fewer qualifying pool referrals than White candidates. </w:t>
      </w:r>
    </w:p>
    <w:p w14:paraId="1B2C3831" w14:textId="77777777" w:rsidR="00D120E5" w:rsidRPr="00D120E5" w:rsidRDefault="00D120E5" w:rsidP="00DC431E">
      <w:pPr>
        <w:spacing w:line="360" w:lineRule="auto"/>
        <w:jc w:val="both"/>
      </w:pPr>
      <w:r w:rsidRPr="00D120E5">
        <w:rPr>
          <w:noProof/>
        </w:rPr>
        <w:drawing>
          <wp:inline distT="0" distB="0" distL="0" distR="0" wp14:anchorId="3151FEB2" wp14:editId="160CF7DD">
            <wp:extent cx="2670048" cy="284893"/>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43280" cy="303377"/>
                    </a:xfrm>
                    <a:prstGeom prst="rect">
                      <a:avLst/>
                    </a:prstGeom>
                  </pic:spPr>
                </pic:pic>
              </a:graphicData>
            </a:graphic>
          </wp:inline>
        </w:drawing>
      </w:r>
    </w:p>
    <w:p w14:paraId="110191AB" w14:textId="05850B7B" w:rsidR="00772DAD" w:rsidRPr="0069669F" w:rsidRDefault="00DC431E" w:rsidP="00473E91">
      <w:pPr>
        <w:spacing w:line="360" w:lineRule="auto"/>
        <w:jc w:val="both"/>
      </w:pPr>
      <w:r w:rsidRPr="00D120E5">
        <w:t xml:space="preserve">In some sort of areas, there is a significant number of women participating in the </w:t>
      </w:r>
      <w:r w:rsidR="00EB3DED" w:rsidRPr="00D120E5">
        <w:t>Supreme-</w:t>
      </w:r>
      <w:r w:rsidR="00D120E5" w:rsidRPr="00D120E5">
        <w:t>Court decision</w:t>
      </w:r>
      <w:r w:rsidRPr="00D120E5">
        <w:t xml:space="preserve">-making of the UK. But the number is merely significant that should be improved and developed. The prejudice covering with the female candidates for having less experience and judgmental capacity of </w:t>
      </w:r>
      <w:r w:rsidR="00EB3DED" w:rsidRPr="00D120E5">
        <w:t>Supreme-</w:t>
      </w:r>
      <w:r w:rsidR="00D120E5" w:rsidRPr="00D120E5">
        <w:t>Court justice</w:t>
      </w:r>
      <w:r w:rsidRPr="00D120E5">
        <w:t xml:space="preserve"> should be improved to encourage the female candidates in the next forthcoming periods. As a consequence, the gendered impact can bring better opportunities and better reviews in different points of view of individuals. So, the girls need better education and with comparatively less influential social pressures of having careers in different corporate setups. They should be encouraged to come forward to make changes for society. </w:t>
      </w:r>
      <w:r w:rsidR="00D120E5" w:rsidRPr="00D120E5">
        <w:t>So</w:t>
      </w:r>
      <w:r w:rsidRPr="00D120E5">
        <w:t>, the platform should be created by the men and the existing society</w:t>
      </w:r>
      <w:r w:rsidR="004212E6" w:rsidRPr="00D120E5">
        <w:t xml:space="preserve">. </w:t>
      </w:r>
    </w:p>
    <w:p w14:paraId="2B02DF2A" w14:textId="1BC8005A" w:rsidR="00970197" w:rsidRPr="00D120E5" w:rsidRDefault="00970197" w:rsidP="007823F5">
      <w:pPr>
        <w:pStyle w:val="Heading1"/>
        <w:pBdr>
          <w:bottom w:val="single" w:sz="4" w:space="1" w:color="auto"/>
        </w:pBdr>
      </w:pPr>
      <w:bookmarkStart w:id="4" w:name="_Toc106038017"/>
      <w:r w:rsidRPr="00D120E5">
        <w:t>Conclusion</w:t>
      </w:r>
      <w:bookmarkEnd w:id="4"/>
    </w:p>
    <w:p w14:paraId="62C24DD7" w14:textId="3404FC64" w:rsidR="00935683" w:rsidRPr="00DA741D" w:rsidRDefault="002276F0" w:rsidP="00473E91">
      <w:pPr>
        <w:spacing w:line="360" w:lineRule="auto"/>
        <w:jc w:val="both"/>
        <w:rPr>
          <w:rFonts w:asciiTheme="majorBidi" w:hAnsiTheme="majorBidi" w:cstheme="majorBidi"/>
          <w:lang w:bidi="bn-BD"/>
        </w:rPr>
      </w:pPr>
      <w:r w:rsidRPr="00D120E5">
        <w:rPr>
          <w:rFonts w:asciiTheme="majorBidi" w:hAnsiTheme="majorBidi" w:cstheme="majorBidi"/>
        </w:rPr>
        <w:t xml:space="preserve">The United Kingdom's uppermost court is seemed to be the Supreme-Court. </w:t>
      </w:r>
      <w:r w:rsidR="00EB2FB6" w:rsidRPr="00D120E5">
        <w:rPr>
          <w:rFonts w:asciiTheme="majorBidi" w:hAnsiTheme="majorBidi" w:cstheme="majorBidi"/>
        </w:rPr>
        <w:t xml:space="preserve">The </w:t>
      </w:r>
      <w:r w:rsidR="00EB3DED" w:rsidRPr="00D120E5">
        <w:rPr>
          <w:rFonts w:asciiTheme="majorBidi" w:hAnsiTheme="majorBidi" w:cstheme="majorBidi"/>
        </w:rPr>
        <w:t>Supreme-</w:t>
      </w:r>
      <w:r w:rsidR="00D120E5" w:rsidRPr="00D120E5">
        <w:rPr>
          <w:rFonts w:asciiTheme="majorBidi" w:hAnsiTheme="majorBidi" w:cstheme="majorBidi"/>
        </w:rPr>
        <w:t>Court has</w:t>
      </w:r>
      <w:r w:rsidR="00EB2FB6" w:rsidRPr="00D120E5">
        <w:rPr>
          <w:rFonts w:asciiTheme="majorBidi" w:hAnsiTheme="majorBidi" w:cstheme="majorBidi"/>
        </w:rPr>
        <w:t xml:space="preserve"> significant levels of power to execute on national issues and public interests. Also, importantly, hears and resolves the "Devolution Issues". The </w:t>
      </w:r>
      <w:r w:rsidR="00EB3DED" w:rsidRPr="00D120E5">
        <w:rPr>
          <w:rFonts w:asciiTheme="majorBidi" w:hAnsiTheme="majorBidi" w:cstheme="majorBidi"/>
        </w:rPr>
        <w:t>Supreme-</w:t>
      </w:r>
      <w:r w:rsidR="00D120E5" w:rsidRPr="00D120E5">
        <w:rPr>
          <w:rFonts w:asciiTheme="majorBidi" w:hAnsiTheme="majorBidi" w:cstheme="majorBidi"/>
        </w:rPr>
        <w:t>Court does</w:t>
      </w:r>
      <w:r w:rsidR="00EB2FB6" w:rsidRPr="00D120E5">
        <w:rPr>
          <w:rFonts w:asciiTheme="majorBidi" w:hAnsiTheme="majorBidi" w:cstheme="majorBidi"/>
        </w:rPr>
        <w:t xml:space="preserve"> hear some specific fields of cases such as commercial arguments, household disputes, jurisdictional assessment claims and any problems under the </w:t>
      </w:r>
      <w:r w:rsidR="00D860B0" w:rsidRPr="00D120E5">
        <w:rPr>
          <w:rFonts w:asciiTheme="majorBidi" w:hAnsiTheme="majorBidi" w:cstheme="majorBidi"/>
        </w:rPr>
        <w:t>Human-Rights-Act</w:t>
      </w:r>
      <w:r w:rsidR="00D0600C" w:rsidRPr="00D120E5">
        <w:rPr>
          <w:rFonts w:asciiTheme="majorBidi" w:hAnsiTheme="majorBidi" w:cstheme="majorBidi"/>
        </w:rPr>
        <w:t xml:space="preserve"> </w:t>
      </w:r>
      <w:r w:rsidR="00D860B0" w:rsidRPr="00D120E5">
        <w:rPr>
          <w:rFonts w:asciiTheme="majorBidi" w:hAnsiTheme="majorBidi" w:cstheme="majorBidi"/>
        </w:rPr>
        <w:t>1998</w:t>
      </w:r>
      <w:r w:rsidR="00EB2FB6" w:rsidRPr="00D120E5">
        <w:rPr>
          <w:rFonts w:asciiTheme="majorBidi" w:hAnsiTheme="majorBidi" w:cstheme="majorBidi"/>
        </w:rPr>
        <w:t xml:space="preserve">. The selection process for new </w:t>
      </w:r>
      <w:r w:rsidR="00EB3DED" w:rsidRPr="00D120E5">
        <w:rPr>
          <w:rFonts w:asciiTheme="majorBidi" w:hAnsiTheme="majorBidi" w:cstheme="majorBidi"/>
        </w:rPr>
        <w:t>Supreme-</w:t>
      </w:r>
      <w:r w:rsidR="00D120E5" w:rsidRPr="00D120E5">
        <w:rPr>
          <w:rFonts w:asciiTheme="majorBidi" w:hAnsiTheme="majorBidi" w:cstheme="majorBidi"/>
        </w:rPr>
        <w:t>Court appointments</w:t>
      </w:r>
      <w:r w:rsidR="00EB2FB6" w:rsidRPr="00D120E5">
        <w:rPr>
          <w:rFonts w:asciiTheme="majorBidi" w:hAnsiTheme="majorBidi" w:cstheme="majorBidi"/>
        </w:rPr>
        <w:t xml:space="preserve"> is conducted with the application of the </w:t>
      </w:r>
      <w:r w:rsidR="00255065" w:rsidRPr="00D120E5">
        <w:rPr>
          <w:rFonts w:asciiTheme="majorBidi" w:hAnsiTheme="majorBidi" w:cstheme="majorBidi"/>
        </w:rPr>
        <w:t>Constitutional-Reform-Act</w:t>
      </w:r>
      <w:r w:rsidR="00D0600C" w:rsidRPr="00D120E5">
        <w:rPr>
          <w:rFonts w:asciiTheme="majorBidi" w:hAnsiTheme="majorBidi" w:cstheme="majorBidi"/>
        </w:rPr>
        <w:t xml:space="preserve"> </w:t>
      </w:r>
      <w:r w:rsidR="00255065" w:rsidRPr="00D120E5">
        <w:rPr>
          <w:rFonts w:asciiTheme="majorBidi" w:hAnsiTheme="majorBidi" w:cstheme="majorBidi"/>
        </w:rPr>
        <w:t>2005</w:t>
      </w:r>
      <w:r w:rsidR="00EB2FB6" w:rsidRPr="00D120E5">
        <w:rPr>
          <w:rFonts w:asciiTheme="majorBidi" w:hAnsiTheme="majorBidi" w:cstheme="majorBidi"/>
        </w:rPr>
        <w:t xml:space="preserve">. In determining the demographics, women account for 43% of entries and 44% of nominations for </w:t>
      </w:r>
      <w:r w:rsidR="00EB3DED" w:rsidRPr="00D120E5">
        <w:rPr>
          <w:rFonts w:asciiTheme="majorBidi" w:hAnsiTheme="majorBidi" w:cstheme="majorBidi"/>
        </w:rPr>
        <w:t>Supreme-</w:t>
      </w:r>
      <w:r w:rsidR="00D120E5" w:rsidRPr="00D120E5">
        <w:rPr>
          <w:rFonts w:asciiTheme="majorBidi" w:hAnsiTheme="majorBidi" w:cstheme="majorBidi"/>
        </w:rPr>
        <w:t>Court Justices</w:t>
      </w:r>
      <w:r w:rsidR="00EB2FB6" w:rsidRPr="00D120E5">
        <w:rPr>
          <w:rFonts w:asciiTheme="majorBidi" w:hAnsiTheme="majorBidi" w:cstheme="majorBidi"/>
        </w:rPr>
        <w:t xml:space="preserve"> in 2020-21. </w:t>
      </w:r>
      <w:r w:rsidR="00684E41" w:rsidRPr="00D120E5">
        <w:t>T</w:t>
      </w:r>
      <w:r w:rsidR="007F0418" w:rsidRPr="00D120E5">
        <w:t>he</w:t>
      </w:r>
      <w:r w:rsidR="00684E41" w:rsidRPr="00D120E5">
        <w:t xml:space="preserve"> </w:t>
      </w:r>
      <w:r w:rsidR="007F0418" w:rsidRPr="00D120E5">
        <w:t xml:space="preserve">Asian and Black along with other ethnic minority groups </w:t>
      </w:r>
      <w:r w:rsidR="00EB2FB6" w:rsidRPr="00D120E5">
        <w:rPr>
          <w:rFonts w:asciiTheme="majorBidi" w:hAnsiTheme="majorBidi" w:cstheme="majorBidi"/>
        </w:rPr>
        <w:t>make up 15% of barristers, 18% of solicitors, and 14% of Chartered Legal Executives.</w:t>
      </w:r>
      <w:r w:rsidR="00935683" w:rsidRPr="00DA741D">
        <w:rPr>
          <w:rFonts w:asciiTheme="majorBidi" w:hAnsiTheme="majorBidi" w:cstheme="majorBidi"/>
          <w:lang w:bidi="bn-BD"/>
        </w:rPr>
        <w:br w:type="page"/>
      </w:r>
    </w:p>
    <w:bookmarkStart w:id="5" w:name="_Toc106038018" w:displacedByCustomXml="next"/>
    <w:sdt>
      <w:sdtPr>
        <w:rPr>
          <w:rFonts w:ascii="Times New Roman" w:eastAsiaTheme="minorHAnsi" w:hAnsi="Times New Roman" w:cstheme="minorBidi"/>
          <w:b w:val="0"/>
          <w:bCs w:val="0"/>
          <w:sz w:val="24"/>
          <w:szCs w:val="22"/>
          <w:lang w:bidi="ar-SA"/>
        </w:rPr>
        <w:id w:val="-1390112666"/>
        <w:docPartObj>
          <w:docPartGallery w:val="Bibliographies"/>
          <w:docPartUnique/>
        </w:docPartObj>
      </w:sdtPr>
      <w:sdtEndPr>
        <w:rPr>
          <w:rFonts w:asciiTheme="majorBidi" w:hAnsiTheme="majorBidi" w:cstheme="majorBidi"/>
        </w:rPr>
      </w:sdtEndPr>
      <w:sdtContent>
        <w:p w14:paraId="42DFBBB3" w14:textId="42C339EF" w:rsidR="00970197" w:rsidRPr="00DA741D" w:rsidRDefault="00970197" w:rsidP="007823F5">
          <w:pPr>
            <w:pStyle w:val="Heading1"/>
            <w:pBdr>
              <w:bottom w:val="single" w:sz="4" w:space="1" w:color="auto"/>
            </w:pBdr>
          </w:pPr>
          <w:r w:rsidRPr="00DA741D">
            <w:t>References</w:t>
          </w:r>
          <w:bookmarkEnd w:id="5"/>
        </w:p>
        <w:sdt>
          <w:sdtPr>
            <w:rPr>
              <w:rFonts w:asciiTheme="majorBidi" w:hAnsiTheme="majorBidi" w:cstheme="majorBidi"/>
            </w:rPr>
            <w:id w:val="-573587230"/>
            <w:bibliography/>
          </w:sdtPr>
          <w:sdtEndPr/>
          <w:sdtContent>
            <w:p w14:paraId="495B71E0" w14:textId="5C2B55BD" w:rsidR="00595A57" w:rsidRPr="0069669F" w:rsidRDefault="00595A57" w:rsidP="00482EAC">
              <w:pPr>
                <w:spacing w:line="360" w:lineRule="auto"/>
                <w:jc w:val="both"/>
                <w:rPr>
                  <w:rFonts w:asciiTheme="majorBidi" w:hAnsiTheme="majorBidi" w:cstheme="majorBidi"/>
                </w:rPr>
              </w:pPr>
              <w:r w:rsidRPr="00595A57">
                <w:rPr>
                  <w:rFonts w:eastAsia="Times New Roman" w:cs="Times New Roman"/>
                  <w:color w:val="000000"/>
                  <w:szCs w:val="24"/>
                  <w:lang w:val="en-GB" w:eastAsia="en-GB"/>
                </w:rPr>
                <w:t xml:space="preserve">Boyd, C.L., Collins, P.M. and </w:t>
              </w:r>
              <w:proofErr w:type="spellStart"/>
              <w:r w:rsidRPr="00595A57">
                <w:rPr>
                  <w:rFonts w:eastAsia="Times New Roman" w:cs="Times New Roman"/>
                  <w:color w:val="000000"/>
                  <w:szCs w:val="24"/>
                  <w:lang w:val="en-GB" w:eastAsia="en-GB"/>
                </w:rPr>
                <w:t>Ringhand</w:t>
              </w:r>
              <w:proofErr w:type="spellEnd"/>
              <w:r w:rsidRPr="00595A57">
                <w:rPr>
                  <w:rFonts w:eastAsia="Times New Roman" w:cs="Times New Roman"/>
                  <w:color w:val="000000"/>
                  <w:szCs w:val="24"/>
                  <w:lang w:val="en-GB" w:eastAsia="en-GB"/>
                </w:rPr>
                <w:t xml:space="preserve">, L.A. (2018). The Role of Nominee Gender and Race at U.S. </w:t>
              </w:r>
              <w:r w:rsidR="00EB3DED">
                <w:rPr>
                  <w:rFonts w:eastAsia="Times New Roman" w:cs="Times New Roman"/>
                  <w:color w:val="000000"/>
                  <w:szCs w:val="24"/>
                  <w:lang w:val="en-GB" w:eastAsia="en-GB"/>
                </w:rPr>
                <w:t>Supreme-</w:t>
              </w:r>
              <w:r w:rsidR="00D120E5">
                <w:rPr>
                  <w:rFonts w:eastAsia="Times New Roman" w:cs="Times New Roman"/>
                  <w:color w:val="000000"/>
                  <w:szCs w:val="24"/>
                  <w:lang w:val="en-GB" w:eastAsia="en-GB"/>
                </w:rPr>
                <w:t xml:space="preserve">Court </w:t>
              </w:r>
              <w:r w:rsidR="00D120E5" w:rsidRPr="00595A57">
                <w:rPr>
                  <w:rFonts w:eastAsia="Times New Roman" w:cs="Times New Roman"/>
                  <w:color w:val="000000"/>
                  <w:szCs w:val="24"/>
                  <w:lang w:val="en-GB" w:eastAsia="en-GB"/>
                </w:rPr>
                <w:t>Confirmation</w:t>
              </w:r>
              <w:r w:rsidRPr="00595A57">
                <w:rPr>
                  <w:rFonts w:eastAsia="Times New Roman" w:cs="Times New Roman"/>
                  <w:color w:val="000000"/>
                  <w:szCs w:val="24"/>
                  <w:lang w:val="en-GB" w:eastAsia="en-GB"/>
                </w:rPr>
                <w:t xml:space="preserve"> Hearings. </w:t>
              </w:r>
              <w:r w:rsidRPr="00595A57">
                <w:rPr>
                  <w:rFonts w:eastAsia="Times New Roman" w:cs="Times New Roman"/>
                  <w:i/>
                  <w:iCs/>
                  <w:color w:val="000000"/>
                  <w:szCs w:val="24"/>
                  <w:lang w:val="en-GB" w:eastAsia="en-GB"/>
                </w:rPr>
                <w:t>Law &amp; Society Review</w:t>
              </w:r>
              <w:r w:rsidRPr="00595A57">
                <w:rPr>
                  <w:rFonts w:eastAsia="Times New Roman" w:cs="Times New Roman"/>
                  <w:color w:val="000000"/>
                  <w:szCs w:val="24"/>
                  <w:lang w:val="en-GB" w:eastAsia="en-GB"/>
                </w:rPr>
                <w:t>, 52(4), pp.871–901. doi:10.1111/lasr.12362.</w:t>
              </w:r>
            </w:p>
            <w:p w14:paraId="542C6EFF" w14:textId="52E23165" w:rsidR="00595A57" w:rsidRPr="00595A57" w:rsidRDefault="00595A57" w:rsidP="00482EAC">
              <w:pPr>
                <w:shd w:val="clear" w:color="auto" w:fill="FFFFFF"/>
                <w:spacing w:after="240" w:line="360" w:lineRule="auto"/>
                <w:jc w:val="both"/>
                <w:rPr>
                  <w:rFonts w:eastAsia="Times New Roman" w:cs="Times New Roman"/>
                  <w:color w:val="000000"/>
                  <w:szCs w:val="24"/>
                  <w:lang w:val="en-GB" w:eastAsia="en-GB"/>
                </w:rPr>
              </w:pPr>
              <w:r w:rsidRPr="00595A57">
                <w:rPr>
                  <w:rFonts w:eastAsia="Times New Roman" w:cs="Times New Roman"/>
                  <w:color w:val="000000"/>
                  <w:szCs w:val="24"/>
                  <w:lang w:val="en-GB" w:eastAsia="en-GB"/>
                </w:rPr>
                <w:t xml:space="preserve">Martin, E. (2004). Gender and Presidential Judicial Selection. </w:t>
              </w:r>
              <w:r w:rsidRPr="00595A57">
                <w:rPr>
                  <w:rFonts w:eastAsia="Times New Roman" w:cs="Times New Roman"/>
                  <w:i/>
                  <w:iCs/>
                  <w:color w:val="000000"/>
                  <w:szCs w:val="24"/>
                  <w:lang w:val="en-GB" w:eastAsia="en-GB"/>
                </w:rPr>
                <w:t>Women &amp; Politics</w:t>
              </w:r>
              <w:r w:rsidRPr="00595A57">
                <w:rPr>
                  <w:rFonts w:eastAsia="Times New Roman" w:cs="Times New Roman"/>
                  <w:color w:val="000000"/>
                  <w:szCs w:val="24"/>
                  <w:lang w:val="en-GB" w:eastAsia="en-GB"/>
                </w:rPr>
                <w:t xml:space="preserve">, 26(3-4), pp.109–129. </w:t>
              </w:r>
              <w:r w:rsidR="00D120E5" w:rsidRPr="00595A57">
                <w:rPr>
                  <w:rFonts w:eastAsia="Times New Roman" w:cs="Times New Roman"/>
                  <w:color w:val="000000"/>
                  <w:szCs w:val="24"/>
                  <w:lang w:val="en-GB" w:eastAsia="en-GB"/>
                </w:rPr>
                <w:t>Doi:</w:t>
              </w:r>
              <w:r w:rsidRPr="00595A57">
                <w:rPr>
                  <w:rFonts w:eastAsia="Times New Roman" w:cs="Times New Roman"/>
                  <w:color w:val="000000"/>
                  <w:szCs w:val="24"/>
                  <w:lang w:val="en-GB" w:eastAsia="en-GB"/>
                </w:rPr>
                <w:t>10.1300/j014v26n03_05.</w:t>
              </w:r>
            </w:p>
            <w:p w14:paraId="47AB178F" w14:textId="77777777" w:rsidR="00595A57" w:rsidRPr="00595A57" w:rsidRDefault="00595A57" w:rsidP="00482EAC">
              <w:pPr>
                <w:shd w:val="clear" w:color="auto" w:fill="FFFFFF"/>
                <w:spacing w:after="240" w:line="360" w:lineRule="auto"/>
                <w:jc w:val="both"/>
                <w:rPr>
                  <w:rFonts w:eastAsia="Times New Roman" w:cs="Times New Roman"/>
                  <w:color w:val="000000"/>
                  <w:szCs w:val="24"/>
                  <w:lang w:val="en-GB" w:eastAsia="en-GB"/>
                </w:rPr>
              </w:pPr>
              <w:r w:rsidRPr="00595A57">
                <w:rPr>
                  <w:rFonts w:eastAsia="Times New Roman" w:cs="Times New Roman"/>
                  <w:color w:val="000000"/>
                  <w:szCs w:val="24"/>
                  <w:lang w:val="en-GB" w:eastAsia="en-GB"/>
                </w:rPr>
                <w:t xml:space="preserve">Ministry of Justice (2021). </w:t>
              </w:r>
              <w:r w:rsidRPr="00595A57">
                <w:rPr>
                  <w:rFonts w:eastAsia="Times New Roman" w:cs="Times New Roman"/>
                  <w:i/>
                  <w:iCs/>
                  <w:color w:val="000000"/>
                  <w:szCs w:val="24"/>
                  <w:lang w:val="en-GB" w:eastAsia="en-GB"/>
                </w:rPr>
                <w:t>Diversity of the judiciary: Legal professions, New Appointments and Current post-holders – 2021 Statistics</w:t>
              </w:r>
              <w:r w:rsidRPr="00595A57">
                <w:rPr>
                  <w:rFonts w:eastAsia="Times New Roman" w:cs="Times New Roman"/>
                  <w:color w:val="000000"/>
                  <w:szCs w:val="24"/>
                  <w:lang w:val="en-GB" w:eastAsia="en-GB"/>
                </w:rPr>
                <w:t>. [online] GOV.UK. Available at: https://www.gov.uk/government/statistics/diversity-of-the-judiciary-2021-statistics/diversity-of-the-judiciary-2021-statistics-report.</w:t>
              </w:r>
            </w:p>
            <w:p w14:paraId="09B3AA82" w14:textId="27CCBA4A" w:rsidR="00595A57" w:rsidRPr="00595A57" w:rsidRDefault="00595A57" w:rsidP="00482EAC">
              <w:pPr>
                <w:shd w:val="clear" w:color="auto" w:fill="FFFFFF"/>
                <w:spacing w:after="240" w:line="360" w:lineRule="auto"/>
                <w:jc w:val="both"/>
                <w:rPr>
                  <w:rFonts w:eastAsia="Times New Roman" w:cs="Times New Roman"/>
                  <w:color w:val="000000"/>
                  <w:szCs w:val="24"/>
                  <w:lang w:val="en-GB" w:eastAsia="en-GB"/>
                </w:rPr>
              </w:pPr>
              <w:proofErr w:type="spellStart"/>
              <w:r w:rsidRPr="00595A57">
                <w:rPr>
                  <w:rFonts w:eastAsia="Times New Roman" w:cs="Times New Roman"/>
                  <w:color w:val="000000"/>
                  <w:szCs w:val="24"/>
                  <w:lang w:val="en-GB" w:eastAsia="en-GB"/>
                </w:rPr>
                <w:t>Renberg</w:t>
              </w:r>
              <w:proofErr w:type="spellEnd"/>
              <w:r w:rsidRPr="00595A57">
                <w:rPr>
                  <w:rFonts w:eastAsia="Times New Roman" w:cs="Times New Roman"/>
                  <w:color w:val="000000"/>
                  <w:szCs w:val="24"/>
                  <w:lang w:val="en-GB" w:eastAsia="en-GB"/>
                </w:rPr>
                <w:t xml:space="preserve">, K. (2014). Gender Cues and Acceptance of </w:t>
              </w:r>
              <w:r w:rsidR="00EB3DED">
                <w:rPr>
                  <w:rFonts w:eastAsia="Times New Roman" w:cs="Times New Roman"/>
                  <w:color w:val="000000"/>
                  <w:szCs w:val="24"/>
                  <w:lang w:val="en-GB" w:eastAsia="en-GB"/>
                </w:rPr>
                <w:t>Supreme-</w:t>
              </w:r>
              <w:r w:rsidR="00D120E5">
                <w:rPr>
                  <w:rFonts w:eastAsia="Times New Roman" w:cs="Times New Roman"/>
                  <w:color w:val="000000"/>
                  <w:szCs w:val="24"/>
                  <w:lang w:val="en-GB" w:eastAsia="en-GB"/>
                </w:rPr>
                <w:t xml:space="preserve">Court </w:t>
              </w:r>
              <w:r w:rsidR="00D120E5" w:rsidRPr="00595A57">
                <w:rPr>
                  <w:rFonts w:eastAsia="Times New Roman" w:cs="Times New Roman"/>
                  <w:color w:val="000000"/>
                  <w:szCs w:val="24"/>
                  <w:lang w:val="en-GB" w:eastAsia="en-GB"/>
                </w:rPr>
                <w:t>Decisions</w:t>
              </w:r>
              <w:r w:rsidRPr="00595A57">
                <w:rPr>
                  <w:rFonts w:eastAsia="Times New Roman" w:cs="Times New Roman"/>
                  <w:color w:val="000000"/>
                  <w:szCs w:val="24"/>
                  <w:lang w:val="en-GB" w:eastAsia="en-GB"/>
                </w:rPr>
                <w:t xml:space="preserve">: An Experimental Study on Source Cues. </w:t>
              </w:r>
              <w:r w:rsidRPr="00595A57">
                <w:rPr>
                  <w:rFonts w:eastAsia="Times New Roman" w:cs="Times New Roman"/>
                  <w:i/>
                  <w:iCs/>
                  <w:color w:val="000000"/>
                  <w:szCs w:val="24"/>
                  <w:lang w:val="en-GB" w:eastAsia="en-GB"/>
                </w:rPr>
                <w:t>UC Merced Undergraduate Research Journal</w:t>
              </w:r>
              <w:r w:rsidRPr="00595A57">
                <w:rPr>
                  <w:rFonts w:eastAsia="Times New Roman" w:cs="Times New Roman"/>
                  <w:color w:val="000000"/>
                  <w:szCs w:val="24"/>
                  <w:lang w:val="en-GB" w:eastAsia="en-GB"/>
                </w:rPr>
                <w:t>, 7(1). doi:10.5070/m471024992.</w:t>
              </w:r>
            </w:p>
            <w:p w14:paraId="4CA103BC" w14:textId="42F4CC6C" w:rsidR="00595A57" w:rsidRPr="00595A57" w:rsidRDefault="00595A57" w:rsidP="00482EAC">
              <w:pPr>
                <w:shd w:val="clear" w:color="auto" w:fill="FFFFFF"/>
                <w:spacing w:after="240" w:line="360" w:lineRule="auto"/>
                <w:jc w:val="both"/>
                <w:rPr>
                  <w:rFonts w:eastAsia="Times New Roman" w:cs="Times New Roman"/>
                  <w:color w:val="000000"/>
                  <w:szCs w:val="24"/>
                  <w:lang w:val="en-GB" w:eastAsia="en-GB"/>
                </w:rPr>
              </w:pPr>
              <w:r w:rsidRPr="00595A57">
                <w:rPr>
                  <w:rFonts w:eastAsia="Times New Roman" w:cs="Times New Roman"/>
                  <w:color w:val="000000"/>
                  <w:szCs w:val="24"/>
                  <w:lang w:val="en-GB" w:eastAsia="en-GB"/>
                </w:rPr>
                <w:t xml:space="preserve">The </w:t>
              </w:r>
              <w:r w:rsidR="00EB3DED">
                <w:rPr>
                  <w:rFonts w:eastAsia="Times New Roman" w:cs="Times New Roman"/>
                  <w:color w:val="000000"/>
                  <w:szCs w:val="24"/>
                  <w:lang w:val="en-GB" w:eastAsia="en-GB"/>
                </w:rPr>
                <w:t>Supreme-</w:t>
              </w:r>
              <w:r w:rsidR="00D120E5">
                <w:rPr>
                  <w:rFonts w:eastAsia="Times New Roman" w:cs="Times New Roman"/>
                  <w:color w:val="000000"/>
                  <w:szCs w:val="24"/>
                  <w:lang w:val="en-GB" w:eastAsia="en-GB"/>
                </w:rPr>
                <w:t xml:space="preserve">Court </w:t>
              </w:r>
              <w:r w:rsidR="00D120E5" w:rsidRPr="00595A57">
                <w:rPr>
                  <w:rFonts w:eastAsia="Times New Roman" w:cs="Times New Roman"/>
                  <w:color w:val="000000"/>
                  <w:szCs w:val="24"/>
                  <w:lang w:val="en-GB" w:eastAsia="en-GB"/>
                </w:rPr>
                <w:t>(</w:t>
              </w:r>
              <w:r w:rsidRPr="00595A57">
                <w:rPr>
                  <w:rFonts w:eastAsia="Times New Roman" w:cs="Times New Roman"/>
                  <w:color w:val="000000"/>
                  <w:szCs w:val="24"/>
                  <w:lang w:val="en-GB" w:eastAsia="en-GB"/>
                </w:rPr>
                <w:t xml:space="preserve">2012). </w:t>
              </w:r>
              <w:r w:rsidRPr="00595A57">
                <w:rPr>
                  <w:rFonts w:eastAsia="Times New Roman" w:cs="Times New Roman"/>
                  <w:i/>
                  <w:iCs/>
                  <w:color w:val="000000"/>
                  <w:szCs w:val="24"/>
                  <w:lang w:val="en-GB" w:eastAsia="en-GB"/>
                </w:rPr>
                <w:t xml:space="preserve">Role of The </w:t>
              </w:r>
              <w:r w:rsidR="00EB3DED">
                <w:rPr>
                  <w:rFonts w:eastAsia="Times New Roman" w:cs="Times New Roman"/>
                  <w:i/>
                  <w:iCs/>
                  <w:color w:val="000000"/>
                  <w:szCs w:val="24"/>
                  <w:lang w:val="en-GB" w:eastAsia="en-GB"/>
                </w:rPr>
                <w:t>Supreme-</w:t>
              </w:r>
              <w:r w:rsidR="00D120E5">
                <w:rPr>
                  <w:rFonts w:eastAsia="Times New Roman" w:cs="Times New Roman"/>
                  <w:i/>
                  <w:iCs/>
                  <w:color w:val="000000"/>
                  <w:szCs w:val="24"/>
                  <w:lang w:val="en-GB" w:eastAsia="en-GB"/>
                </w:rPr>
                <w:t xml:space="preserve">Court </w:t>
              </w:r>
              <w:r w:rsidR="00D120E5" w:rsidRPr="00595A57">
                <w:rPr>
                  <w:rFonts w:eastAsia="Times New Roman" w:cs="Times New Roman"/>
                  <w:i/>
                  <w:iCs/>
                  <w:color w:val="000000"/>
                  <w:szCs w:val="24"/>
                  <w:lang w:val="en-GB" w:eastAsia="en-GB"/>
                </w:rPr>
                <w:t>-</w:t>
              </w:r>
              <w:r w:rsidRPr="00595A57">
                <w:rPr>
                  <w:rFonts w:eastAsia="Times New Roman" w:cs="Times New Roman"/>
                  <w:i/>
                  <w:iCs/>
                  <w:color w:val="000000"/>
                  <w:szCs w:val="24"/>
                  <w:lang w:val="en-GB" w:eastAsia="en-GB"/>
                </w:rPr>
                <w:t xml:space="preserve"> The </w:t>
              </w:r>
              <w:r w:rsidR="00EB3DED">
                <w:rPr>
                  <w:rFonts w:eastAsia="Times New Roman" w:cs="Times New Roman"/>
                  <w:i/>
                  <w:iCs/>
                  <w:color w:val="000000"/>
                  <w:szCs w:val="24"/>
                  <w:lang w:val="en-GB" w:eastAsia="en-GB"/>
                </w:rPr>
                <w:t>Supreme-</w:t>
              </w:r>
              <w:r w:rsidR="00D120E5">
                <w:rPr>
                  <w:rFonts w:eastAsia="Times New Roman" w:cs="Times New Roman"/>
                  <w:i/>
                  <w:iCs/>
                  <w:color w:val="000000"/>
                  <w:szCs w:val="24"/>
                  <w:lang w:val="en-GB" w:eastAsia="en-GB"/>
                </w:rPr>
                <w:t xml:space="preserve">Court. </w:t>
              </w:r>
              <w:r w:rsidRPr="00595A57">
                <w:rPr>
                  <w:rFonts w:eastAsia="Times New Roman" w:cs="Times New Roman"/>
                  <w:color w:val="000000"/>
                  <w:szCs w:val="24"/>
                  <w:lang w:val="en-GB" w:eastAsia="en-GB"/>
                </w:rPr>
                <w:t>[online] Supremecourt.uk. Available at: https://www.supremecourt.uk/about/role-of-the-supreme-court.html.</w:t>
              </w:r>
            </w:p>
            <w:p w14:paraId="1C309427" w14:textId="14E42AA5" w:rsidR="00970197" w:rsidRPr="00DA741D" w:rsidRDefault="00595A57" w:rsidP="00482EAC">
              <w:pPr>
                <w:shd w:val="clear" w:color="auto" w:fill="FFFFFF"/>
                <w:spacing w:after="240" w:line="360" w:lineRule="auto"/>
                <w:jc w:val="both"/>
                <w:rPr>
                  <w:rFonts w:asciiTheme="majorBidi" w:hAnsiTheme="majorBidi" w:cstheme="majorBidi"/>
                </w:rPr>
              </w:pPr>
              <w:r w:rsidRPr="00595A57">
                <w:rPr>
                  <w:rFonts w:eastAsia="Times New Roman" w:cs="Times New Roman"/>
                  <w:color w:val="000000"/>
                  <w:szCs w:val="24"/>
                  <w:lang w:val="en-GB" w:eastAsia="en-GB"/>
                </w:rPr>
                <w:t xml:space="preserve">The </w:t>
              </w:r>
              <w:r w:rsidR="00EB3DED">
                <w:rPr>
                  <w:rFonts w:eastAsia="Times New Roman" w:cs="Times New Roman"/>
                  <w:color w:val="000000"/>
                  <w:szCs w:val="24"/>
                  <w:lang w:val="en-GB" w:eastAsia="en-GB"/>
                </w:rPr>
                <w:t>Supreme-</w:t>
              </w:r>
              <w:r w:rsidR="00D120E5">
                <w:rPr>
                  <w:rFonts w:eastAsia="Times New Roman" w:cs="Times New Roman"/>
                  <w:color w:val="000000"/>
                  <w:szCs w:val="24"/>
                  <w:lang w:val="en-GB" w:eastAsia="en-GB"/>
                </w:rPr>
                <w:t xml:space="preserve">Court </w:t>
              </w:r>
              <w:r w:rsidR="00D120E5" w:rsidRPr="00595A57">
                <w:rPr>
                  <w:rFonts w:eastAsia="Times New Roman" w:cs="Times New Roman"/>
                  <w:color w:val="000000"/>
                  <w:szCs w:val="24"/>
                  <w:lang w:val="en-GB" w:eastAsia="en-GB"/>
                </w:rPr>
                <w:t>(</w:t>
              </w:r>
              <w:r w:rsidRPr="00595A57">
                <w:rPr>
                  <w:rFonts w:eastAsia="Times New Roman" w:cs="Times New Roman"/>
                  <w:color w:val="000000"/>
                  <w:szCs w:val="24"/>
                  <w:lang w:val="en-GB" w:eastAsia="en-GB"/>
                </w:rPr>
                <w:t xml:space="preserve">2019). </w:t>
              </w:r>
              <w:r w:rsidRPr="00595A57">
                <w:rPr>
                  <w:rFonts w:eastAsia="Times New Roman" w:cs="Times New Roman"/>
                  <w:i/>
                  <w:iCs/>
                  <w:color w:val="000000"/>
                  <w:szCs w:val="24"/>
                  <w:lang w:val="en-GB" w:eastAsia="en-GB"/>
                </w:rPr>
                <w:t xml:space="preserve">Registry of The </w:t>
              </w:r>
              <w:r w:rsidR="00EB3DED">
                <w:rPr>
                  <w:rFonts w:eastAsia="Times New Roman" w:cs="Times New Roman"/>
                  <w:i/>
                  <w:iCs/>
                  <w:color w:val="000000"/>
                  <w:szCs w:val="24"/>
                  <w:lang w:val="en-GB" w:eastAsia="en-GB"/>
                </w:rPr>
                <w:t>Supreme-</w:t>
              </w:r>
              <w:r w:rsidR="005B664E">
                <w:rPr>
                  <w:rFonts w:eastAsia="Times New Roman" w:cs="Times New Roman"/>
                  <w:i/>
                  <w:iCs/>
                  <w:color w:val="000000"/>
                  <w:szCs w:val="24"/>
                  <w:lang w:val="en-GB" w:eastAsia="en-GB"/>
                </w:rPr>
                <w:t xml:space="preserve">Court </w:t>
              </w:r>
              <w:r w:rsidR="005B664E" w:rsidRPr="00595A57">
                <w:rPr>
                  <w:rFonts w:eastAsia="Times New Roman" w:cs="Times New Roman"/>
                  <w:i/>
                  <w:iCs/>
                  <w:color w:val="000000"/>
                  <w:szCs w:val="24"/>
                  <w:lang w:val="en-GB" w:eastAsia="en-GB"/>
                </w:rPr>
                <w:t>of</w:t>
              </w:r>
              <w:r w:rsidRPr="00595A57">
                <w:rPr>
                  <w:rFonts w:eastAsia="Times New Roman" w:cs="Times New Roman"/>
                  <w:i/>
                  <w:iCs/>
                  <w:color w:val="000000"/>
                  <w:szCs w:val="24"/>
                  <w:lang w:val="en-GB" w:eastAsia="en-GB"/>
                </w:rPr>
                <w:t xml:space="preserve"> the United Kingdom</w:t>
              </w:r>
              <w:r w:rsidRPr="00595A57">
                <w:rPr>
                  <w:rFonts w:eastAsia="Times New Roman" w:cs="Times New Roman"/>
                  <w:color w:val="000000"/>
                  <w:szCs w:val="24"/>
                  <w:lang w:val="en-GB" w:eastAsia="en-GB"/>
                </w:rPr>
                <w:t>. [online] Supremecourt.uk. Available at: https://www.supremecourt.uk/.</w:t>
              </w:r>
            </w:p>
          </w:sdtContent>
        </w:sdt>
      </w:sdtContent>
    </w:sdt>
    <w:p w14:paraId="6EA96C50" w14:textId="77777777" w:rsidR="00970197" w:rsidRPr="00DA741D" w:rsidRDefault="00970197" w:rsidP="00473E91">
      <w:pPr>
        <w:spacing w:line="360" w:lineRule="auto"/>
        <w:jc w:val="both"/>
        <w:rPr>
          <w:rFonts w:asciiTheme="majorBidi" w:hAnsiTheme="majorBidi" w:cstheme="majorBidi"/>
          <w:lang w:bidi="bn-BD"/>
        </w:rPr>
      </w:pPr>
    </w:p>
    <w:sectPr w:rsidR="00970197" w:rsidRPr="00DA741D" w:rsidSect="003F721C">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7FF348" w14:textId="77777777" w:rsidR="00A95918" w:rsidRDefault="00A95918" w:rsidP="003F721C">
      <w:pPr>
        <w:spacing w:after="0" w:line="240" w:lineRule="auto"/>
      </w:pPr>
      <w:r>
        <w:separator/>
      </w:r>
    </w:p>
  </w:endnote>
  <w:endnote w:type="continuationSeparator" w:id="0">
    <w:p w14:paraId="2386B462" w14:textId="77777777" w:rsidR="00A95918" w:rsidRDefault="00A95918" w:rsidP="003F72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069079"/>
      <w:docPartObj>
        <w:docPartGallery w:val="Page Numbers (Bottom of Page)"/>
        <w:docPartUnique/>
      </w:docPartObj>
    </w:sdtPr>
    <w:sdtEndPr/>
    <w:sdtContent>
      <w:p w14:paraId="47A40F7A" w14:textId="72A6CB48" w:rsidR="00D436A4" w:rsidRDefault="007823F5">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12BACEDF" wp14:editId="634900C6">
                  <wp:simplePos x="0" y="0"/>
                  <wp:positionH relativeFrom="rightMargin">
                    <wp:align>center</wp:align>
                  </wp:positionH>
                  <wp:positionV relativeFrom="bottomMargin">
                    <wp:align>center</wp:align>
                  </wp:positionV>
                  <wp:extent cx="512445" cy="441325"/>
                  <wp:effectExtent l="0" t="0" r="1905" b="0"/>
                  <wp:wrapNone/>
                  <wp:docPr id="1" name="Flowchart: Alternate Process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2445" cy="441325"/>
                          </a:xfrm>
                          <a:prstGeom prst="flowChartAlternateProcess">
                            <a:avLst/>
                          </a:prstGeom>
                          <a:noFill/>
                          <a:ln>
                            <a:noFill/>
                          </a:ln>
                          <a:extLst>
                            <a:ext uri="{909E8E84-426E-40DD-AFC4-6F175D3DCCD1}">
                              <a14:hiddenFill xmlns:a14="http://schemas.microsoft.com/office/drawing/2010/main">
                                <a:solidFill>
                                  <a:srgbClr val="5C83B4"/>
                                </a:solidFill>
                              </a14:hiddenFill>
                            </a:ext>
                            <a:ext uri="{91240B29-F687-4F45-9708-019B960494DF}">
                              <a14:hiddenLine xmlns:a14="http://schemas.microsoft.com/office/drawing/2010/main" w="9525">
                                <a:solidFill>
                                  <a:srgbClr val="737373"/>
                                </a:solidFill>
                                <a:miter lim="800000"/>
                                <a:headEnd/>
                                <a:tailEnd/>
                              </a14:hiddenLine>
                            </a:ext>
                          </a:extLst>
                        </wps:spPr>
                        <wps:txbx>
                          <w:txbxContent>
                            <w:p w14:paraId="239F07AC" w14:textId="77777777" w:rsidR="007823F5" w:rsidRDefault="007823F5">
                              <w:pPr>
                                <w:pStyle w:val="Footer"/>
                                <w:pBdr>
                                  <w:top w:val="single" w:sz="12" w:space="1" w:color="A5A5A5" w:themeColor="accent3"/>
                                  <w:bottom w:val="single" w:sz="48" w:space="1" w:color="A5A5A5" w:themeColor="accent3"/>
                                </w:pBdr>
                                <w:jc w:val="center"/>
                                <w:rPr>
                                  <w:sz w:val="28"/>
                                  <w:szCs w:val="28"/>
                                </w:rPr>
                              </w:pPr>
                              <w:r>
                                <w:rPr>
                                  <w:sz w:val="22"/>
                                </w:rPr>
                                <w:fldChar w:fldCharType="begin"/>
                              </w:r>
                              <w:r>
                                <w:instrText xml:space="preserve"> PAGE    \* MERGEFORMAT </w:instrText>
                              </w:r>
                              <w:r>
                                <w:rPr>
                                  <w:sz w:val="22"/>
                                </w:rPr>
                                <w:fldChar w:fldCharType="separate"/>
                              </w:r>
                              <w:r w:rsidR="0069669F" w:rsidRPr="0069669F">
                                <w:rPr>
                                  <w:noProof/>
                                  <w:sz w:val="28"/>
                                  <w:szCs w:val="28"/>
                                </w:rPr>
                                <w:t>6</w:t>
                              </w:r>
                              <w:r>
                                <w:rPr>
                                  <w:noProof/>
                                  <w:sz w:val="28"/>
                                  <w:szCs w:val="28"/>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2BACEDF"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 o:spid="_x0000_s1026" type="#_x0000_t176" style="position:absolute;margin-left:0;margin-top:0;width:40.35pt;height:34.75pt;z-index:251659264;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" filled="f" fillcolor="#5c83b4" stroked="f" strokecolor="#737373">
                  <v:textbox>
                    <w:txbxContent>
                      <w:p w14:paraId="239F07AC" w14:textId="77777777" w:rsidR="007823F5" w:rsidRDefault="007823F5">
                        <w:pPr>
                          <w:pStyle w:val="Footer"/>
                          <w:pBdr>
                            <w:top w:val="single" w:sz="12" w:space="1" w:color="A5A5A5" w:themeColor="accent3"/>
                            <w:bottom w:val="single" w:sz="48" w:space="1" w:color="A5A5A5" w:themeColor="accent3"/>
                          </w:pBdr>
                          <w:jc w:val="center"/>
                          <w:rPr>
                            <w:sz w:val="28"/>
                            <w:szCs w:val="28"/>
                          </w:rPr>
                        </w:pPr>
                        <w:r>
                          <w:rPr>
                            <w:sz w:val="22"/>
                          </w:rPr>
                          <w:fldChar w:fldCharType="begin"/>
                        </w:r>
                        <w:r>
                          <w:instrText xml:space="preserve"> PAGE    \* MERGEFORMAT </w:instrText>
                        </w:r>
                        <w:r>
                          <w:rPr>
                            <w:sz w:val="22"/>
                          </w:rPr>
                          <w:fldChar w:fldCharType="separate"/>
                        </w:r>
                        <w:r w:rsidR="0069669F" w:rsidRPr="0069669F">
                          <w:rPr>
                            <w:noProof/>
                            <w:sz w:val="28"/>
                            <w:szCs w:val="28"/>
                          </w:rPr>
                          <w:t>6</w:t>
                        </w:r>
                        <w:r>
                          <w:rPr>
                            <w:noProof/>
                            <w:sz w:val="28"/>
                            <w:szCs w:val="28"/>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5D8BFC" w14:textId="77777777" w:rsidR="00A95918" w:rsidRDefault="00A95918" w:rsidP="003F721C">
      <w:pPr>
        <w:spacing w:after="0" w:line="240" w:lineRule="auto"/>
      </w:pPr>
      <w:r>
        <w:separator/>
      </w:r>
    </w:p>
  </w:footnote>
  <w:footnote w:type="continuationSeparator" w:id="0">
    <w:p w14:paraId="4C6B5B57" w14:textId="77777777" w:rsidR="00A95918" w:rsidRDefault="00A95918" w:rsidP="003F72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A6DD0"/>
    <w:multiLevelType w:val="hybridMultilevel"/>
    <w:tmpl w:val="00A64780"/>
    <w:lvl w:ilvl="0" w:tplc="5E4E445E">
      <w:start w:val="1"/>
      <w:numFmt w:val="decimal"/>
      <w:lvlText w:val="%1."/>
      <w:lvlJc w:val="left"/>
      <w:pPr>
        <w:ind w:left="360" w:hanging="360"/>
      </w:pPr>
      <w:rPr>
        <w:b/>
      </w:rPr>
    </w:lvl>
    <w:lvl w:ilvl="1" w:tplc="10090019" w:tentative="1">
      <w:start w:val="1"/>
      <w:numFmt w:val="lowerLetter"/>
      <w:lvlText w:val="%2."/>
      <w:lvlJc w:val="left"/>
      <w:pPr>
        <w:ind w:left="1073" w:hanging="360"/>
      </w:pPr>
    </w:lvl>
    <w:lvl w:ilvl="2" w:tplc="1009001B" w:tentative="1">
      <w:start w:val="1"/>
      <w:numFmt w:val="lowerRoman"/>
      <w:lvlText w:val="%3."/>
      <w:lvlJc w:val="right"/>
      <w:pPr>
        <w:ind w:left="1793" w:hanging="180"/>
      </w:pPr>
    </w:lvl>
    <w:lvl w:ilvl="3" w:tplc="1009000F" w:tentative="1">
      <w:start w:val="1"/>
      <w:numFmt w:val="decimal"/>
      <w:lvlText w:val="%4."/>
      <w:lvlJc w:val="left"/>
      <w:pPr>
        <w:ind w:left="2513" w:hanging="360"/>
      </w:pPr>
    </w:lvl>
    <w:lvl w:ilvl="4" w:tplc="10090019" w:tentative="1">
      <w:start w:val="1"/>
      <w:numFmt w:val="lowerLetter"/>
      <w:lvlText w:val="%5."/>
      <w:lvlJc w:val="left"/>
      <w:pPr>
        <w:ind w:left="3233" w:hanging="360"/>
      </w:pPr>
    </w:lvl>
    <w:lvl w:ilvl="5" w:tplc="1009001B" w:tentative="1">
      <w:start w:val="1"/>
      <w:numFmt w:val="lowerRoman"/>
      <w:lvlText w:val="%6."/>
      <w:lvlJc w:val="right"/>
      <w:pPr>
        <w:ind w:left="3953" w:hanging="180"/>
      </w:pPr>
    </w:lvl>
    <w:lvl w:ilvl="6" w:tplc="1009000F" w:tentative="1">
      <w:start w:val="1"/>
      <w:numFmt w:val="decimal"/>
      <w:lvlText w:val="%7."/>
      <w:lvlJc w:val="left"/>
      <w:pPr>
        <w:ind w:left="4673" w:hanging="360"/>
      </w:pPr>
    </w:lvl>
    <w:lvl w:ilvl="7" w:tplc="10090019" w:tentative="1">
      <w:start w:val="1"/>
      <w:numFmt w:val="lowerLetter"/>
      <w:lvlText w:val="%8."/>
      <w:lvlJc w:val="left"/>
      <w:pPr>
        <w:ind w:left="5393" w:hanging="360"/>
      </w:pPr>
    </w:lvl>
    <w:lvl w:ilvl="8" w:tplc="1009001B" w:tentative="1">
      <w:start w:val="1"/>
      <w:numFmt w:val="lowerRoman"/>
      <w:lvlText w:val="%9."/>
      <w:lvlJc w:val="right"/>
      <w:pPr>
        <w:ind w:left="6113" w:hanging="180"/>
      </w:pPr>
    </w:lvl>
  </w:abstractNum>
  <w:abstractNum w:abstractNumId="1" w15:restartNumberingAfterBreak="0">
    <w:nsid w:val="0911108A"/>
    <w:multiLevelType w:val="hybridMultilevel"/>
    <w:tmpl w:val="43A6B044"/>
    <w:lvl w:ilvl="0" w:tplc="5E4E445E">
      <w:start w:val="1"/>
      <w:numFmt w:val="decimal"/>
      <w:lvlText w:val="%1."/>
      <w:lvlJc w:val="left"/>
      <w:pPr>
        <w:ind w:left="360" w:hanging="360"/>
      </w:pPr>
      <w:rPr>
        <w:b/>
      </w:rPr>
    </w:lvl>
    <w:lvl w:ilvl="1" w:tplc="10090019" w:tentative="1">
      <w:start w:val="1"/>
      <w:numFmt w:val="lowerLetter"/>
      <w:lvlText w:val="%2."/>
      <w:lvlJc w:val="left"/>
      <w:pPr>
        <w:ind w:left="1073" w:hanging="360"/>
      </w:pPr>
    </w:lvl>
    <w:lvl w:ilvl="2" w:tplc="1009001B" w:tentative="1">
      <w:start w:val="1"/>
      <w:numFmt w:val="lowerRoman"/>
      <w:lvlText w:val="%3."/>
      <w:lvlJc w:val="right"/>
      <w:pPr>
        <w:ind w:left="1793" w:hanging="180"/>
      </w:pPr>
    </w:lvl>
    <w:lvl w:ilvl="3" w:tplc="1009000F" w:tentative="1">
      <w:start w:val="1"/>
      <w:numFmt w:val="decimal"/>
      <w:lvlText w:val="%4."/>
      <w:lvlJc w:val="left"/>
      <w:pPr>
        <w:ind w:left="2513" w:hanging="360"/>
      </w:pPr>
    </w:lvl>
    <w:lvl w:ilvl="4" w:tplc="10090019" w:tentative="1">
      <w:start w:val="1"/>
      <w:numFmt w:val="lowerLetter"/>
      <w:lvlText w:val="%5."/>
      <w:lvlJc w:val="left"/>
      <w:pPr>
        <w:ind w:left="3233" w:hanging="360"/>
      </w:pPr>
    </w:lvl>
    <w:lvl w:ilvl="5" w:tplc="1009001B" w:tentative="1">
      <w:start w:val="1"/>
      <w:numFmt w:val="lowerRoman"/>
      <w:lvlText w:val="%6."/>
      <w:lvlJc w:val="right"/>
      <w:pPr>
        <w:ind w:left="3953" w:hanging="180"/>
      </w:pPr>
    </w:lvl>
    <w:lvl w:ilvl="6" w:tplc="1009000F" w:tentative="1">
      <w:start w:val="1"/>
      <w:numFmt w:val="decimal"/>
      <w:lvlText w:val="%7."/>
      <w:lvlJc w:val="left"/>
      <w:pPr>
        <w:ind w:left="4673" w:hanging="360"/>
      </w:pPr>
    </w:lvl>
    <w:lvl w:ilvl="7" w:tplc="10090019" w:tentative="1">
      <w:start w:val="1"/>
      <w:numFmt w:val="lowerLetter"/>
      <w:lvlText w:val="%8."/>
      <w:lvlJc w:val="left"/>
      <w:pPr>
        <w:ind w:left="5393" w:hanging="360"/>
      </w:pPr>
    </w:lvl>
    <w:lvl w:ilvl="8" w:tplc="1009001B" w:tentative="1">
      <w:start w:val="1"/>
      <w:numFmt w:val="lowerRoman"/>
      <w:lvlText w:val="%9."/>
      <w:lvlJc w:val="right"/>
      <w:pPr>
        <w:ind w:left="6113" w:hanging="180"/>
      </w:pPr>
    </w:lvl>
  </w:abstractNum>
  <w:abstractNum w:abstractNumId="2" w15:restartNumberingAfterBreak="0">
    <w:nsid w:val="16741F7A"/>
    <w:multiLevelType w:val="hybridMultilevel"/>
    <w:tmpl w:val="73B210A4"/>
    <w:lvl w:ilvl="0" w:tplc="5E4E445E">
      <w:start w:val="1"/>
      <w:numFmt w:val="decimal"/>
      <w:lvlText w:val="%1."/>
      <w:lvlJc w:val="left"/>
      <w:pPr>
        <w:ind w:left="360" w:hanging="360"/>
      </w:pPr>
      <w:rPr>
        <w:b/>
      </w:rPr>
    </w:lvl>
    <w:lvl w:ilvl="1" w:tplc="10090019" w:tentative="1">
      <w:start w:val="1"/>
      <w:numFmt w:val="lowerLetter"/>
      <w:lvlText w:val="%2."/>
      <w:lvlJc w:val="left"/>
      <w:pPr>
        <w:ind w:left="1073" w:hanging="360"/>
      </w:pPr>
    </w:lvl>
    <w:lvl w:ilvl="2" w:tplc="1009001B" w:tentative="1">
      <w:start w:val="1"/>
      <w:numFmt w:val="lowerRoman"/>
      <w:lvlText w:val="%3."/>
      <w:lvlJc w:val="right"/>
      <w:pPr>
        <w:ind w:left="1793" w:hanging="180"/>
      </w:pPr>
    </w:lvl>
    <w:lvl w:ilvl="3" w:tplc="1009000F" w:tentative="1">
      <w:start w:val="1"/>
      <w:numFmt w:val="decimal"/>
      <w:lvlText w:val="%4."/>
      <w:lvlJc w:val="left"/>
      <w:pPr>
        <w:ind w:left="2513" w:hanging="360"/>
      </w:pPr>
    </w:lvl>
    <w:lvl w:ilvl="4" w:tplc="10090019" w:tentative="1">
      <w:start w:val="1"/>
      <w:numFmt w:val="lowerLetter"/>
      <w:lvlText w:val="%5."/>
      <w:lvlJc w:val="left"/>
      <w:pPr>
        <w:ind w:left="3233" w:hanging="360"/>
      </w:pPr>
    </w:lvl>
    <w:lvl w:ilvl="5" w:tplc="1009001B" w:tentative="1">
      <w:start w:val="1"/>
      <w:numFmt w:val="lowerRoman"/>
      <w:lvlText w:val="%6."/>
      <w:lvlJc w:val="right"/>
      <w:pPr>
        <w:ind w:left="3953" w:hanging="180"/>
      </w:pPr>
    </w:lvl>
    <w:lvl w:ilvl="6" w:tplc="1009000F" w:tentative="1">
      <w:start w:val="1"/>
      <w:numFmt w:val="decimal"/>
      <w:lvlText w:val="%7."/>
      <w:lvlJc w:val="left"/>
      <w:pPr>
        <w:ind w:left="4673" w:hanging="360"/>
      </w:pPr>
    </w:lvl>
    <w:lvl w:ilvl="7" w:tplc="10090019" w:tentative="1">
      <w:start w:val="1"/>
      <w:numFmt w:val="lowerLetter"/>
      <w:lvlText w:val="%8."/>
      <w:lvlJc w:val="left"/>
      <w:pPr>
        <w:ind w:left="5393" w:hanging="360"/>
      </w:pPr>
    </w:lvl>
    <w:lvl w:ilvl="8" w:tplc="1009001B" w:tentative="1">
      <w:start w:val="1"/>
      <w:numFmt w:val="lowerRoman"/>
      <w:lvlText w:val="%9."/>
      <w:lvlJc w:val="right"/>
      <w:pPr>
        <w:ind w:left="6113" w:hanging="180"/>
      </w:pPr>
    </w:lvl>
  </w:abstractNum>
  <w:abstractNum w:abstractNumId="3" w15:restartNumberingAfterBreak="0">
    <w:nsid w:val="1708475C"/>
    <w:multiLevelType w:val="hybridMultilevel"/>
    <w:tmpl w:val="B99ABAA4"/>
    <w:lvl w:ilvl="0" w:tplc="5E4E445E">
      <w:start w:val="1"/>
      <w:numFmt w:val="decimal"/>
      <w:lvlText w:val="%1."/>
      <w:lvlJc w:val="left"/>
      <w:pPr>
        <w:ind w:left="360" w:hanging="360"/>
      </w:pPr>
      <w:rPr>
        <w:b/>
      </w:rPr>
    </w:lvl>
    <w:lvl w:ilvl="1" w:tplc="10090019" w:tentative="1">
      <w:start w:val="1"/>
      <w:numFmt w:val="lowerLetter"/>
      <w:lvlText w:val="%2."/>
      <w:lvlJc w:val="left"/>
      <w:pPr>
        <w:ind w:left="1073" w:hanging="360"/>
      </w:pPr>
    </w:lvl>
    <w:lvl w:ilvl="2" w:tplc="1009001B" w:tentative="1">
      <w:start w:val="1"/>
      <w:numFmt w:val="lowerRoman"/>
      <w:lvlText w:val="%3."/>
      <w:lvlJc w:val="right"/>
      <w:pPr>
        <w:ind w:left="1793" w:hanging="180"/>
      </w:pPr>
    </w:lvl>
    <w:lvl w:ilvl="3" w:tplc="1009000F" w:tentative="1">
      <w:start w:val="1"/>
      <w:numFmt w:val="decimal"/>
      <w:lvlText w:val="%4."/>
      <w:lvlJc w:val="left"/>
      <w:pPr>
        <w:ind w:left="2513" w:hanging="360"/>
      </w:pPr>
    </w:lvl>
    <w:lvl w:ilvl="4" w:tplc="10090019" w:tentative="1">
      <w:start w:val="1"/>
      <w:numFmt w:val="lowerLetter"/>
      <w:lvlText w:val="%5."/>
      <w:lvlJc w:val="left"/>
      <w:pPr>
        <w:ind w:left="3233" w:hanging="360"/>
      </w:pPr>
    </w:lvl>
    <w:lvl w:ilvl="5" w:tplc="1009001B" w:tentative="1">
      <w:start w:val="1"/>
      <w:numFmt w:val="lowerRoman"/>
      <w:lvlText w:val="%6."/>
      <w:lvlJc w:val="right"/>
      <w:pPr>
        <w:ind w:left="3953" w:hanging="180"/>
      </w:pPr>
    </w:lvl>
    <w:lvl w:ilvl="6" w:tplc="1009000F" w:tentative="1">
      <w:start w:val="1"/>
      <w:numFmt w:val="decimal"/>
      <w:lvlText w:val="%7."/>
      <w:lvlJc w:val="left"/>
      <w:pPr>
        <w:ind w:left="4673" w:hanging="360"/>
      </w:pPr>
    </w:lvl>
    <w:lvl w:ilvl="7" w:tplc="10090019" w:tentative="1">
      <w:start w:val="1"/>
      <w:numFmt w:val="lowerLetter"/>
      <w:lvlText w:val="%8."/>
      <w:lvlJc w:val="left"/>
      <w:pPr>
        <w:ind w:left="5393" w:hanging="360"/>
      </w:pPr>
    </w:lvl>
    <w:lvl w:ilvl="8" w:tplc="1009001B" w:tentative="1">
      <w:start w:val="1"/>
      <w:numFmt w:val="lowerRoman"/>
      <w:lvlText w:val="%9."/>
      <w:lvlJc w:val="right"/>
      <w:pPr>
        <w:ind w:left="6113" w:hanging="180"/>
      </w:pPr>
    </w:lvl>
  </w:abstractNum>
  <w:abstractNum w:abstractNumId="4" w15:restartNumberingAfterBreak="0">
    <w:nsid w:val="1F1934EE"/>
    <w:multiLevelType w:val="hybridMultilevel"/>
    <w:tmpl w:val="FCE0B544"/>
    <w:lvl w:ilvl="0" w:tplc="5E4E445E">
      <w:start w:val="1"/>
      <w:numFmt w:val="decimal"/>
      <w:lvlText w:val="%1."/>
      <w:lvlJc w:val="left"/>
      <w:pPr>
        <w:ind w:left="727" w:hanging="360"/>
      </w:pPr>
      <w:rPr>
        <w:b/>
      </w:rPr>
    </w:lvl>
    <w:lvl w:ilvl="1" w:tplc="10090019" w:tentative="1">
      <w:start w:val="1"/>
      <w:numFmt w:val="lowerLetter"/>
      <w:lvlText w:val="%2."/>
      <w:lvlJc w:val="left"/>
      <w:pPr>
        <w:ind w:left="1447" w:hanging="360"/>
      </w:pPr>
    </w:lvl>
    <w:lvl w:ilvl="2" w:tplc="1009001B" w:tentative="1">
      <w:start w:val="1"/>
      <w:numFmt w:val="lowerRoman"/>
      <w:lvlText w:val="%3."/>
      <w:lvlJc w:val="right"/>
      <w:pPr>
        <w:ind w:left="2167" w:hanging="180"/>
      </w:pPr>
    </w:lvl>
    <w:lvl w:ilvl="3" w:tplc="1009000F" w:tentative="1">
      <w:start w:val="1"/>
      <w:numFmt w:val="decimal"/>
      <w:lvlText w:val="%4."/>
      <w:lvlJc w:val="left"/>
      <w:pPr>
        <w:ind w:left="2887" w:hanging="360"/>
      </w:pPr>
    </w:lvl>
    <w:lvl w:ilvl="4" w:tplc="10090019" w:tentative="1">
      <w:start w:val="1"/>
      <w:numFmt w:val="lowerLetter"/>
      <w:lvlText w:val="%5."/>
      <w:lvlJc w:val="left"/>
      <w:pPr>
        <w:ind w:left="3607" w:hanging="360"/>
      </w:pPr>
    </w:lvl>
    <w:lvl w:ilvl="5" w:tplc="1009001B" w:tentative="1">
      <w:start w:val="1"/>
      <w:numFmt w:val="lowerRoman"/>
      <w:lvlText w:val="%6."/>
      <w:lvlJc w:val="right"/>
      <w:pPr>
        <w:ind w:left="4327" w:hanging="180"/>
      </w:pPr>
    </w:lvl>
    <w:lvl w:ilvl="6" w:tplc="1009000F" w:tentative="1">
      <w:start w:val="1"/>
      <w:numFmt w:val="decimal"/>
      <w:lvlText w:val="%7."/>
      <w:lvlJc w:val="left"/>
      <w:pPr>
        <w:ind w:left="5047" w:hanging="360"/>
      </w:pPr>
    </w:lvl>
    <w:lvl w:ilvl="7" w:tplc="10090019" w:tentative="1">
      <w:start w:val="1"/>
      <w:numFmt w:val="lowerLetter"/>
      <w:lvlText w:val="%8."/>
      <w:lvlJc w:val="left"/>
      <w:pPr>
        <w:ind w:left="5767" w:hanging="360"/>
      </w:pPr>
    </w:lvl>
    <w:lvl w:ilvl="8" w:tplc="1009001B" w:tentative="1">
      <w:start w:val="1"/>
      <w:numFmt w:val="lowerRoman"/>
      <w:lvlText w:val="%9."/>
      <w:lvlJc w:val="right"/>
      <w:pPr>
        <w:ind w:left="6487" w:hanging="180"/>
      </w:pPr>
    </w:lvl>
  </w:abstractNum>
  <w:abstractNum w:abstractNumId="5" w15:restartNumberingAfterBreak="0">
    <w:nsid w:val="30DD52F9"/>
    <w:multiLevelType w:val="hybridMultilevel"/>
    <w:tmpl w:val="B5C25056"/>
    <w:lvl w:ilvl="0" w:tplc="5E4E445E">
      <w:start w:val="1"/>
      <w:numFmt w:val="decimal"/>
      <w:lvlText w:val="%1."/>
      <w:lvlJc w:val="left"/>
      <w:pPr>
        <w:ind w:left="360" w:hanging="360"/>
      </w:pPr>
      <w:rPr>
        <w:b/>
      </w:rPr>
    </w:lvl>
    <w:lvl w:ilvl="1" w:tplc="10090019" w:tentative="1">
      <w:start w:val="1"/>
      <w:numFmt w:val="lowerLetter"/>
      <w:lvlText w:val="%2."/>
      <w:lvlJc w:val="left"/>
      <w:pPr>
        <w:ind w:left="1073" w:hanging="360"/>
      </w:pPr>
    </w:lvl>
    <w:lvl w:ilvl="2" w:tplc="1009001B" w:tentative="1">
      <w:start w:val="1"/>
      <w:numFmt w:val="lowerRoman"/>
      <w:lvlText w:val="%3."/>
      <w:lvlJc w:val="right"/>
      <w:pPr>
        <w:ind w:left="1793" w:hanging="180"/>
      </w:pPr>
    </w:lvl>
    <w:lvl w:ilvl="3" w:tplc="1009000F" w:tentative="1">
      <w:start w:val="1"/>
      <w:numFmt w:val="decimal"/>
      <w:lvlText w:val="%4."/>
      <w:lvlJc w:val="left"/>
      <w:pPr>
        <w:ind w:left="2513" w:hanging="360"/>
      </w:pPr>
    </w:lvl>
    <w:lvl w:ilvl="4" w:tplc="10090019" w:tentative="1">
      <w:start w:val="1"/>
      <w:numFmt w:val="lowerLetter"/>
      <w:lvlText w:val="%5."/>
      <w:lvlJc w:val="left"/>
      <w:pPr>
        <w:ind w:left="3233" w:hanging="360"/>
      </w:pPr>
    </w:lvl>
    <w:lvl w:ilvl="5" w:tplc="1009001B" w:tentative="1">
      <w:start w:val="1"/>
      <w:numFmt w:val="lowerRoman"/>
      <w:lvlText w:val="%6."/>
      <w:lvlJc w:val="right"/>
      <w:pPr>
        <w:ind w:left="3953" w:hanging="180"/>
      </w:pPr>
    </w:lvl>
    <w:lvl w:ilvl="6" w:tplc="1009000F" w:tentative="1">
      <w:start w:val="1"/>
      <w:numFmt w:val="decimal"/>
      <w:lvlText w:val="%7."/>
      <w:lvlJc w:val="left"/>
      <w:pPr>
        <w:ind w:left="4673" w:hanging="360"/>
      </w:pPr>
    </w:lvl>
    <w:lvl w:ilvl="7" w:tplc="10090019" w:tentative="1">
      <w:start w:val="1"/>
      <w:numFmt w:val="lowerLetter"/>
      <w:lvlText w:val="%8."/>
      <w:lvlJc w:val="left"/>
      <w:pPr>
        <w:ind w:left="5393" w:hanging="360"/>
      </w:pPr>
    </w:lvl>
    <w:lvl w:ilvl="8" w:tplc="1009001B" w:tentative="1">
      <w:start w:val="1"/>
      <w:numFmt w:val="lowerRoman"/>
      <w:lvlText w:val="%9."/>
      <w:lvlJc w:val="right"/>
      <w:pPr>
        <w:ind w:left="6113" w:hanging="180"/>
      </w:pPr>
    </w:lvl>
  </w:abstractNum>
  <w:abstractNum w:abstractNumId="6" w15:restartNumberingAfterBreak="0">
    <w:nsid w:val="392C022C"/>
    <w:multiLevelType w:val="hybridMultilevel"/>
    <w:tmpl w:val="F1D05D72"/>
    <w:lvl w:ilvl="0" w:tplc="5E4E445E">
      <w:start w:val="1"/>
      <w:numFmt w:val="decimal"/>
      <w:lvlText w:val="%1."/>
      <w:lvlJc w:val="left"/>
      <w:pPr>
        <w:ind w:left="360" w:hanging="360"/>
      </w:pPr>
      <w:rPr>
        <w:b/>
      </w:rPr>
    </w:lvl>
    <w:lvl w:ilvl="1" w:tplc="10090019" w:tentative="1">
      <w:start w:val="1"/>
      <w:numFmt w:val="lowerLetter"/>
      <w:lvlText w:val="%2."/>
      <w:lvlJc w:val="left"/>
      <w:pPr>
        <w:ind w:left="1073" w:hanging="360"/>
      </w:pPr>
    </w:lvl>
    <w:lvl w:ilvl="2" w:tplc="1009001B" w:tentative="1">
      <w:start w:val="1"/>
      <w:numFmt w:val="lowerRoman"/>
      <w:lvlText w:val="%3."/>
      <w:lvlJc w:val="right"/>
      <w:pPr>
        <w:ind w:left="1793" w:hanging="180"/>
      </w:pPr>
    </w:lvl>
    <w:lvl w:ilvl="3" w:tplc="1009000F" w:tentative="1">
      <w:start w:val="1"/>
      <w:numFmt w:val="decimal"/>
      <w:lvlText w:val="%4."/>
      <w:lvlJc w:val="left"/>
      <w:pPr>
        <w:ind w:left="2513" w:hanging="360"/>
      </w:pPr>
    </w:lvl>
    <w:lvl w:ilvl="4" w:tplc="10090019" w:tentative="1">
      <w:start w:val="1"/>
      <w:numFmt w:val="lowerLetter"/>
      <w:lvlText w:val="%5."/>
      <w:lvlJc w:val="left"/>
      <w:pPr>
        <w:ind w:left="3233" w:hanging="360"/>
      </w:pPr>
    </w:lvl>
    <w:lvl w:ilvl="5" w:tplc="1009001B" w:tentative="1">
      <w:start w:val="1"/>
      <w:numFmt w:val="lowerRoman"/>
      <w:lvlText w:val="%6."/>
      <w:lvlJc w:val="right"/>
      <w:pPr>
        <w:ind w:left="3953" w:hanging="180"/>
      </w:pPr>
    </w:lvl>
    <w:lvl w:ilvl="6" w:tplc="1009000F" w:tentative="1">
      <w:start w:val="1"/>
      <w:numFmt w:val="decimal"/>
      <w:lvlText w:val="%7."/>
      <w:lvlJc w:val="left"/>
      <w:pPr>
        <w:ind w:left="4673" w:hanging="360"/>
      </w:pPr>
    </w:lvl>
    <w:lvl w:ilvl="7" w:tplc="10090019" w:tentative="1">
      <w:start w:val="1"/>
      <w:numFmt w:val="lowerLetter"/>
      <w:lvlText w:val="%8."/>
      <w:lvlJc w:val="left"/>
      <w:pPr>
        <w:ind w:left="5393" w:hanging="360"/>
      </w:pPr>
    </w:lvl>
    <w:lvl w:ilvl="8" w:tplc="1009001B" w:tentative="1">
      <w:start w:val="1"/>
      <w:numFmt w:val="lowerRoman"/>
      <w:lvlText w:val="%9."/>
      <w:lvlJc w:val="right"/>
      <w:pPr>
        <w:ind w:left="6113" w:hanging="180"/>
      </w:pPr>
    </w:lvl>
  </w:abstractNum>
  <w:abstractNum w:abstractNumId="7" w15:restartNumberingAfterBreak="0">
    <w:nsid w:val="5F046667"/>
    <w:multiLevelType w:val="hybridMultilevel"/>
    <w:tmpl w:val="701AFCCE"/>
    <w:lvl w:ilvl="0" w:tplc="5E4E445E">
      <w:start w:val="1"/>
      <w:numFmt w:val="decimal"/>
      <w:lvlText w:val="%1."/>
      <w:lvlJc w:val="left"/>
      <w:pPr>
        <w:ind w:left="360" w:hanging="360"/>
      </w:pPr>
      <w:rPr>
        <w:b/>
      </w:rPr>
    </w:lvl>
    <w:lvl w:ilvl="1" w:tplc="10090019" w:tentative="1">
      <w:start w:val="1"/>
      <w:numFmt w:val="lowerLetter"/>
      <w:lvlText w:val="%2."/>
      <w:lvlJc w:val="left"/>
      <w:pPr>
        <w:ind w:left="1073" w:hanging="360"/>
      </w:pPr>
    </w:lvl>
    <w:lvl w:ilvl="2" w:tplc="1009001B" w:tentative="1">
      <w:start w:val="1"/>
      <w:numFmt w:val="lowerRoman"/>
      <w:lvlText w:val="%3."/>
      <w:lvlJc w:val="right"/>
      <w:pPr>
        <w:ind w:left="1793" w:hanging="180"/>
      </w:pPr>
    </w:lvl>
    <w:lvl w:ilvl="3" w:tplc="1009000F" w:tentative="1">
      <w:start w:val="1"/>
      <w:numFmt w:val="decimal"/>
      <w:lvlText w:val="%4."/>
      <w:lvlJc w:val="left"/>
      <w:pPr>
        <w:ind w:left="2513" w:hanging="360"/>
      </w:pPr>
    </w:lvl>
    <w:lvl w:ilvl="4" w:tplc="10090019" w:tentative="1">
      <w:start w:val="1"/>
      <w:numFmt w:val="lowerLetter"/>
      <w:lvlText w:val="%5."/>
      <w:lvlJc w:val="left"/>
      <w:pPr>
        <w:ind w:left="3233" w:hanging="360"/>
      </w:pPr>
    </w:lvl>
    <w:lvl w:ilvl="5" w:tplc="1009001B" w:tentative="1">
      <w:start w:val="1"/>
      <w:numFmt w:val="lowerRoman"/>
      <w:lvlText w:val="%6."/>
      <w:lvlJc w:val="right"/>
      <w:pPr>
        <w:ind w:left="3953" w:hanging="180"/>
      </w:pPr>
    </w:lvl>
    <w:lvl w:ilvl="6" w:tplc="1009000F" w:tentative="1">
      <w:start w:val="1"/>
      <w:numFmt w:val="decimal"/>
      <w:lvlText w:val="%7."/>
      <w:lvlJc w:val="left"/>
      <w:pPr>
        <w:ind w:left="4673" w:hanging="360"/>
      </w:pPr>
    </w:lvl>
    <w:lvl w:ilvl="7" w:tplc="10090019" w:tentative="1">
      <w:start w:val="1"/>
      <w:numFmt w:val="lowerLetter"/>
      <w:lvlText w:val="%8."/>
      <w:lvlJc w:val="left"/>
      <w:pPr>
        <w:ind w:left="5393" w:hanging="360"/>
      </w:pPr>
    </w:lvl>
    <w:lvl w:ilvl="8" w:tplc="1009001B" w:tentative="1">
      <w:start w:val="1"/>
      <w:numFmt w:val="lowerRoman"/>
      <w:lvlText w:val="%9."/>
      <w:lvlJc w:val="right"/>
      <w:pPr>
        <w:ind w:left="6113" w:hanging="180"/>
      </w:pPr>
    </w:lvl>
  </w:abstractNum>
  <w:abstractNum w:abstractNumId="8" w15:restartNumberingAfterBreak="0">
    <w:nsid w:val="606C4DA9"/>
    <w:multiLevelType w:val="hybridMultilevel"/>
    <w:tmpl w:val="1A3A8D4C"/>
    <w:lvl w:ilvl="0" w:tplc="5E4E445E">
      <w:start w:val="1"/>
      <w:numFmt w:val="decimal"/>
      <w:lvlText w:val="%1."/>
      <w:lvlJc w:val="left"/>
      <w:pPr>
        <w:ind w:left="360" w:hanging="360"/>
      </w:pPr>
      <w:rPr>
        <w:b/>
      </w:rPr>
    </w:lvl>
    <w:lvl w:ilvl="1" w:tplc="10090019" w:tentative="1">
      <w:start w:val="1"/>
      <w:numFmt w:val="lowerLetter"/>
      <w:lvlText w:val="%2."/>
      <w:lvlJc w:val="left"/>
      <w:pPr>
        <w:ind w:left="1073" w:hanging="360"/>
      </w:pPr>
    </w:lvl>
    <w:lvl w:ilvl="2" w:tplc="1009001B" w:tentative="1">
      <w:start w:val="1"/>
      <w:numFmt w:val="lowerRoman"/>
      <w:lvlText w:val="%3."/>
      <w:lvlJc w:val="right"/>
      <w:pPr>
        <w:ind w:left="1793" w:hanging="180"/>
      </w:pPr>
    </w:lvl>
    <w:lvl w:ilvl="3" w:tplc="1009000F" w:tentative="1">
      <w:start w:val="1"/>
      <w:numFmt w:val="decimal"/>
      <w:lvlText w:val="%4."/>
      <w:lvlJc w:val="left"/>
      <w:pPr>
        <w:ind w:left="2513" w:hanging="360"/>
      </w:pPr>
    </w:lvl>
    <w:lvl w:ilvl="4" w:tplc="10090019" w:tentative="1">
      <w:start w:val="1"/>
      <w:numFmt w:val="lowerLetter"/>
      <w:lvlText w:val="%5."/>
      <w:lvlJc w:val="left"/>
      <w:pPr>
        <w:ind w:left="3233" w:hanging="360"/>
      </w:pPr>
    </w:lvl>
    <w:lvl w:ilvl="5" w:tplc="1009001B" w:tentative="1">
      <w:start w:val="1"/>
      <w:numFmt w:val="lowerRoman"/>
      <w:lvlText w:val="%6."/>
      <w:lvlJc w:val="right"/>
      <w:pPr>
        <w:ind w:left="3953" w:hanging="180"/>
      </w:pPr>
    </w:lvl>
    <w:lvl w:ilvl="6" w:tplc="1009000F" w:tentative="1">
      <w:start w:val="1"/>
      <w:numFmt w:val="decimal"/>
      <w:lvlText w:val="%7."/>
      <w:lvlJc w:val="left"/>
      <w:pPr>
        <w:ind w:left="4673" w:hanging="360"/>
      </w:pPr>
    </w:lvl>
    <w:lvl w:ilvl="7" w:tplc="10090019" w:tentative="1">
      <w:start w:val="1"/>
      <w:numFmt w:val="lowerLetter"/>
      <w:lvlText w:val="%8."/>
      <w:lvlJc w:val="left"/>
      <w:pPr>
        <w:ind w:left="5393" w:hanging="360"/>
      </w:pPr>
    </w:lvl>
    <w:lvl w:ilvl="8" w:tplc="1009001B" w:tentative="1">
      <w:start w:val="1"/>
      <w:numFmt w:val="lowerRoman"/>
      <w:lvlText w:val="%9."/>
      <w:lvlJc w:val="right"/>
      <w:pPr>
        <w:ind w:left="6113" w:hanging="180"/>
      </w:pPr>
    </w:lvl>
  </w:abstractNum>
  <w:abstractNum w:abstractNumId="9" w15:restartNumberingAfterBreak="0">
    <w:nsid w:val="624C3643"/>
    <w:multiLevelType w:val="hybridMultilevel"/>
    <w:tmpl w:val="E774EA78"/>
    <w:lvl w:ilvl="0" w:tplc="5E4E445E">
      <w:start w:val="1"/>
      <w:numFmt w:val="decimal"/>
      <w:lvlText w:val="%1."/>
      <w:lvlJc w:val="left"/>
      <w:pPr>
        <w:ind w:left="360" w:hanging="360"/>
      </w:pPr>
      <w:rPr>
        <w:b/>
      </w:rPr>
    </w:lvl>
    <w:lvl w:ilvl="1" w:tplc="10090019" w:tentative="1">
      <w:start w:val="1"/>
      <w:numFmt w:val="lowerLetter"/>
      <w:lvlText w:val="%2."/>
      <w:lvlJc w:val="left"/>
      <w:pPr>
        <w:ind w:left="1073" w:hanging="360"/>
      </w:pPr>
    </w:lvl>
    <w:lvl w:ilvl="2" w:tplc="1009001B" w:tentative="1">
      <w:start w:val="1"/>
      <w:numFmt w:val="lowerRoman"/>
      <w:lvlText w:val="%3."/>
      <w:lvlJc w:val="right"/>
      <w:pPr>
        <w:ind w:left="1793" w:hanging="180"/>
      </w:pPr>
    </w:lvl>
    <w:lvl w:ilvl="3" w:tplc="1009000F" w:tentative="1">
      <w:start w:val="1"/>
      <w:numFmt w:val="decimal"/>
      <w:lvlText w:val="%4."/>
      <w:lvlJc w:val="left"/>
      <w:pPr>
        <w:ind w:left="2513" w:hanging="360"/>
      </w:pPr>
    </w:lvl>
    <w:lvl w:ilvl="4" w:tplc="10090019" w:tentative="1">
      <w:start w:val="1"/>
      <w:numFmt w:val="lowerLetter"/>
      <w:lvlText w:val="%5."/>
      <w:lvlJc w:val="left"/>
      <w:pPr>
        <w:ind w:left="3233" w:hanging="360"/>
      </w:pPr>
    </w:lvl>
    <w:lvl w:ilvl="5" w:tplc="1009001B" w:tentative="1">
      <w:start w:val="1"/>
      <w:numFmt w:val="lowerRoman"/>
      <w:lvlText w:val="%6."/>
      <w:lvlJc w:val="right"/>
      <w:pPr>
        <w:ind w:left="3953" w:hanging="180"/>
      </w:pPr>
    </w:lvl>
    <w:lvl w:ilvl="6" w:tplc="1009000F" w:tentative="1">
      <w:start w:val="1"/>
      <w:numFmt w:val="decimal"/>
      <w:lvlText w:val="%7."/>
      <w:lvlJc w:val="left"/>
      <w:pPr>
        <w:ind w:left="4673" w:hanging="360"/>
      </w:pPr>
    </w:lvl>
    <w:lvl w:ilvl="7" w:tplc="10090019" w:tentative="1">
      <w:start w:val="1"/>
      <w:numFmt w:val="lowerLetter"/>
      <w:lvlText w:val="%8."/>
      <w:lvlJc w:val="left"/>
      <w:pPr>
        <w:ind w:left="5393" w:hanging="360"/>
      </w:pPr>
    </w:lvl>
    <w:lvl w:ilvl="8" w:tplc="1009001B" w:tentative="1">
      <w:start w:val="1"/>
      <w:numFmt w:val="lowerRoman"/>
      <w:lvlText w:val="%9."/>
      <w:lvlJc w:val="right"/>
      <w:pPr>
        <w:ind w:left="6113" w:hanging="180"/>
      </w:pPr>
    </w:lvl>
  </w:abstractNum>
  <w:num w:numId="1" w16cid:durableId="1642154852">
    <w:abstractNumId w:val="4"/>
  </w:num>
  <w:num w:numId="2" w16cid:durableId="2068064456">
    <w:abstractNumId w:val="7"/>
  </w:num>
  <w:num w:numId="3" w16cid:durableId="1428847434">
    <w:abstractNumId w:val="1"/>
  </w:num>
  <w:num w:numId="4" w16cid:durableId="1312251124">
    <w:abstractNumId w:val="8"/>
  </w:num>
  <w:num w:numId="5" w16cid:durableId="1408188838">
    <w:abstractNumId w:val="9"/>
  </w:num>
  <w:num w:numId="6" w16cid:durableId="1223252471">
    <w:abstractNumId w:val="2"/>
  </w:num>
  <w:num w:numId="7" w16cid:durableId="1404522331">
    <w:abstractNumId w:val="0"/>
  </w:num>
  <w:num w:numId="8" w16cid:durableId="2141801072">
    <w:abstractNumId w:val="3"/>
  </w:num>
  <w:num w:numId="9" w16cid:durableId="589974208">
    <w:abstractNumId w:val="6"/>
  </w:num>
  <w:num w:numId="10" w16cid:durableId="16131275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movePersonalInformation/>
  <w:removeDateAndTime/>
  <w:proofState w:spelling="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cxszQytjCwNDU1szRT0lEKTi0uzszPAykwNKwFAD4OvmEtAAAA"/>
  </w:docVars>
  <w:rsids>
    <w:rsidRoot w:val="00CB2A95"/>
    <w:rsid w:val="00011BF4"/>
    <w:rsid w:val="00014A08"/>
    <w:rsid w:val="00022E40"/>
    <w:rsid w:val="00023772"/>
    <w:rsid w:val="0002739A"/>
    <w:rsid w:val="000273A1"/>
    <w:rsid w:val="00027FB4"/>
    <w:rsid w:val="00031871"/>
    <w:rsid w:val="000402E9"/>
    <w:rsid w:val="00041703"/>
    <w:rsid w:val="00043050"/>
    <w:rsid w:val="0004467B"/>
    <w:rsid w:val="00045184"/>
    <w:rsid w:val="00047398"/>
    <w:rsid w:val="00047D39"/>
    <w:rsid w:val="00051CAE"/>
    <w:rsid w:val="00052364"/>
    <w:rsid w:val="000564D3"/>
    <w:rsid w:val="00060604"/>
    <w:rsid w:val="0006439E"/>
    <w:rsid w:val="00067BE5"/>
    <w:rsid w:val="00077B04"/>
    <w:rsid w:val="00077BAB"/>
    <w:rsid w:val="0008337A"/>
    <w:rsid w:val="000858A2"/>
    <w:rsid w:val="00086F96"/>
    <w:rsid w:val="000916B3"/>
    <w:rsid w:val="000930CD"/>
    <w:rsid w:val="000960AB"/>
    <w:rsid w:val="000A1494"/>
    <w:rsid w:val="000A4A35"/>
    <w:rsid w:val="000B64A7"/>
    <w:rsid w:val="000B66EA"/>
    <w:rsid w:val="000B7620"/>
    <w:rsid w:val="000B7CCE"/>
    <w:rsid w:val="000B7E5C"/>
    <w:rsid w:val="000C2C2C"/>
    <w:rsid w:val="000C3283"/>
    <w:rsid w:val="000C5427"/>
    <w:rsid w:val="000D1293"/>
    <w:rsid w:val="000D5CEC"/>
    <w:rsid w:val="000E0755"/>
    <w:rsid w:val="000E243F"/>
    <w:rsid w:val="000E5449"/>
    <w:rsid w:val="000E5A60"/>
    <w:rsid w:val="000F0116"/>
    <w:rsid w:val="000F28F9"/>
    <w:rsid w:val="000F39ED"/>
    <w:rsid w:val="000F39F7"/>
    <w:rsid w:val="001000C8"/>
    <w:rsid w:val="0010074B"/>
    <w:rsid w:val="00100F94"/>
    <w:rsid w:val="00102915"/>
    <w:rsid w:val="00104EDB"/>
    <w:rsid w:val="00105980"/>
    <w:rsid w:val="0011605E"/>
    <w:rsid w:val="001217AA"/>
    <w:rsid w:val="001252F3"/>
    <w:rsid w:val="00126722"/>
    <w:rsid w:val="00127B41"/>
    <w:rsid w:val="00127D12"/>
    <w:rsid w:val="00132A84"/>
    <w:rsid w:val="00136349"/>
    <w:rsid w:val="00141DDE"/>
    <w:rsid w:val="00146303"/>
    <w:rsid w:val="001575FC"/>
    <w:rsid w:val="001609D6"/>
    <w:rsid w:val="00165A72"/>
    <w:rsid w:val="0016748D"/>
    <w:rsid w:val="00174181"/>
    <w:rsid w:val="001800DF"/>
    <w:rsid w:val="00184434"/>
    <w:rsid w:val="001846CB"/>
    <w:rsid w:val="001865E0"/>
    <w:rsid w:val="001906EF"/>
    <w:rsid w:val="00191D33"/>
    <w:rsid w:val="00193A0E"/>
    <w:rsid w:val="001B0585"/>
    <w:rsid w:val="001B1593"/>
    <w:rsid w:val="001C0469"/>
    <w:rsid w:val="001C3F97"/>
    <w:rsid w:val="001C544A"/>
    <w:rsid w:val="001C6D91"/>
    <w:rsid w:val="001C79E1"/>
    <w:rsid w:val="001D0376"/>
    <w:rsid w:val="001D0CB2"/>
    <w:rsid w:val="001D202B"/>
    <w:rsid w:val="001D70C4"/>
    <w:rsid w:val="001E04CC"/>
    <w:rsid w:val="001E0B1A"/>
    <w:rsid w:val="001E227A"/>
    <w:rsid w:val="001E56F7"/>
    <w:rsid w:val="001E7E61"/>
    <w:rsid w:val="001F039B"/>
    <w:rsid w:val="001F1989"/>
    <w:rsid w:val="001F47B0"/>
    <w:rsid w:val="001F5564"/>
    <w:rsid w:val="001F60A5"/>
    <w:rsid w:val="001F70F7"/>
    <w:rsid w:val="00200FAD"/>
    <w:rsid w:val="00202251"/>
    <w:rsid w:val="0020540C"/>
    <w:rsid w:val="00205D46"/>
    <w:rsid w:val="0021097A"/>
    <w:rsid w:val="002116FF"/>
    <w:rsid w:val="00220A44"/>
    <w:rsid w:val="00221A47"/>
    <w:rsid w:val="00223AA2"/>
    <w:rsid w:val="00223BBB"/>
    <w:rsid w:val="0022703D"/>
    <w:rsid w:val="002270A6"/>
    <w:rsid w:val="002276F0"/>
    <w:rsid w:val="002323EB"/>
    <w:rsid w:val="00241B31"/>
    <w:rsid w:val="00244CF1"/>
    <w:rsid w:val="00255065"/>
    <w:rsid w:val="00270E38"/>
    <w:rsid w:val="00274A2C"/>
    <w:rsid w:val="00283305"/>
    <w:rsid w:val="00294D10"/>
    <w:rsid w:val="002A75EB"/>
    <w:rsid w:val="002A7D9D"/>
    <w:rsid w:val="002B066B"/>
    <w:rsid w:val="002B3669"/>
    <w:rsid w:val="002B5715"/>
    <w:rsid w:val="002C4441"/>
    <w:rsid w:val="002D7250"/>
    <w:rsid w:val="002E1EE4"/>
    <w:rsid w:val="002F07D0"/>
    <w:rsid w:val="002F5510"/>
    <w:rsid w:val="002F6022"/>
    <w:rsid w:val="002F68F2"/>
    <w:rsid w:val="002F746C"/>
    <w:rsid w:val="00314810"/>
    <w:rsid w:val="003215A2"/>
    <w:rsid w:val="00321864"/>
    <w:rsid w:val="003238F2"/>
    <w:rsid w:val="00327526"/>
    <w:rsid w:val="003277E1"/>
    <w:rsid w:val="00327AC0"/>
    <w:rsid w:val="00330A60"/>
    <w:rsid w:val="00330C37"/>
    <w:rsid w:val="00331FC6"/>
    <w:rsid w:val="003321E9"/>
    <w:rsid w:val="00340AD5"/>
    <w:rsid w:val="00345F56"/>
    <w:rsid w:val="003463CB"/>
    <w:rsid w:val="00346406"/>
    <w:rsid w:val="00347BCB"/>
    <w:rsid w:val="00356B95"/>
    <w:rsid w:val="0036153D"/>
    <w:rsid w:val="00366A08"/>
    <w:rsid w:val="00371EA5"/>
    <w:rsid w:val="00372B98"/>
    <w:rsid w:val="00372D9F"/>
    <w:rsid w:val="003754F2"/>
    <w:rsid w:val="00382721"/>
    <w:rsid w:val="00382B25"/>
    <w:rsid w:val="00382F92"/>
    <w:rsid w:val="0038406F"/>
    <w:rsid w:val="003861A5"/>
    <w:rsid w:val="003936C9"/>
    <w:rsid w:val="003A0912"/>
    <w:rsid w:val="003A1219"/>
    <w:rsid w:val="003A1B6E"/>
    <w:rsid w:val="003A3DAB"/>
    <w:rsid w:val="003A4545"/>
    <w:rsid w:val="003A618A"/>
    <w:rsid w:val="003B10E0"/>
    <w:rsid w:val="003B1BAA"/>
    <w:rsid w:val="003B2699"/>
    <w:rsid w:val="003B5082"/>
    <w:rsid w:val="003C2F96"/>
    <w:rsid w:val="003C7FC2"/>
    <w:rsid w:val="003D0F85"/>
    <w:rsid w:val="003E401B"/>
    <w:rsid w:val="003E6924"/>
    <w:rsid w:val="003F0ABF"/>
    <w:rsid w:val="003F5CC2"/>
    <w:rsid w:val="003F6703"/>
    <w:rsid w:val="003F721C"/>
    <w:rsid w:val="003F78C7"/>
    <w:rsid w:val="0040006A"/>
    <w:rsid w:val="00407E44"/>
    <w:rsid w:val="00410EFB"/>
    <w:rsid w:val="00412EE2"/>
    <w:rsid w:val="004132EE"/>
    <w:rsid w:val="00416602"/>
    <w:rsid w:val="00417E22"/>
    <w:rsid w:val="004212E6"/>
    <w:rsid w:val="0042349A"/>
    <w:rsid w:val="00425282"/>
    <w:rsid w:val="00426C96"/>
    <w:rsid w:val="004313DF"/>
    <w:rsid w:val="00440EC9"/>
    <w:rsid w:val="00441652"/>
    <w:rsid w:val="004416FF"/>
    <w:rsid w:val="00441ECF"/>
    <w:rsid w:val="00444B43"/>
    <w:rsid w:val="004501A2"/>
    <w:rsid w:val="004526AF"/>
    <w:rsid w:val="00454967"/>
    <w:rsid w:val="00463174"/>
    <w:rsid w:val="0046692F"/>
    <w:rsid w:val="004708F1"/>
    <w:rsid w:val="004728FC"/>
    <w:rsid w:val="00473E91"/>
    <w:rsid w:val="00476F61"/>
    <w:rsid w:val="00477B8B"/>
    <w:rsid w:val="004805C6"/>
    <w:rsid w:val="00481FA4"/>
    <w:rsid w:val="00482EAC"/>
    <w:rsid w:val="00484611"/>
    <w:rsid w:val="0048710A"/>
    <w:rsid w:val="00492275"/>
    <w:rsid w:val="004A2015"/>
    <w:rsid w:val="004A3D09"/>
    <w:rsid w:val="004A5701"/>
    <w:rsid w:val="004A6C90"/>
    <w:rsid w:val="004B5B89"/>
    <w:rsid w:val="004B5E1E"/>
    <w:rsid w:val="004B751D"/>
    <w:rsid w:val="004C1664"/>
    <w:rsid w:val="004C20BE"/>
    <w:rsid w:val="004D1144"/>
    <w:rsid w:val="004D5ED3"/>
    <w:rsid w:val="004D61F3"/>
    <w:rsid w:val="004D7435"/>
    <w:rsid w:val="004E0F23"/>
    <w:rsid w:val="004E7C1C"/>
    <w:rsid w:val="004F1B19"/>
    <w:rsid w:val="004F493F"/>
    <w:rsid w:val="00505A37"/>
    <w:rsid w:val="005062CE"/>
    <w:rsid w:val="00507A8C"/>
    <w:rsid w:val="00514B8C"/>
    <w:rsid w:val="00515CE0"/>
    <w:rsid w:val="005175AD"/>
    <w:rsid w:val="005204D5"/>
    <w:rsid w:val="00520CF6"/>
    <w:rsid w:val="00526898"/>
    <w:rsid w:val="00536B88"/>
    <w:rsid w:val="00541599"/>
    <w:rsid w:val="00547047"/>
    <w:rsid w:val="00547678"/>
    <w:rsid w:val="00550370"/>
    <w:rsid w:val="0055208C"/>
    <w:rsid w:val="00554545"/>
    <w:rsid w:val="00554EC4"/>
    <w:rsid w:val="00556321"/>
    <w:rsid w:val="00556D6C"/>
    <w:rsid w:val="0055743F"/>
    <w:rsid w:val="00557F0C"/>
    <w:rsid w:val="00562223"/>
    <w:rsid w:val="00567163"/>
    <w:rsid w:val="00571733"/>
    <w:rsid w:val="005833B0"/>
    <w:rsid w:val="0059100A"/>
    <w:rsid w:val="0059456D"/>
    <w:rsid w:val="00595A57"/>
    <w:rsid w:val="00595D88"/>
    <w:rsid w:val="00595E19"/>
    <w:rsid w:val="00596671"/>
    <w:rsid w:val="00596730"/>
    <w:rsid w:val="005A0FF2"/>
    <w:rsid w:val="005A368D"/>
    <w:rsid w:val="005A6845"/>
    <w:rsid w:val="005A6A96"/>
    <w:rsid w:val="005B4F3A"/>
    <w:rsid w:val="005B664E"/>
    <w:rsid w:val="005B74EA"/>
    <w:rsid w:val="005C1C32"/>
    <w:rsid w:val="005C1E4A"/>
    <w:rsid w:val="005C2379"/>
    <w:rsid w:val="005C3836"/>
    <w:rsid w:val="005C4A3B"/>
    <w:rsid w:val="005D230A"/>
    <w:rsid w:val="005D4BEB"/>
    <w:rsid w:val="005D61E4"/>
    <w:rsid w:val="005D6B58"/>
    <w:rsid w:val="005D71D1"/>
    <w:rsid w:val="005E1518"/>
    <w:rsid w:val="005E1553"/>
    <w:rsid w:val="005E48E1"/>
    <w:rsid w:val="005E498B"/>
    <w:rsid w:val="005E71B8"/>
    <w:rsid w:val="005F0310"/>
    <w:rsid w:val="005F37E0"/>
    <w:rsid w:val="006040E5"/>
    <w:rsid w:val="00605D3B"/>
    <w:rsid w:val="00607874"/>
    <w:rsid w:val="0061020E"/>
    <w:rsid w:val="00610E2E"/>
    <w:rsid w:val="006116E6"/>
    <w:rsid w:val="00612879"/>
    <w:rsid w:val="00615FA4"/>
    <w:rsid w:val="00620901"/>
    <w:rsid w:val="0062175D"/>
    <w:rsid w:val="00621E9A"/>
    <w:rsid w:val="00622E2A"/>
    <w:rsid w:val="006313DC"/>
    <w:rsid w:val="006511B5"/>
    <w:rsid w:val="00652650"/>
    <w:rsid w:val="00655364"/>
    <w:rsid w:val="006568C0"/>
    <w:rsid w:val="00657BF3"/>
    <w:rsid w:val="006640F8"/>
    <w:rsid w:val="00666821"/>
    <w:rsid w:val="00673F79"/>
    <w:rsid w:val="006775A5"/>
    <w:rsid w:val="006815C1"/>
    <w:rsid w:val="00681BB9"/>
    <w:rsid w:val="006824DB"/>
    <w:rsid w:val="00682C8F"/>
    <w:rsid w:val="00684E41"/>
    <w:rsid w:val="0069669F"/>
    <w:rsid w:val="006A0A69"/>
    <w:rsid w:val="006A12DD"/>
    <w:rsid w:val="006A2E72"/>
    <w:rsid w:val="006B1EBD"/>
    <w:rsid w:val="006B2280"/>
    <w:rsid w:val="006B2F6D"/>
    <w:rsid w:val="006B3953"/>
    <w:rsid w:val="006B4A5F"/>
    <w:rsid w:val="006B7CAF"/>
    <w:rsid w:val="006B7EC3"/>
    <w:rsid w:val="006C034E"/>
    <w:rsid w:val="006C1425"/>
    <w:rsid w:val="006C275C"/>
    <w:rsid w:val="006C45F1"/>
    <w:rsid w:val="006C48A1"/>
    <w:rsid w:val="006C4CC8"/>
    <w:rsid w:val="006D1133"/>
    <w:rsid w:val="006D29F1"/>
    <w:rsid w:val="006D585D"/>
    <w:rsid w:val="006D7500"/>
    <w:rsid w:val="006D75AD"/>
    <w:rsid w:val="006E1966"/>
    <w:rsid w:val="006E699E"/>
    <w:rsid w:val="006F0FAA"/>
    <w:rsid w:val="006F2B69"/>
    <w:rsid w:val="006F36C8"/>
    <w:rsid w:val="006F3704"/>
    <w:rsid w:val="00700085"/>
    <w:rsid w:val="00701202"/>
    <w:rsid w:val="00707F7A"/>
    <w:rsid w:val="007128A3"/>
    <w:rsid w:val="0071291A"/>
    <w:rsid w:val="0071783E"/>
    <w:rsid w:val="00721DC9"/>
    <w:rsid w:val="00723830"/>
    <w:rsid w:val="00732DDD"/>
    <w:rsid w:val="00733455"/>
    <w:rsid w:val="00733EE2"/>
    <w:rsid w:val="00734294"/>
    <w:rsid w:val="00734C20"/>
    <w:rsid w:val="00737C1A"/>
    <w:rsid w:val="00753F4A"/>
    <w:rsid w:val="0075413A"/>
    <w:rsid w:val="00760643"/>
    <w:rsid w:val="00762141"/>
    <w:rsid w:val="00770324"/>
    <w:rsid w:val="007703E6"/>
    <w:rsid w:val="00772DAD"/>
    <w:rsid w:val="00773886"/>
    <w:rsid w:val="00774DCD"/>
    <w:rsid w:val="007761B6"/>
    <w:rsid w:val="007823F5"/>
    <w:rsid w:val="007832AA"/>
    <w:rsid w:val="00784BD5"/>
    <w:rsid w:val="007A43F9"/>
    <w:rsid w:val="007A4FA0"/>
    <w:rsid w:val="007B6B5A"/>
    <w:rsid w:val="007B6B5F"/>
    <w:rsid w:val="007C0111"/>
    <w:rsid w:val="007C0452"/>
    <w:rsid w:val="007C21FE"/>
    <w:rsid w:val="007C3196"/>
    <w:rsid w:val="007C565B"/>
    <w:rsid w:val="007C60BE"/>
    <w:rsid w:val="007C6D86"/>
    <w:rsid w:val="007D3710"/>
    <w:rsid w:val="007D5C39"/>
    <w:rsid w:val="007D67E8"/>
    <w:rsid w:val="007D76E8"/>
    <w:rsid w:val="007E5383"/>
    <w:rsid w:val="007F02E8"/>
    <w:rsid w:val="007F0418"/>
    <w:rsid w:val="00800374"/>
    <w:rsid w:val="008017A1"/>
    <w:rsid w:val="00810C9D"/>
    <w:rsid w:val="008114BC"/>
    <w:rsid w:val="00813248"/>
    <w:rsid w:val="00813DC7"/>
    <w:rsid w:val="00817625"/>
    <w:rsid w:val="0082434F"/>
    <w:rsid w:val="00826A62"/>
    <w:rsid w:val="0083032A"/>
    <w:rsid w:val="00837647"/>
    <w:rsid w:val="00843DFB"/>
    <w:rsid w:val="00854078"/>
    <w:rsid w:val="00855BF2"/>
    <w:rsid w:val="00857431"/>
    <w:rsid w:val="00857619"/>
    <w:rsid w:val="00857A68"/>
    <w:rsid w:val="0086010F"/>
    <w:rsid w:val="00862AB2"/>
    <w:rsid w:val="00867C09"/>
    <w:rsid w:val="008701B4"/>
    <w:rsid w:val="00871D54"/>
    <w:rsid w:val="00877C18"/>
    <w:rsid w:val="0088260B"/>
    <w:rsid w:val="008850DF"/>
    <w:rsid w:val="00893537"/>
    <w:rsid w:val="00894E10"/>
    <w:rsid w:val="008953E0"/>
    <w:rsid w:val="0089706A"/>
    <w:rsid w:val="008A01D3"/>
    <w:rsid w:val="008A0A51"/>
    <w:rsid w:val="008A2F6F"/>
    <w:rsid w:val="008A51CA"/>
    <w:rsid w:val="008A6149"/>
    <w:rsid w:val="008A7949"/>
    <w:rsid w:val="008B080E"/>
    <w:rsid w:val="008B1D0D"/>
    <w:rsid w:val="008B6081"/>
    <w:rsid w:val="008C019A"/>
    <w:rsid w:val="008C118A"/>
    <w:rsid w:val="008C1F8E"/>
    <w:rsid w:val="008C4291"/>
    <w:rsid w:val="008D17CC"/>
    <w:rsid w:val="008D2701"/>
    <w:rsid w:val="008D603E"/>
    <w:rsid w:val="008D680D"/>
    <w:rsid w:val="008E14A1"/>
    <w:rsid w:val="008E4C9B"/>
    <w:rsid w:val="008E6FD7"/>
    <w:rsid w:val="008F1183"/>
    <w:rsid w:val="00911D8B"/>
    <w:rsid w:val="00914D51"/>
    <w:rsid w:val="00916134"/>
    <w:rsid w:val="00926C8C"/>
    <w:rsid w:val="0092755A"/>
    <w:rsid w:val="009312A4"/>
    <w:rsid w:val="00932952"/>
    <w:rsid w:val="00935683"/>
    <w:rsid w:val="0093693F"/>
    <w:rsid w:val="00941EB0"/>
    <w:rsid w:val="00950214"/>
    <w:rsid w:val="00960164"/>
    <w:rsid w:val="0096271E"/>
    <w:rsid w:val="00965700"/>
    <w:rsid w:val="009674D3"/>
    <w:rsid w:val="00970197"/>
    <w:rsid w:val="009705D9"/>
    <w:rsid w:val="00976710"/>
    <w:rsid w:val="009777B4"/>
    <w:rsid w:val="009809EA"/>
    <w:rsid w:val="0098208F"/>
    <w:rsid w:val="0098491B"/>
    <w:rsid w:val="00984B0D"/>
    <w:rsid w:val="0098734A"/>
    <w:rsid w:val="00990103"/>
    <w:rsid w:val="009917D7"/>
    <w:rsid w:val="009923A5"/>
    <w:rsid w:val="009968AD"/>
    <w:rsid w:val="00997417"/>
    <w:rsid w:val="009A0385"/>
    <w:rsid w:val="009B0835"/>
    <w:rsid w:val="009B2ADD"/>
    <w:rsid w:val="009B2B9C"/>
    <w:rsid w:val="009B3134"/>
    <w:rsid w:val="009B6796"/>
    <w:rsid w:val="009C17EA"/>
    <w:rsid w:val="009C5DEA"/>
    <w:rsid w:val="009C78BE"/>
    <w:rsid w:val="009D0301"/>
    <w:rsid w:val="009D18B6"/>
    <w:rsid w:val="009D286F"/>
    <w:rsid w:val="009D56F5"/>
    <w:rsid w:val="009E1FE6"/>
    <w:rsid w:val="009E2A39"/>
    <w:rsid w:val="009E2D09"/>
    <w:rsid w:val="009F08FC"/>
    <w:rsid w:val="009F4C40"/>
    <w:rsid w:val="009F697A"/>
    <w:rsid w:val="00A0024D"/>
    <w:rsid w:val="00A0063E"/>
    <w:rsid w:val="00A01B7B"/>
    <w:rsid w:val="00A03C29"/>
    <w:rsid w:val="00A0654C"/>
    <w:rsid w:val="00A2067B"/>
    <w:rsid w:val="00A27C94"/>
    <w:rsid w:val="00A41EB2"/>
    <w:rsid w:val="00A42CE6"/>
    <w:rsid w:val="00A46812"/>
    <w:rsid w:val="00A53EFB"/>
    <w:rsid w:val="00A5780A"/>
    <w:rsid w:val="00A65E04"/>
    <w:rsid w:val="00A71962"/>
    <w:rsid w:val="00A7331F"/>
    <w:rsid w:val="00A75D4A"/>
    <w:rsid w:val="00A76280"/>
    <w:rsid w:val="00A80DC4"/>
    <w:rsid w:val="00A82480"/>
    <w:rsid w:val="00A90E0C"/>
    <w:rsid w:val="00A92B1B"/>
    <w:rsid w:val="00A94CFF"/>
    <w:rsid w:val="00A95918"/>
    <w:rsid w:val="00AA5199"/>
    <w:rsid w:val="00AB1ECD"/>
    <w:rsid w:val="00AB3A91"/>
    <w:rsid w:val="00AB4142"/>
    <w:rsid w:val="00AB4A83"/>
    <w:rsid w:val="00AB7758"/>
    <w:rsid w:val="00AC43FB"/>
    <w:rsid w:val="00AC6CEE"/>
    <w:rsid w:val="00AD64CE"/>
    <w:rsid w:val="00AD6D4D"/>
    <w:rsid w:val="00AE27DB"/>
    <w:rsid w:val="00AE7240"/>
    <w:rsid w:val="00AE7D84"/>
    <w:rsid w:val="00AF059D"/>
    <w:rsid w:val="00AF1BD3"/>
    <w:rsid w:val="00AF4845"/>
    <w:rsid w:val="00AF5E2F"/>
    <w:rsid w:val="00AF6E83"/>
    <w:rsid w:val="00AF79D5"/>
    <w:rsid w:val="00B02100"/>
    <w:rsid w:val="00B06286"/>
    <w:rsid w:val="00B10488"/>
    <w:rsid w:val="00B10C9D"/>
    <w:rsid w:val="00B160CD"/>
    <w:rsid w:val="00B1721A"/>
    <w:rsid w:val="00B21009"/>
    <w:rsid w:val="00B22F4A"/>
    <w:rsid w:val="00B23D19"/>
    <w:rsid w:val="00B242AF"/>
    <w:rsid w:val="00B33A31"/>
    <w:rsid w:val="00B35FE9"/>
    <w:rsid w:val="00B431A9"/>
    <w:rsid w:val="00B43EBB"/>
    <w:rsid w:val="00B449CB"/>
    <w:rsid w:val="00B46B0D"/>
    <w:rsid w:val="00B50E11"/>
    <w:rsid w:val="00B55D77"/>
    <w:rsid w:val="00B56944"/>
    <w:rsid w:val="00B5798A"/>
    <w:rsid w:val="00B61022"/>
    <w:rsid w:val="00B63CBD"/>
    <w:rsid w:val="00B6443C"/>
    <w:rsid w:val="00B7088E"/>
    <w:rsid w:val="00B70EBC"/>
    <w:rsid w:val="00B73715"/>
    <w:rsid w:val="00B74C5B"/>
    <w:rsid w:val="00B75A06"/>
    <w:rsid w:val="00B765E3"/>
    <w:rsid w:val="00B7780A"/>
    <w:rsid w:val="00B80D74"/>
    <w:rsid w:val="00B854A5"/>
    <w:rsid w:val="00B85CF8"/>
    <w:rsid w:val="00B86733"/>
    <w:rsid w:val="00B92015"/>
    <w:rsid w:val="00B93250"/>
    <w:rsid w:val="00B936C1"/>
    <w:rsid w:val="00B965DA"/>
    <w:rsid w:val="00B96642"/>
    <w:rsid w:val="00BA259E"/>
    <w:rsid w:val="00BA40B3"/>
    <w:rsid w:val="00BA78CD"/>
    <w:rsid w:val="00BB7096"/>
    <w:rsid w:val="00BC135F"/>
    <w:rsid w:val="00BC2ECE"/>
    <w:rsid w:val="00BC6B3E"/>
    <w:rsid w:val="00BD1431"/>
    <w:rsid w:val="00BD3FC5"/>
    <w:rsid w:val="00BD4F56"/>
    <w:rsid w:val="00BD5CB1"/>
    <w:rsid w:val="00BD62B8"/>
    <w:rsid w:val="00BE5364"/>
    <w:rsid w:val="00BE5A5C"/>
    <w:rsid w:val="00BE647E"/>
    <w:rsid w:val="00BE7236"/>
    <w:rsid w:val="00BF35AC"/>
    <w:rsid w:val="00BF50F4"/>
    <w:rsid w:val="00C02A19"/>
    <w:rsid w:val="00C032A0"/>
    <w:rsid w:val="00C074ED"/>
    <w:rsid w:val="00C12962"/>
    <w:rsid w:val="00C134E2"/>
    <w:rsid w:val="00C17205"/>
    <w:rsid w:val="00C200A0"/>
    <w:rsid w:val="00C21B6C"/>
    <w:rsid w:val="00C24346"/>
    <w:rsid w:val="00C24763"/>
    <w:rsid w:val="00C270E0"/>
    <w:rsid w:val="00C31109"/>
    <w:rsid w:val="00C34E86"/>
    <w:rsid w:val="00C41776"/>
    <w:rsid w:val="00C41C84"/>
    <w:rsid w:val="00C43D3A"/>
    <w:rsid w:val="00C51120"/>
    <w:rsid w:val="00C53B1F"/>
    <w:rsid w:val="00C5527C"/>
    <w:rsid w:val="00C6363C"/>
    <w:rsid w:val="00C64123"/>
    <w:rsid w:val="00C64F0B"/>
    <w:rsid w:val="00C66028"/>
    <w:rsid w:val="00C661D1"/>
    <w:rsid w:val="00C707F9"/>
    <w:rsid w:val="00C71936"/>
    <w:rsid w:val="00C71C19"/>
    <w:rsid w:val="00C732A9"/>
    <w:rsid w:val="00C751A3"/>
    <w:rsid w:val="00C8038A"/>
    <w:rsid w:val="00C80B50"/>
    <w:rsid w:val="00C913CA"/>
    <w:rsid w:val="00C95565"/>
    <w:rsid w:val="00CB2A95"/>
    <w:rsid w:val="00CB4AB7"/>
    <w:rsid w:val="00CB5A5F"/>
    <w:rsid w:val="00CC1D21"/>
    <w:rsid w:val="00CC2AFF"/>
    <w:rsid w:val="00CC5CC7"/>
    <w:rsid w:val="00CC6140"/>
    <w:rsid w:val="00CC6D85"/>
    <w:rsid w:val="00CC6DA2"/>
    <w:rsid w:val="00CC73D2"/>
    <w:rsid w:val="00CC7F1D"/>
    <w:rsid w:val="00CD12F4"/>
    <w:rsid w:val="00CD33E7"/>
    <w:rsid w:val="00CD4A7D"/>
    <w:rsid w:val="00CD515F"/>
    <w:rsid w:val="00CD6821"/>
    <w:rsid w:val="00CE0824"/>
    <w:rsid w:val="00CE7876"/>
    <w:rsid w:val="00CF6032"/>
    <w:rsid w:val="00D02AB6"/>
    <w:rsid w:val="00D05F30"/>
    <w:rsid w:val="00D0600C"/>
    <w:rsid w:val="00D0617E"/>
    <w:rsid w:val="00D120E5"/>
    <w:rsid w:val="00D13804"/>
    <w:rsid w:val="00D142C2"/>
    <w:rsid w:val="00D14E46"/>
    <w:rsid w:val="00D24B5C"/>
    <w:rsid w:val="00D274E8"/>
    <w:rsid w:val="00D33497"/>
    <w:rsid w:val="00D36D5F"/>
    <w:rsid w:val="00D407FD"/>
    <w:rsid w:val="00D436A4"/>
    <w:rsid w:val="00D44A06"/>
    <w:rsid w:val="00D500E0"/>
    <w:rsid w:val="00D5076F"/>
    <w:rsid w:val="00D55451"/>
    <w:rsid w:val="00D61757"/>
    <w:rsid w:val="00D618BC"/>
    <w:rsid w:val="00D63745"/>
    <w:rsid w:val="00D703A8"/>
    <w:rsid w:val="00D74512"/>
    <w:rsid w:val="00D74997"/>
    <w:rsid w:val="00D75040"/>
    <w:rsid w:val="00D860B0"/>
    <w:rsid w:val="00D863FC"/>
    <w:rsid w:val="00D935E2"/>
    <w:rsid w:val="00DA0BF6"/>
    <w:rsid w:val="00DA4ADF"/>
    <w:rsid w:val="00DA502A"/>
    <w:rsid w:val="00DA7367"/>
    <w:rsid w:val="00DA741D"/>
    <w:rsid w:val="00DB2D61"/>
    <w:rsid w:val="00DB4B83"/>
    <w:rsid w:val="00DB4BE5"/>
    <w:rsid w:val="00DC431E"/>
    <w:rsid w:val="00DE3788"/>
    <w:rsid w:val="00DE728E"/>
    <w:rsid w:val="00DF017A"/>
    <w:rsid w:val="00DF6562"/>
    <w:rsid w:val="00DF7B31"/>
    <w:rsid w:val="00E007B7"/>
    <w:rsid w:val="00E00CF7"/>
    <w:rsid w:val="00E01829"/>
    <w:rsid w:val="00E02770"/>
    <w:rsid w:val="00E02E36"/>
    <w:rsid w:val="00E050D9"/>
    <w:rsid w:val="00E1524D"/>
    <w:rsid w:val="00E23277"/>
    <w:rsid w:val="00E2639A"/>
    <w:rsid w:val="00E310BA"/>
    <w:rsid w:val="00E33E7F"/>
    <w:rsid w:val="00E37167"/>
    <w:rsid w:val="00E40AD9"/>
    <w:rsid w:val="00E41575"/>
    <w:rsid w:val="00E4269F"/>
    <w:rsid w:val="00E5262C"/>
    <w:rsid w:val="00E5482C"/>
    <w:rsid w:val="00E63977"/>
    <w:rsid w:val="00E64599"/>
    <w:rsid w:val="00E646BE"/>
    <w:rsid w:val="00E676BF"/>
    <w:rsid w:val="00E67A0D"/>
    <w:rsid w:val="00E70183"/>
    <w:rsid w:val="00E7083C"/>
    <w:rsid w:val="00E72DD0"/>
    <w:rsid w:val="00E73EB3"/>
    <w:rsid w:val="00E75679"/>
    <w:rsid w:val="00E808CA"/>
    <w:rsid w:val="00E810A4"/>
    <w:rsid w:val="00E8144F"/>
    <w:rsid w:val="00E830B6"/>
    <w:rsid w:val="00E8387A"/>
    <w:rsid w:val="00E90ED8"/>
    <w:rsid w:val="00E965A7"/>
    <w:rsid w:val="00E968BA"/>
    <w:rsid w:val="00EA0294"/>
    <w:rsid w:val="00EA235F"/>
    <w:rsid w:val="00EA33A0"/>
    <w:rsid w:val="00EA5053"/>
    <w:rsid w:val="00EA51F2"/>
    <w:rsid w:val="00EA6159"/>
    <w:rsid w:val="00EB171F"/>
    <w:rsid w:val="00EB2FB6"/>
    <w:rsid w:val="00EB3DED"/>
    <w:rsid w:val="00EB73DC"/>
    <w:rsid w:val="00EB7ED5"/>
    <w:rsid w:val="00EC0B8C"/>
    <w:rsid w:val="00EC1FBA"/>
    <w:rsid w:val="00EC47A6"/>
    <w:rsid w:val="00EC66BC"/>
    <w:rsid w:val="00ED0875"/>
    <w:rsid w:val="00ED1022"/>
    <w:rsid w:val="00ED3E1D"/>
    <w:rsid w:val="00EE0F9E"/>
    <w:rsid w:val="00EE63DE"/>
    <w:rsid w:val="00EF0D0C"/>
    <w:rsid w:val="00F00C6B"/>
    <w:rsid w:val="00F023E3"/>
    <w:rsid w:val="00F04D11"/>
    <w:rsid w:val="00F104AF"/>
    <w:rsid w:val="00F12B23"/>
    <w:rsid w:val="00F16E6D"/>
    <w:rsid w:val="00F205E6"/>
    <w:rsid w:val="00F3352F"/>
    <w:rsid w:val="00F40262"/>
    <w:rsid w:val="00F41693"/>
    <w:rsid w:val="00F41D68"/>
    <w:rsid w:val="00F440CC"/>
    <w:rsid w:val="00F4613F"/>
    <w:rsid w:val="00F47839"/>
    <w:rsid w:val="00F479CA"/>
    <w:rsid w:val="00F47C97"/>
    <w:rsid w:val="00F55253"/>
    <w:rsid w:val="00F569EC"/>
    <w:rsid w:val="00F60E28"/>
    <w:rsid w:val="00F66242"/>
    <w:rsid w:val="00F66F84"/>
    <w:rsid w:val="00F718C7"/>
    <w:rsid w:val="00F774C9"/>
    <w:rsid w:val="00F833B1"/>
    <w:rsid w:val="00F849B4"/>
    <w:rsid w:val="00F96DE4"/>
    <w:rsid w:val="00F97CB3"/>
    <w:rsid w:val="00FA07F6"/>
    <w:rsid w:val="00FA1C64"/>
    <w:rsid w:val="00FA5AEF"/>
    <w:rsid w:val="00FA6A11"/>
    <w:rsid w:val="00FA783E"/>
    <w:rsid w:val="00FC1B0C"/>
    <w:rsid w:val="00FC1F38"/>
    <w:rsid w:val="00FC5549"/>
    <w:rsid w:val="00FC7D63"/>
    <w:rsid w:val="00FD18C4"/>
    <w:rsid w:val="00FE0733"/>
    <w:rsid w:val="00FE2042"/>
    <w:rsid w:val="00FE6761"/>
    <w:rsid w:val="00FF10D0"/>
    <w:rsid w:val="00FF652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9496AE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2223"/>
    <w:rPr>
      <w:rFonts w:ascii="Times New Roman" w:hAnsi="Times New Roman"/>
      <w:sz w:val="24"/>
    </w:rPr>
  </w:style>
  <w:style w:type="paragraph" w:styleId="Heading1">
    <w:name w:val="heading 1"/>
    <w:basedOn w:val="Normal"/>
    <w:next w:val="Normal"/>
    <w:link w:val="Heading1Char"/>
    <w:autoRedefine/>
    <w:uiPriority w:val="9"/>
    <w:qFormat/>
    <w:rsid w:val="00A92B1B"/>
    <w:pPr>
      <w:keepNext/>
      <w:keepLines/>
      <w:spacing w:before="240" w:after="120" w:line="360" w:lineRule="auto"/>
      <w:jc w:val="center"/>
      <w:outlineLvl w:val="0"/>
    </w:pPr>
    <w:rPr>
      <w:rFonts w:asciiTheme="majorBidi" w:eastAsiaTheme="majorEastAsia" w:hAnsiTheme="majorBidi" w:cs="Arial"/>
      <w:b/>
      <w:bCs/>
      <w:sz w:val="32"/>
      <w:szCs w:val="28"/>
      <w:lang w:bidi="bn-BD"/>
    </w:rPr>
  </w:style>
  <w:style w:type="paragraph" w:styleId="Heading2">
    <w:name w:val="heading 2"/>
    <w:basedOn w:val="Normal"/>
    <w:next w:val="Normal"/>
    <w:link w:val="Heading2Char"/>
    <w:uiPriority w:val="9"/>
    <w:unhideWhenUsed/>
    <w:qFormat/>
    <w:rsid w:val="00A27C94"/>
    <w:pPr>
      <w:keepNext/>
      <w:keepLines/>
      <w:spacing w:before="240" w:after="240" w:line="360" w:lineRule="auto"/>
      <w:jc w:val="both"/>
      <w:outlineLvl w:val="1"/>
    </w:pPr>
    <w:rPr>
      <w:rFonts w:ascii="Arial" w:eastAsiaTheme="majorEastAsia" w:hAnsi="Arial"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B1B"/>
    <w:rPr>
      <w:rFonts w:asciiTheme="majorBidi" w:eastAsiaTheme="majorEastAsia" w:hAnsiTheme="majorBidi" w:cs="Arial"/>
      <w:b/>
      <w:bCs/>
      <w:sz w:val="32"/>
      <w:szCs w:val="28"/>
      <w:lang w:bidi="bn-BD"/>
    </w:rPr>
  </w:style>
  <w:style w:type="paragraph" w:styleId="TOCHeading">
    <w:name w:val="TOC Heading"/>
    <w:basedOn w:val="Heading1"/>
    <w:next w:val="Normal"/>
    <w:uiPriority w:val="39"/>
    <w:unhideWhenUsed/>
    <w:qFormat/>
    <w:rsid w:val="003F721C"/>
    <w:pPr>
      <w:spacing w:line="259" w:lineRule="auto"/>
      <w:outlineLvl w:val="9"/>
    </w:pPr>
    <w:rPr>
      <w:rFonts w:asciiTheme="majorHAnsi" w:hAnsiTheme="majorHAnsi"/>
      <w:b w:val="0"/>
      <w:bCs w:val="0"/>
      <w:color w:val="2E74B5" w:themeColor="accent1" w:themeShade="BF"/>
      <w:szCs w:val="32"/>
      <w:lang w:bidi="ar-SA"/>
    </w:rPr>
  </w:style>
  <w:style w:type="paragraph" w:styleId="Header">
    <w:name w:val="header"/>
    <w:basedOn w:val="Normal"/>
    <w:link w:val="HeaderChar"/>
    <w:uiPriority w:val="99"/>
    <w:unhideWhenUsed/>
    <w:rsid w:val="003F721C"/>
    <w:pPr>
      <w:tabs>
        <w:tab w:val="center" w:pos="4513"/>
        <w:tab w:val="right" w:pos="9026"/>
      </w:tabs>
      <w:spacing w:after="0" w:line="240" w:lineRule="auto"/>
    </w:pPr>
  </w:style>
  <w:style w:type="paragraph" w:styleId="TOC1">
    <w:name w:val="toc 1"/>
    <w:basedOn w:val="Normal"/>
    <w:next w:val="Normal"/>
    <w:autoRedefine/>
    <w:uiPriority w:val="39"/>
    <w:unhideWhenUsed/>
    <w:rsid w:val="00A82480"/>
    <w:pPr>
      <w:spacing w:after="100" w:line="360" w:lineRule="auto"/>
    </w:pPr>
  </w:style>
  <w:style w:type="character" w:customStyle="1" w:styleId="HeaderChar">
    <w:name w:val="Header Char"/>
    <w:basedOn w:val="DefaultParagraphFont"/>
    <w:link w:val="Header"/>
    <w:uiPriority w:val="99"/>
    <w:rsid w:val="003F721C"/>
    <w:rPr>
      <w:rFonts w:ascii="Times New Roman" w:hAnsi="Times New Roman"/>
      <w:sz w:val="24"/>
    </w:rPr>
  </w:style>
  <w:style w:type="paragraph" w:styleId="Footer">
    <w:name w:val="footer"/>
    <w:basedOn w:val="Normal"/>
    <w:link w:val="FooterChar"/>
    <w:uiPriority w:val="99"/>
    <w:unhideWhenUsed/>
    <w:rsid w:val="003F72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21C"/>
    <w:rPr>
      <w:rFonts w:ascii="Times New Roman" w:hAnsi="Times New Roman"/>
      <w:sz w:val="24"/>
    </w:rPr>
  </w:style>
  <w:style w:type="character" w:styleId="Hyperlink">
    <w:name w:val="Hyperlink"/>
    <w:basedOn w:val="DefaultParagraphFont"/>
    <w:uiPriority w:val="99"/>
    <w:unhideWhenUsed/>
    <w:rsid w:val="003F721C"/>
    <w:rPr>
      <w:color w:val="0563C1" w:themeColor="hyperlink"/>
      <w:u w:val="single"/>
    </w:rPr>
  </w:style>
  <w:style w:type="character" w:customStyle="1" w:styleId="Heading2Char">
    <w:name w:val="Heading 2 Char"/>
    <w:basedOn w:val="DefaultParagraphFont"/>
    <w:link w:val="Heading2"/>
    <w:uiPriority w:val="9"/>
    <w:rsid w:val="00A27C94"/>
    <w:rPr>
      <w:rFonts w:ascii="Arial" w:eastAsiaTheme="majorEastAsia" w:hAnsi="Arial" w:cstheme="majorBidi"/>
      <w:b/>
      <w:sz w:val="24"/>
      <w:szCs w:val="26"/>
    </w:rPr>
  </w:style>
  <w:style w:type="paragraph" w:styleId="TOC2">
    <w:name w:val="toc 2"/>
    <w:basedOn w:val="Normal"/>
    <w:next w:val="Normal"/>
    <w:autoRedefine/>
    <w:uiPriority w:val="39"/>
    <w:unhideWhenUsed/>
    <w:rsid w:val="00A82480"/>
    <w:pPr>
      <w:spacing w:after="100" w:line="360" w:lineRule="auto"/>
      <w:ind w:left="240"/>
    </w:pPr>
  </w:style>
  <w:style w:type="paragraph" w:customStyle="1" w:styleId="Default">
    <w:name w:val="Default"/>
    <w:rsid w:val="000916B3"/>
    <w:pPr>
      <w:autoSpaceDE w:val="0"/>
      <w:autoSpaceDN w:val="0"/>
      <w:adjustRightInd w:val="0"/>
      <w:spacing w:after="0" w:line="240" w:lineRule="auto"/>
    </w:pPr>
    <w:rPr>
      <w:rFonts w:ascii="Carlito" w:hAnsi="Carlito" w:cs="Carlito"/>
      <w:color w:val="000000"/>
      <w:sz w:val="24"/>
      <w:szCs w:val="24"/>
      <w:lang w:val="en-CA"/>
    </w:rPr>
  </w:style>
  <w:style w:type="paragraph" w:styleId="Caption">
    <w:name w:val="caption"/>
    <w:basedOn w:val="Normal"/>
    <w:next w:val="Normal"/>
    <w:uiPriority w:val="35"/>
    <w:unhideWhenUsed/>
    <w:qFormat/>
    <w:rsid w:val="00382F92"/>
    <w:pPr>
      <w:spacing w:after="200" w:line="240" w:lineRule="auto"/>
    </w:pPr>
    <w:rPr>
      <w:i/>
      <w:iCs/>
      <w:color w:val="44546A" w:themeColor="text2"/>
      <w:sz w:val="18"/>
      <w:szCs w:val="18"/>
    </w:rPr>
  </w:style>
  <w:style w:type="paragraph" w:styleId="ListParagraph">
    <w:name w:val="List Paragraph"/>
    <w:basedOn w:val="Normal"/>
    <w:uiPriority w:val="34"/>
    <w:qFormat/>
    <w:rsid w:val="0092755A"/>
    <w:pPr>
      <w:ind w:left="720"/>
      <w:contextualSpacing/>
    </w:pPr>
  </w:style>
  <w:style w:type="paragraph" w:styleId="NormalWeb">
    <w:name w:val="Normal (Web)"/>
    <w:basedOn w:val="Normal"/>
    <w:uiPriority w:val="99"/>
    <w:semiHidden/>
    <w:unhideWhenUsed/>
    <w:rsid w:val="005E71B8"/>
    <w:pPr>
      <w:spacing w:before="100" w:beforeAutospacing="1" w:after="100" w:afterAutospacing="1" w:line="240" w:lineRule="auto"/>
    </w:pPr>
    <w:rPr>
      <w:rFonts w:eastAsia="Times New Roman" w:cs="Times New Roman"/>
      <w:szCs w:val="24"/>
      <w:lang w:val="en-CA" w:eastAsia="en-CA"/>
    </w:rPr>
  </w:style>
  <w:style w:type="character" w:styleId="PlaceholderText">
    <w:name w:val="Placeholder Text"/>
    <w:basedOn w:val="DefaultParagraphFont"/>
    <w:uiPriority w:val="99"/>
    <w:semiHidden/>
    <w:rsid w:val="005175A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751138">
      <w:bodyDiv w:val="1"/>
      <w:marLeft w:val="0"/>
      <w:marRight w:val="0"/>
      <w:marTop w:val="0"/>
      <w:marBottom w:val="0"/>
      <w:divBdr>
        <w:top w:val="none" w:sz="0" w:space="0" w:color="auto"/>
        <w:left w:val="none" w:sz="0" w:space="0" w:color="auto"/>
        <w:bottom w:val="none" w:sz="0" w:space="0" w:color="auto"/>
        <w:right w:val="none" w:sz="0" w:space="0" w:color="auto"/>
      </w:divBdr>
      <w:divsChild>
        <w:div w:id="1189416728">
          <w:marLeft w:val="0"/>
          <w:marRight w:val="0"/>
          <w:marTop w:val="0"/>
          <w:marBottom w:val="0"/>
          <w:divBdr>
            <w:top w:val="none" w:sz="0" w:space="0" w:color="auto"/>
            <w:left w:val="none" w:sz="0" w:space="0" w:color="auto"/>
            <w:bottom w:val="none" w:sz="0" w:space="0" w:color="auto"/>
            <w:right w:val="none" w:sz="0" w:space="0" w:color="auto"/>
          </w:divBdr>
        </w:div>
      </w:divsChild>
    </w:div>
    <w:div w:id="708917516">
      <w:bodyDiv w:val="1"/>
      <w:marLeft w:val="0"/>
      <w:marRight w:val="0"/>
      <w:marTop w:val="0"/>
      <w:marBottom w:val="0"/>
      <w:divBdr>
        <w:top w:val="none" w:sz="0" w:space="0" w:color="auto"/>
        <w:left w:val="none" w:sz="0" w:space="0" w:color="auto"/>
        <w:bottom w:val="none" w:sz="0" w:space="0" w:color="auto"/>
        <w:right w:val="none" w:sz="0" w:space="0" w:color="auto"/>
      </w:divBdr>
      <w:divsChild>
        <w:div w:id="1407872889">
          <w:marLeft w:val="0"/>
          <w:marRight w:val="0"/>
          <w:marTop w:val="0"/>
          <w:marBottom w:val="0"/>
          <w:divBdr>
            <w:top w:val="none" w:sz="0" w:space="0" w:color="auto"/>
            <w:left w:val="none" w:sz="0" w:space="0" w:color="auto"/>
            <w:bottom w:val="none" w:sz="0" w:space="0" w:color="auto"/>
            <w:right w:val="none" w:sz="0" w:space="0" w:color="auto"/>
          </w:divBdr>
        </w:div>
      </w:divsChild>
    </w:div>
    <w:div w:id="1394813303">
      <w:bodyDiv w:val="1"/>
      <w:marLeft w:val="0"/>
      <w:marRight w:val="0"/>
      <w:marTop w:val="0"/>
      <w:marBottom w:val="0"/>
      <w:divBdr>
        <w:top w:val="none" w:sz="0" w:space="0" w:color="auto"/>
        <w:left w:val="none" w:sz="0" w:space="0" w:color="auto"/>
        <w:bottom w:val="none" w:sz="0" w:space="0" w:color="auto"/>
        <w:right w:val="none" w:sz="0" w:space="0" w:color="auto"/>
      </w:divBdr>
      <w:divsChild>
        <w:div w:id="1460294377">
          <w:marLeft w:val="0"/>
          <w:marRight w:val="0"/>
          <w:marTop w:val="0"/>
          <w:marBottom w:val="0"/>
          <w:divBdr>
            <w:top w:val="none" w:sz="0" w:space="0" w:color="auto"/>
            <w:left w:val="none" w:sz="0" w:space="0" w:color="auto"/>
            <w:bottom w:val="none" w:sz="0" w:space="0" w:color="auto"/>
            <w:right w:val="none" w:sz="0" w:space="0" w:color="auto"/>
          </w:divBdr>
        </w:div>
      </w:divsChild>
    </w:div>
    <w:div w:id="1481381718">
      <w:bodyDiv w:val="1"/>
      <w:marLeft w:val="0"/>
      <w:marRight w:val="0"/>
      <w:marTop w:val="0"/>
      <w:marBottom w:val="0"/>
      <w:divBdr>
        <w:top w:val="none" w:sz="0" w:space="0" w:color="auto"/>
        <w:left w:val="none" w:sz="0" w:space="0" w:color="auto"/>
        <w:bottom w:val="none" w:sz="0" w:space="0" w:color="auto"/>
        <w:right w:val="none" w:sz="0" w:space="0" w:color="auto"/>
      </w:divBdr>
      <w:divsChild>
        <w:div w:id="318537566">
          <w:marLeft w:val="0"/>
          <w:marRight w:val="0"/>
          <w:marTop w:val="0"/>
          <w:marBottom w:val="0"/>
          <w:divBdr>
            <w:top w:val="none" w:sz="0" w:space="0" w:color="auto"/>
            <w:left w:val="none" w:sz="0" w:space="0" w:color="auto"/>
            <w:bottom w:val="none" w:sz="0" w:space="0" w:color="auto"/>
            <w:right w:val="none" w:sz="0" w:space="0" w:color="auto"/>
          </w:divBdr>
        </w:div>
      </w:divsChild>
    </w:div>
    <w:div w:id="1525486203">
      <w:bodyDiv w:val="1"/>
      <w:marLeft w:val="0"/>
      <w:marRight w:val="0"/>
      <w:marTop w:val="0"/>
      <w:marBottom w:val="0"/>
      <w:divBdr>
        <w:top w:val="none" w:sz="0" w:space="0" w:color="auto"/>
        <w:left w:val="none" w:sz="0" w:space="0" w:color="auto"/>
        <w:bottom w:val="none" w:sz="0" w:space="0" w:color="auto"/>
        <w:right w:val="none" w:sz="0" w:space="0" w:color="auto"/>
      </w:divBdr>
      <w:divsChild>
        <w:div w:id="15345358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5.png"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4.png" /><Relationship Id="rId17" Type="http://schemas.openxmlformats.org/officeDocument/2006/relationships/image" Target="media/image9.png" /><Relationship Id="rId2" Type="http://schemas.openxmlformats.org/officeDocument/2006/relationships/numbering" Target="numbering.xml" /><Relationship Id="rId16" Type="http://schemas.openxmlformats.org/officeDocument/2006/relationships/image" Target="media/image8.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5" Type="http://schemas.openxmlformats.org/officeDocument/2006/relationships/webSettings" Target="webSettings.xml" /><Relationship Id="rId15" Type="http://schemas.openxmlformats.org/officeDocument/2006/relationships/image" Target="media/image7.png" /><Relationship Id="rId10" Type="http://schemas.openxmlformats.org/officeDocument/2006/relationships/footer" Target="footer1.xml"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6.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2F5F67-4380-4A37-9515-F0B77AE7A67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1712</Words>
  <Characters>9763</Characters>
  <Application>Microsoft Office Word</Application>
  <DocSecurity>0</DocSecurity>
  <Lines>81</Lines>
  <Paragraphs>22</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
      <vt:lpstr>Introduction</vt:lpstr>
      <vt:lpstr>Importance of Diversity in The UK Judiciary</vt:lpstr>
      <vt:lpstr>Conclusion</vt:lpstr>
      <vt:lpstr>&lt;References</vt:lpstr>
    </vt:vector>
  </TitlesOfParts>
  <Company/>
  <LinksUpToDate>false</LinksUpToDate>
  <CharactersWithSpaces>11453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2022-06-14T09:16:00Z</dcterms:created>
  <dcterms:modified xsi:type="dcterms:W3CDTF">2022-06-14T09:16:00Z</dcterms:modified>
</cp:coreProperties>
</file>