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B1F77" w14:textId="77777777" w:rsidR="00B970AE" w:rsidRDefault="00A73925">
      <w:pPr>
        <w:pStyle w:val="NoSpacing"/>
        <w:spacing w:before="1540" w:after="240"/>
        <w:jc w:val="center"/>
      </w:pPr>
      <w:r>
        <w:rPr>
          <w:rFonts w:ascii="Times New Roman" w:hAnsi="Times New Roman"/>
          <w:noProof/>
          <w:color w:val="156082"/>
          <w:sz w:val="24"/>
          <w:szCs w:val="24"/>
        </w:rPr>
        <w:drawing>
          <wp:inline distT="0" distB="0" distL="0" distR="0" wp14:anchorId="7D0B1F77" wp14:editId="7D0B1F78">
            <wp:extent cx="1417320" cy="750896"/>
            <wp:effectExtent l="0" t="0" r="0" b="0"/>
            <wp:docPr id="156996640"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7D0B1F78" w14:textId="77777777" w:rsidR="00B970AE" w:rsidRDefault="00A73925">
      <w:pPr>
        <w:pStyle w:val="NoSpacing"/>
        <w:pBdr>
          <w:top w:val="single" w:sz="6" w:space="6" w:color="156082"/>
          <w:bottom w:val="single" w:sz="6" w:space="6" w:color="156082"/>
        </w:pBdr>
        <w:spacing w:after="240"/>
        <w:jc w:val="center"/>
      </w:pPr>
      <w:r>
        <w:rPr>
          <w:rFonts w:ascii="Times New Roman" w:hAnsi="Times New Roman"/>
          <w:caps/>
          <w:color w:val="156082"/>
          <w:sz w:val="44"/>
          <w:szCs w:val="44"/>
        </w:rPr>
        <w:t>leadership and change</w:t>
      </w:r>
    </w:p>
    <w:p w14:paraId="7D0B1F79" w14:textId="77777777" w:rsidR="00B970AE" w:rsidRDefault="00A73925">
      <w:pPr>
        <w:pStyle w:val="NoSpacing"/>
        <w:jc w:val="center"/>
      </w:pPr>
      <w:r>
        <w:rPr>
          <w:rFonts w:ascii="Times New Roman" w:hAnsi="Times New Roman"/>
          <w:color w:val="156082"/>
          <w:sz w:val="32"/>
          <w:szCs w:val="32"/>
        </w:rPr>
        <w:t>Personal experiences</w:t>
      </w:r>
    </w:p>
    <w:p w14:paraId="7D0B1F7A" w14:textId="77777777" w:rsidR="00B970AE" w:rsidRDefault="00A73925">
      <w:pPr>
        <w:pStyle w:val="NoSpacing"/>
        <w:spacing w:before="480"/>
        <w:jc w:val="center"/>
      </w:pPr>
      <w:r>
        <w:rPr>
          <w:rFonts w:ascii="Times New Roman" w:hAnsi="Times New Roman"/>
          <w:noProof/>
          <w:color w:val="156082"/>
          <w:sz w:val="24"/>
          <w:szCs w:val="24"/>
        </w:rPr>
        <mc:AlternateContent>
          <mc:Choice Requires="wps">
            <w:drawing>
              <wp:anchor distT="0" distB="0" distL="114300" distR="114300" simplePos="0" relativeHeight="251659264" behindDoc="0" locked="0" layoutInCell="1" allowOverlap="1" wp14:anchorId="7D0B1F7A" wp14:editId="7D0B1F7B">
                <wp:simplePos x="0" y="0"/>
                <wp:positionH relativeFrom="page">
                  <wp:posOffset>914400</wp:posOffset>
                </wp:positionH>
                <wp:positionV relativeFrom="page">
                  <wp:posOffset>9088121</wp:posOffset>
                </wp:positionV>
                <wp:extent cx="5731514" cy="589916"/>
                <wp:effectExtent l="0" t="0" r="2536" b="634"/>
                <wp:wrapNone/>
                <wp:docPr id="643923534" name="Text Box 146"/>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14:paraId="7D0B1F7E" w14:textId="77777777" w:rsidR="00B970AE" w:rsidRDefault="00A73925">
                            <w:pPr>
                              <w:pStyle w:val="NoSpacing"/>
                              <w:spacing w:after="40"/>
                              <w:jc w:val="center"/>
                            </w:pPr>
                            <w:r>
                              <w:rPr>
                                <w:caps/>
                                <w:color w:val="156082"/>
                                <w:sz w:val="28"/>
                                <w:szCs w:val="28"/>
                              </w:rPr>
                              <w:t>December 5, 2025</w:t>
                            </w:r>
                          </w:p>
                          <w:p w14:paraId="7D0B1F7F" w14:textId="77777777" w:rsidR="00B970AE" w:rsidRDefault="00A73925">
                            <w:pPr>
                              <w:pStyle w:val="NoSpacing"/>
                              <w:jc w:val="center"/>
                            </w:pPr>
                            <w:r>
                              <w:rPr>
                                <w:caps/>
                                <w:color w:val="156082"/>
                              </w:rPr>
                              <w:t>Ioana Andrei</w:t>
                            </w:r>
                          </w:p>
                          <w:p w14:paraId="7D0B1F80" w14:textId="77777777" w:rsidR="00B970AE" w:rsidRDefault="00A73925">
                            <w:pPr>
                              <w:pStyle w:val="NoSpacing"/>
                              <w:jc w:val="center"/>
                            </w:pPr>
                            <w:r>
                              <w:rPr>
                                <w:color w:val="156082"/>
                              </w:rPr>
                              <w:t>2220660</w:t>
                            </w:r>
                          </w:p>
                        </w:txbxContent>
                      </wps:txbx>
                      <wps:bodyPr vert="horz" wrap="square" lIns="0" tIns="0" rIns="0" bIns="0" anchor="b" anchorCtr="0" compatLnSpc="1">
                        <a:spAutoFit/>
                      </wps:bodyPr>
                    </wps:wsp>
                  </a:graphicData>
                </a:graphic>
              </wp:anchor>
            </w:drawing>
          </mc:Choice>
          <mc:Fallback>
            <w:pict>
              <v:shapetype w14:anchorId="7D0B1F7A" id="_x0000_t202" coordsize="21600,21600" o:spt="202" path="m,l,21600r21600,l21600,xe">
                <v:stroke joinstyle="miter"/>
                <v:path gradientshapeok="t" o:connecttype="rect"/>
              </v:shapetype>
              <v:shape id="Text Box 146" o:spid="_x0000_s1026" type="#_x0000_t202" style="position:absolute;left:0;text-align:left;margin-left:1in;margin-top:715.6pt;width:451.3pt;height:46.4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" filled="f" stroked="f">
                <v:textbox style="mso-fit-shape-to-text:t" inset="0,0,0,0">
                  <w:txbxContent>
                    <w:p w14:paraId="7D0B1F7E" w14:textId="77777777" w:rsidR="00B970AE" w:rsidRDefault="00A73925">
                      <w:pPr>
                        <w:pStyle w:val="NoSpacing"/>
                        <w:spacing w:after="40"/>
                        <w:jc w:val="center"/>
                      </w:pPr>
                      <w:r>
                        <w:rPr>
                          <w:caps/>
                          <w:color w:val="156082"/>
                          <w:sz w:val="28"/>
                          <w:szCs w:val="28"/>
                        </w:rPr>
                        <w:t>December 5, 2025</w:t>
                      </w:r>
                    </w:p>
                    <w:p w14:paraId="7D0B1F7F" w14:textId="77777777" w:rsidR="00B970AE" w:rsidRDefault="00A73925">
                      <w:pPr>
                        <w:pStyle w:val="NoSpacing"/>
                        <w:jc w:val="center"/>
                      </w:pPr>
                      <w:r>
                        <w:rPr>
                          <w:caps/>
                          <w:color w:val="156082"/>
                        </w:rPr>
                        <w:t>Ioana Andrei</w:t>
                      </w:r>
                    </w:p>
                    <w:p w14:paraId="7D0B1F80" w14:textId="77777777" w:rsidR="00B970AE" w:rsidRDefault="00A73925">
                      <w:pPr>
                        <w:pStyle w:val="NoSpacing"/>
                        <w:jc w:val="center"/>
                      </w:pPr>
                      <w:r>
                        <w:rPr>
                          <w:color w:val="156082"/>
                        </w:rPr>
                        <w:t>2220660</w:t>
                      </w:r>
                    </w:p>
                  </w:txbxContent>
                </v:textbox>
                <w10:wrap anchorx="page" anchory="page"/>
              </v:shape>
            </w:pict>
          </mc:Fallback>
        </mc:AlternateContent>
      </w:r>
      <w:r>
        <w:rPr>
          <w:rFonts w:ascii="Times New Roman" w:hAnsi="Times New Roman"/>
          <w:noProof/>
          <w:color w:val="156082"/>
          <w:sz w:val="24"/>
          <w:szCs w:val="24"/>
        </w:rPr>
        <w:drawing>
          <wp:inline distT="0" distB="0" distL="0" distR="0" wp14:anchorId="7D0B1F7C" wp14:editId="7D0B1F7D">
            <wp:extent cx="758952" cy="478935"/>
            <wp:effectExtent l="0" t="0" r="3048" b="0"/>
            <wp:docPr id="190792698" name="Picture 1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14:paraId="7D0B1F7B" w14:textId="77777777" w:rsidR="00B970AE" w:rsidRDefault="00B970AE">
      <w:pPr>
        <w:pageBreakBefore/>
        <w:rPr>
          <w:rFonts w:ascii="Times New Roman" w:hAnsi="Times New Roman"/>
        </w:rPr>
      </w:pPr>
    </w:p>
    <w:p w14:paraId="7D0B1F7C" w14:textId="77777777" w:rsidR="00B970AE" w:rsidRDefault="00A73925">
      <w:pPr>
        <w:pStyle w:val="TOCHeading"/>
        <w:outlineLvl w:val="9"/>
        <w:rPr>
          <w:rFonts w:ascii="Times New Roman" w:hAnsi="Times New Roman"/>
        </w:rPr>
      </w:pPr>
      <w:r>
        <w:rPr>
          <w:rFonts w:ascii="Times New Roman" w:hAnsi="Times New Roman"/>
        </w:rPr>
        <w:t>Contents</w:t>
      </w:r>
    </w:p>
    <w:p w14:paraId="7D0B1F7D" w14:textId="77777777" w:rsidR="00B970AE" w:rsidRDefault="00A73925">
      <w:pPr>
        <w:pStyle w:val="TOC1"/>
        <w:tabs>
          <w:tab w:val="right" w:leader="dot" w:pos="9016"/>
        </w:tabs>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215658931" w:history="1">
        <w:r>
          <w:rPr>
            <w:rStyle w:val="Hyperlink"/>
            <w:rFonts w:ascii="Times New Roman" w:hAnsi="Times New Roman"/>
          </w:rPr>
          <w:t>Introduction</w:t>
        </w:r>
        <w:r>
          <w:rPr>
            <w:rFonts w:ascii="Times New Roman" w:hAnsi="Times New Roman"/>
          </w:rPr>
          <w:tab/>
          <w:t>2</w:t>
        </w:r>
      </w:hyperlink>
    </w:p>
    <w:p w14:paraId="7D0B1F7E" w14:textId="77777777" w:rsidR="00B970AE" w:rsidRDefault="00A73925">
      <w:pPr>
        <w:pStyle w:val="TOC1"/>
        <w:tabs>
          <w:tab w:val="right" w:leader="dot" w:pos="9016"/>
        </w:tabs>
      </w:pPr>
      <w:hyperlink w:anchor="_Toc215658932" w:history="1">
        <w:r>
          <w:rPr>
            <w:rStyle w:val="Hyperlink"/>
            <w:rFonts w:ascii="Times New Roman" w:hAnsi="Times New Roman"/>
          </w:rPr>
          <w:t>Experience 1- digitalisation</w:t>
        </w:r>
        <w:r>
          <w:rPr>
            <w:rFonts w:ascii="Times New Roman" w:hAnsi="Times New Roman"/>
          </w:rPr>
          <w:tab/>
          <w:t>3</w:t>
        </w:r>
      </w:hyperlink>
    </w:p>
    <w:p w14:paraId="7D0B1F7F" w14:textId="77777777" w:rsidR="00B970AE" w:rsidRDefault="00A73925">
      <w:pPr>
        <w:pStyle w:val="TOC1"/>
        <w:tabs>
          <w:tab w:val="right" w:leader="dot" w:pos="9016"/>
        </w:tabs>
      </w:pPr>
      <w:hyperlink w:anchor="_Toc215658933" w:history="1">
        <w:r>
          <w:rPr>
            <w:rStyle w:val="Hyperlink"/>
            <w:rFonts w:ascii="Times New Roman" w:hAnsi="Times New Roman"/>
          </w:rPr>
          <w:t>Experience 2 – changing department specialty</w:t>
        </w:r>
        <w:r>
          <w:rPr>
            <w:rFonts w:ascii="Times New Roman" w:hAnsi="Times New Roman"/>
          </w:rPr>
          <w:tab/>
          <w:t>5</w:t>
        </w:r>
      </w:hyperlink>
    </w:p>
    <w:p w14:paraId="7D0B1F80" w14:textId="77777777" w:rsidR="00B970AE" w:rsidRDefault="00A73925">
      <w:pPr>
        <w:pStyle w:val="TOC1"/>
        <w:tabs>
          <w:tab w:val="right" w:leader="dot" w:pos="9016"/>
        </w:tabs>
      </w:pPr>
      <w:hyperlink w:anchor="_Toc215658934" w:history="1">
        <w:r>
          <w:rPr>
            <w:rStyle w:val="Hyperlink"/>
            <w:rFonts w:ascii="Times New Roman" w:hAnsi="Times New Roman"/>
          </w:rPr>
          <w:t>Conclusion</w:t>
        </w:r>
        <w:r>
          <w:rPr>
            <w:rFonts w:ascii="Times New Roman" w:hAnsi="Times New Roman"/>
          </w:rPr>
          <w:tab/>
          <w:t>5</w:t>
        </w:r>
      </w:hyperlink>
    </w:p>
    <w:p w14:paraId="7D0B1F81" w14:textId="77777777" w:rsidR="00B970AE" w:rsidRDefault="00A73925">
      <w:pPr>
        <w:pStyle w:val="TOC1"/>
        <w:tabs>
          <w:tab w:val="right" w:leader="dot" w:pos="9016"/>
        </w:tabs>
      </w:pPr>
      <w:hyperlink w:anchor="_Toc215658935" w:history="1">
        <w:r>
          <w:rPr>
            <w:rStyle w:val="Hyperlink"/>
            <w:rFonts w:ascii="Times New Roman" w:hAnsi="Times New Roman"/>
          </w:rPr>
          <w:t>References</w:t>
        </w:r>
        <w:r>
          <w:rPr>
            <w:rFonts w:ascii="Times New Roman" w:hAnsi="Times New Roman"/>
          </w:rPr>
          <w:tab/>
          <w:t>6</w:t>
        </w:r>
      </w:hyperlink>
    </w:p>
    <w:p w14:paraId="7D0B1F82" w14:textId="77777777" w:rsidR="00B970AE" w:rsidRDefault="00A73925">
      <w:r>
        <w:fldChar w:fldCharType="end"/>
      </w:r>
    </w:p>
    <w:p w14:paraId="7D0B1F83" w14:textId="77777777" w:rsidR="00B970AE" w:rsidRDefault="00B970AE">
      <w:pPr>
        <w:rPr>
          <w:rFonts w:ascii="Times New Roman" w:hAnsi="Times New Roman"/>
        </w:rPr>
      </w:pPr>
    </w:p>
    <w:p w14:paraId="7D0B1F84" w14:textId="77777777" w:rsidR="00B970AE" w:rsidRDefault="00B970AE">
      <w:pPr>
        <w:rPr>
          <w:rFonts w:ascii="Times New Roman" w:hAnsi="Times New Roman"/>
        </w:rPr>
      </w:pPr>
    </w:p>
    <w:p w14:paraId="7D0B1F85" w14:textId="77777777" w:rsidR="00B970AE" w:rsidRDefault="00B970AE">
      <w:pPr>
        <w:rPr>
          <w:rFonts w:ascii="Times New Roman" w:hAnsi="Times New Roman"/>
        </w:rPr>
      </w:pPr>
    </w:p>
    <w:p w14:paraId="7D0B1F86" w14:textId="77777777" w:rsidR="00B970AE" w:rsidRDefault="00B970AE">
      <w:pPr>
        <w:rPr>
          <w:rFonts w:ascii="Times New Roman" w:hAnsi="Times New Roman"/>
        </w:rPr>
      </w:pPr>
    </w:p>
    <w:p w14:paraId="7D0B1F87" w14:textId="77777777" w:rsidR="00B970AE" w:rsidRDefault="00B970AE">
      <w:pPr>
        <w:rPr>
          <w:rFonts w:ascii="Times New Roman" w:hAnsi="Times New Roman"/>
        </w:rPr>
      </w:pPr>
    </w:p>
    <w:p w14:paraId="7D0B1F88" w14:textId="77777777" w:rsidR="00B970AE" w:rsidRDefault="00B970AE">
      <w:pPr>
        <w:rPr>
          <w:rFonts w:ascii="Times New Roman" w:hAnsi="Times New Roman"/>
        </w:rPr>
      </w:pPr>
    </w:p>
    <w:p w14:paraId="7D0B1F89" w14:textId="77777777" w:rsidR="00B970AE" w:rsidRDefault="00B970AE">
      <w:pPr>
        <w:rPr>
          <w:rFonts w:ascii="Times New Roman" w:hAnsi="Times New Roman"/>
        </w:rPr>
      </w:pPr>
    </w:p>
    <w:p w14:paraId="7D0B1F8A" w14:textId="77777777" w:rsidR="00B970AE" w:rsidRDefault="00B970AE">
      <w:pPr>
        <w:rPr>
          <w:rFonts w:ascii="Times New Roman" w:hAnsi="Times New Roman"/>
        </w:rPr>
      </w:pPr>
    </w:p>
    <w:p w14:paraId="7D0B1F8B" w14:textId="77777777" w:rsidR="00B970AE" w:rsidRDefault="00B970AE">
      <w:pPr>
        <w:rPr>
          <w:rFonts w:ascii="Times New Roman" w:hAnsi="Times New Roman"/>
        </w:rPr>
      </w:pPr>
    </w:p>
    <w:p w14:paraId="7D0B1F8C" w14:textId="77777777" w:rsidR="00B970AE" w:rsidRDefault="00B970AE">
      <w:pPr>
        <w:rPr>
          <w:rFonts w:ascii="Times New Roman" w:hAnsi="Times New Roman"/>
        </w:rPr>
      </w:pPr>
    </w:p>
    <w:p w14:paraId="7D0B1F8D" w14:textId="77777777" w:rsidR="00B970AE" w:rsidRDefault="00B970AE">
      <w:pPr>
        <w:rPr>
          <w:rFonts w:ascii="Times New Roman" w:hAnsi="Times New Roman"/>
        </w:rPr>
      </w:pPr>
    </w:p>
    <w:p w14:paraId="7D0B1F8E" w14:textId="77777777" w:rsidR="00B970AE" w:rsidRDefault="00B970AE">
      <w:pPr>
        <w:rPr>
          <w:rFonts w:ascii="Times New Roman" w:hAnsi="Times New Roman"/>
        </w:rPr>
      </w:pPr>
    </w:p>
    <w:p w14:paraId="7D0B1F8F" w14:textId="77777777" w:rsidR="00B970AE" w:rsidRDefault="00B970AE">
      <w:pPr>
        <w:rPr>
          <w:rFonts w:ascii="Times New Roman" w:hAnsi="Times New Roman"/>
        </w:rPr>
      </w:pPr>
    </w:p>
    <w:p w14:paraId="7D0B1F90" w14:textId="77777777" w:rsidR="00B970AE" w:rsidRDefault="00B970AE">
      <w:pPr>
        <w:rPr>
          <w:rFonts w:ascii="Times New Roman" w:hAnsi="Times New Roman"/>
        </w:rPr>
      </w:pPr>
    </w:p>
    <w:p w14:paraId="7D0B1F91" w14:textId="77777777" w:rsidR="00B970AE" w:rsidRDefault="00B970AE">
      <w:pPr>
        <w:rPr>
          <w:rFonts w:ascii="Times New Roman" w:hAnsi="Times New Roman"/>
        </w:rPr>
      </w:pPr>
    </w:p>
    <w:p w14:paraId="7D0B1F92" w14:textId="77777777" w:rsidR="00B970AE" w:rsidRDefault="00B970AE">
      <w:pPr>
        <w:rPr>
          <w:rFonts w:ascii="Times New Roman" w:hAnsi="Times New Roman"/>
        </w:rPr>
      </w:pPr>
    </w:p>
    <w:p w14:paraId="7D0B1F93" w14:textId="77777777" w:rsidR="00B970AE" w:rsidRDefault="00B970AE">
      <w:pPr>
        <w:rPr>
          <w:rFonts w:ascii="Times New Roman" w:hAnsi="Times New Roman"/>
        </w:rPr>
      </w:pPr>
    </w:p>
    <w:p w14:paraId="7D0B1F94" w14:textId="77777777" w:rsidR="00B970AE" w:rsidRDefault="00B970AE">
      <w:pPr>
        <w:rPr>
          <w:rFonts w:ascii="Times New Roman" w:hAnsi="Times New Roman"/>
        </w:rPr>
      </w:pPr>
    </w:p>
    <w:p w14:paraId="7D0B1F95" w14:textId="77777777" w:rsidR="00B970AE" w:rsidRDefault="00B970AE">
      <w:pPr>
        <w:rPr>
          <w:rFonts w:ascii="Times New Roman" w:hAnsi="Times New Roman"/>
        </w:rPr>
      </w:pPr>
    </w:p>
    <w:p w14:paraId="7D0B1F96" w14:textId="77777777" w:rsidR="00B970AE" w:rsidRDefault="00B970AE">
      <w:pPr>
        <w:rPr>
          <w:rFonts w:ascii="Times New Roman" w:hAnsi="Times New Roman"/>
        </w:rPr>
      </w:pPr>
    </w:p>
    <w:p w14:paraId="7D0B1F97" w14:textId="77777777" w:rsidR="00B970AE" w:rsidRDefault="00B970AE">
      <w:pPr>
        <w:rPr>
          <w:rFonts w:ascii="Times New Roman" w:hAnsi="Times New Roman"/>
        </w:rPr>
      </w:pPr>
    </w:p>
    <w:p w14:paraId="7D0B1F98" w14:textId="77777777" w:rsidR="00B970AE" w:rsidRDefault="00A73925">
      <w:pPr>
        <w:pStyle w:val="Heading1"/>
        <w:rPr>
          <w:rFonts w:ascii="Times New Roman" w:hAnsi="Times New Roman"/>
          <w:sz w:val="32"/>
          <w:szCs w:val="32"/>
        </w:rPr>
      </w:pPr>
      <w:bookmarkStart w:id="0" w:name="_Toc215658931"/>
      <w:r>
        <w:rPr>
          <w:rFonts w:ascii="Times New Roman" w:hAnsi="Times New Roman"/>
          <w:sz w:val="32"/>
          <w:szCs w:val="32"/>
        </w:rPr>
        <w:lastRenderedPageBreak/>
        <w:t>Introduction</w:t>
      </w:r>
      <w:bookmarkEnd w:id="0"/>
    </w:p>
    <w:p w14:paraId="7D0B1F99" w14:textId="77777777" w:rsidR="00B970AE" w:rsidRDefault="00B970AE">
      <w:pPr>
        <w:rPr>
          <w:rFonts w:ascii="Times New Roman" w:hAnsi="Times New Roman"/>
        </w:rPr>
      </w:pPr>
    </w:p>
    <w:p w14:paraId="7D0B1F9A" w14:textId="77777777" w:rsidR="00B970AE" w:rsidRDefault="00A73925">
      <w:r>
        <w:rPr>
          <w:rFonts w:ascii="Times New Roman" w:hAnsi="Times New Roman"/>
        </w:rPr>
        <w:t xml:space="preserve">Changes in today's healthcare organisations are unavoidable because of changing populations, sicker patients, new professional jobs, fast-changing technology, and ongoing financial problems. To keep providing safe, effective, and high-quality care, these forces require organisations to constantly change </w:t>
      </w:r>
      <w:r>
        <w:rPr>
          <w:rFonts w:ascii="Times New Roman" w:hAnsi="Times New Roman"/>
          <w:i/>
          <w:iCs/>
        </w:rPr>
        <w:t xml:space="preserve">(West et al., 2020). </w:t>
      </w:r>
    </w:p>
    <w:p w14:paraId="7D0B1F9B" w14:textId="77777777" w:rsidR="00B970AE" w:rsidRDefault="00A73925">
      <w:r>
        <w:rPr>
          <w:rFonts w:ascii="Times New Roman" w:hAnsi="Times New Roman"/>
        </w:rPr>
        <w:t xml:space="preserve">Change can bring chances to learn, make services better, and get better results for patients, but </w:t>
      </w:r>
      <w:r>
        <w:rPr>
          <w:rFonts w:ascii="Times New Roman" w:hAnsi="Times New Roman"/>
          <w:i/>
          <w:iCs/>
        </w:rPr>
        <w:t>NHS England</w:t>
      </w:r>
      <w:r>
        <w:rPr>
          <w:rFonts w:ascii="Times New Roman" w:hAnsi="Times New Roman"/>
        </w:rPr>
        <w:t xml:space="preserve"> </w:t>
      </w:r>
      <w:r>
        <w:rPr>
          <w:rFonts w:ascii="Times New Roman" w:hAnsi="Times New Roman"/>
          <w:i/>
          <w:iCs/>
        </w:rPr>
        <w:t>(2022)</w:t>
      </w:r>
      <w:r>
        <w:rPr>
          <w:rFonts w:ascii="Times New Roman" w:hAnsi="Times New Roman"/>
        </w:rPr>
        <w:t xml:space="preserve"> says that change that isn't well planned or led can make healthcare staff unsure, anxious, and less motivated, and it can make their performance worse.</w:t>
      </w:r>
    </w:p>
    <w:p w14:paraId="7D0B1F9C" w14:textId="77777777" w:rsidR="00B970AE" w:rsidRDefault="00A73925">
      <w:r>
        <w:rPr>
          <w:rFonts w:ascii="Times New Roman" w:hAnsi="Times New Roman"/>
        </w:rPr>
        <w:t xml:space="preserve">In my next two experiences I want to highlight the importance of leading a change effectively will have a massive impact on staff and patients. That is why is particularly important that the company use Kotter’s model which I found it extremely useful and easy to follow covering all the aspect to have an effective change. Having 8 steps which are: creating a sense of urgency, building a guiding coalition, forming strategic vision, enlisting a voluntary army, enabling actions by removing the barriers, generating short term wins, sustaining acceleration, and instituting change. </w:t>
      </w:r>
      <w:r>
        <w:rPr>
          <w:rFonts w:ascii="Times New Roman" w:hAnsi="Times New Roman"/>
          <w:i/>
          <w:iCs/>
        </w:rPr>
        <w:t>(L. Graves et al, 2023)</w:t>
      </w:r>
    </w:p>
    <w:p w14:paraId="7D0B1F9D" w14:textId="77777777" w:rsidR="00B970AE" w:rsidRDefault="00A73925">
      <w:pPr>
        <w:rPr>
          <w:rFonts w:ascii="Times New Roman" w:hAnsi="Times New Roman"/>
        </w:rPr>
      </w:pPr>
      <w:r>
        <w:rPr>
          <w:rFonts w:ascii="Times New Roman" w:hAnsi="Times New Roman"/>
        </w:rPr>
        <w:t>Because of its simplicity and emphasis on people, Lewin's approach works particularly well for company executives. It helps businesses integrate new methods of working into their fundamental identity by promoting careful preparation and emotional thought.</w:t>
      </w:r>
    </w:p>
    <w:p w14:paraId="7D0B1F9E" w14:textId="77777777" w:rsidR="00B970AE" w:rsidRDefault="00A73925">
      <w:pPr>
        <w:rPr>
          <w:rFonts w:ascii="Times New Roman" w:hAnsi="Times New Roman"/>
          <w:i/>
          <w:iCs/>
        </w:rPr>
      </w:pPr>
      <w:r>
        <w:rPr>
          <w:rFonts w:ascii="Times New Roman" w:hAnsi="Times New Roman"/>
          <w:i/>
          <w:iCs/>
        </w:rPr>
        <w:t xml:space="preserve"> ( Dealer Support, Inspiring Success, Oct. 20, 2025). </w:t>
      </w:r>
    </w:p>
    <w:p w14:paraId="7D0B1F9F" w14:textId="77777777" w:rsidR="00B970AE" w:rsidRDefault="00A73925">
      <w:r>
        <w:rPr>
          <w:rFonts w:ascii="Times New Roman" w:hAnsi="Times New Roman"/>
        </w:rPr>
        <w:t xml:space="preserve">Both Kotter’s 8-Step Model and Lewin’s 3-Step Model remain foundational frameworks extensively employed in understanding organisational change. Kotter emphasises a leadership-driven, chronological process, while Lewin presents a straightforward "unfreeze - change - refreeze" model </w:t>
      </w:r>
      <w:r>
        <w:rPr>
          <w:rFonts w:ascii="Times New Roman" w:hAnsi="Times New Roman"/>
          <w:i/>
          <w:iCs/>
        </w:rPr>
        <w:t xml:space="preserve">(Kotter 2012; Burnes &amp; </w:t>
      </w:r>
      <w:proofErr w:type="spellStart"/>
      <w:r>
        <w:rPr>
          <w:rFonts w:ascii="Times New Roman" w:hAnsi="Times New Roman"/>
          <w:i/>
          <w:iCs/>
        </w:rPr>
        <w:t>Bargal</w:t>
      </w:r>
      <w:proofErr w:type="spellEnd"/>
      <w:r>
        <w:rPr>
          <w:rFonts w:ascii="Times New Roman" w:hAnsi="Times New Roman"/>
          <w:i/>
          <w:iCs/>
        </w:rPr>
        <w:t xml:space="preserve"> 2017). </w:t>
      </w:r>
      <w:r>
        <w:rPr>
          <w:rFonts w:ascii="Times New Roman" w:hAnsi="Times New Roman"/>
        </w:rPr>
        <w:t xml:space="preserve">In comparison to traditional models, more modern frameworks broaden the understanding of change by emphasising organisational alignment, individual adoption, and the emotional and behavioural responses associated with transitions </w:t>
      </w:r>
      <w:r>
        <w:rPr>
          <w:rFonts w:ascii="Times New Roman" w:hAnsi="Times New Roman"/>
          <w:i/>
          <w:iCs/>
        </w:rPr>
        <w:t xml:space="preserve">(Aronowitz, De Smet &amp; McGinty 2015; Hiatt 2020). </w:t>
      </w:r>
      <w:r>
        <w:rPr>
          <w:rFonts w:ascii="Times New Roman" w:hAnsi="Times New Roman"/>
        </w:rPr>
        <w:t xml:space="preserve">These contemporary methods such as the McKinsey 7-S Framework, ADKAR, Nudge Theory, transition and change-curve models, and resistance-to-change perspectives explore aspects that Kotter and Lewin only briefly mention, including psychological responses, cultural factors, and behavioural nudges that influence readiness for change. Furthermore, continuous improvement frameworks such as PDCA underscore iterative learning instead of linear progression, providing a contrasting perspective on how organisations develop over time </w:t>
      </w:r>
      <w:r>
        <w:rPr>
          <w:rFonts w:ascii="Times New Roman" w:hAnsi="Times New Roman"/>
          <w:i/>
          <w:iCs/>
        </w:rPr>
        <w:t>(Antony, 2021).</w:t>
      </w:r>
      <w:r>
        <w:rPr>
          <w:rFonts w:ascii="Times New Roman" w:hAnsi="Times New Roman"/>
        </w:rPr>
        <w:t xml:space="preserve"> Overall, although Kotter and Lewin establish robust structural foundations, contemporary models enhance change management by integrating more profound insights into alignment, behaviour, emotion, and ongoing improvement.</w:t>
      </w:r>
    </w:p>
    <w:p w14:paraId="7D0B1FA0" w14:textId="77777777" w:rsidR="00B970AE" w:rsidRDefault="00B970AE">
      <w:pPr>
        <w:rPr>
          <w:rFonts w:ascii="Times New Roman" w:hAnsi="Times New Roman"/>
        </w:rPr>
      </w:pPr>
    </w:p>
    <w:p w14:paraId="7D0B1FA1" w14:textId="77777777" w:rsidR="00B970AE" w:rsidRDefault="00B970AE">
      <w:pPr>
        <w:rPr>
          <w:rFonts w:ascii="Times New Roman" w:hAnsi="Times New Roman"/>
        </w:rPr>
      </w:pPr>
    </w:p>
    <w:p w14:paraId="7D0B1FA2" w14:textId="77777777" w:rsidR="00B970AE" w:rsidRDefault="00A73925">
      <w:pPr>
        <w:pStyle w:val="Heading1"/>
        <w:rPr>
          <w:rFonts w:ascii="Times New Roman" w:hAnsi="Times New Roman"/>
          <w:sz w:val="32"/>
          <w:szCs w:val="32"/>
        </w:rPr>
      </w:pPr>
      <w:bookmarkStart w:id="1" w:name="_Toc215658932"/>
      <w:r>
        <w:rPr>
          <w:rFonts w:ascii="Times New Roman" w:hAnsi="Times New Roman"/>
          <w:sz w:val="32"/>
          <w:szCs w:val="32"/>
        </w:rPr>
        <w:lastRenderedPageBreak/>
        <w:t>Experience 1- digitalisation</w:t>
      </w:r>
      <w:bookmarkEnd w:id="1"/>
    </w:p>
    <w:p w14:paraId="7D0B1FA3" w14:textId="77777777" w:rsidR="00B970AE" w:rsidRDefault="00B970AE">
      <w:pPr>
        <w:rPr>
          <w:rFonts w:ascii="Times New Roman" w:hAnsi="Times New Roman"/>
        </w:rPr>
      </w:pPr>
    </w:p>
    <w:p w14:paraId="7D0B1FA4" w14:textId="77777777" w:rsidR="00B970AE" w:rsidRDefault="00A73925">
      <w:pPr>
        <w:pStyle w:val="Subtitle"/>
        <w:rPr>
          <w:rFonts w:ascii="Times New Roman" w:hAnsi="Times New Roman"/>
          <w:b/>
          <w:bCs/>
          <w:sz w:val="24"/>
          <w:szCs w:val="24"/>
        </w:rPr>
      </w:pPr>
      <w:r>
        <w:rPr>
          <w:rFonts w:ascii="Times New Roman" w:hAnsi="Times New Roman"/>
          <w:b/>
          <w:bCs/>
          <w:sz w:val="24"/>
          <w:szCs w:val="24"/>
        </w:rPr>
        <w:t xml:space="preserve">Kotter’s Model </w:t>
      </w:r>
    </w:p>
    <w:p w14:paraId="7D0B1FA5" w14:textId="515B8D56" w:rsidR="00B970AE" w:rsidRDefault="00A73925">
      <w:pPr>
        <w:rPr>
          <w:rFonts w:ascii="Times New Roman" w:hAnsi="Times New Roman"/>
        </w:rPr>
      </w:pPr>
      <w:r>
        <w:rPr>
          <w:rFonts w:ascii="Times New Roman" w:hAnsi="Times New Roman"/>
        </w:rPr>
        <w:t>Reflecting on the digitalisation process within our department (C6E, Royal Gwent Hospital, Newport) in 2020, I acknowledge that although the transition faced numerous challenges, it represented a successful organisational transformation. During that period, transitioning from paper-based documentation to digital systems appeared daunting, primarily because of the limited availability of iPads, inadequate staff training, and unreliable Wi-Fi connectivity. These challenges often interrupted our workflow, and during scheduled system maintenance, we needed to temporarily revert to paper documentation, which led to additional confusion Although I was not aware of it at the time, our managers and the IT department were adhering to fundamental principles of Kotter’s Change Management Model throughout this process.</w:t>
      </w:r>
      <w:r>
        <w:rPr>
          <w:rFonts w:ascii="Times New Roman" w:hAnsi="Times New Roman"/>
        </w:rPr>
        <w:br/>
      </w:r>
      <w:r>
        <w:rPr>
          <w:rFonts w:ascii="Times New Roman" w:hAnsi="Times New Roman"/>
        </w:rPr>
        <w:br/>
        <w:t>Although Lewin’s model is frequently utilised in organisational change, I believe that Kotter’s framework more precisely aligns with the approach demonstrated in our experience. The digitalisation program covered several phases, substantial technological enhancements, and the deployment of multiple new systems within a concentrated time limit. This created the modification significantly more complex than Lewin’s straightforward unfreeze–change–refreeze framework. Instead, the organisation seemed to adopt Kotter’s more comprehensive eight-step approach, which is more appropriate for extensive, multi-tiered transformations.</w:t>
      </w:r>
      <w:r>
        <w:rPr>
          <w:rFonts w:ascii="Times New Roman" w:hAnsi="Times New Roman"/>
        </w:rPr>
        <w:br/>
        <w:t xml:space="preserve">The sense of urgency was established promptly when our manager notified us that ABUHB was two years </w:t>
      </w:r>
      <w:r w:rsidR="004460C0">
        <w:rPr>
          <w:rFonts w:ascii="Times New Roman" w:hAnsi="Times New Roman"/>
        </w:rPr>
        <w:t>lagging</w:t>
      </w:r>
      <w:r>
        <w:rPr>
          <w:rFonts w:ascii="Times New Roman" w:hAnsi="Times New Roman"/>
        </w:rPr>
        <w:t xml:space="preserve"> Bristol Hospital in implementing digital systems. This underscored the urgent necessity for modernisation, particularly in the post-COVID era when streamlined digital procedures have become progressively vital. A robust guiding coalition including management, information technology personnel, senior nurses, and nurse educators provided support to staff throughout the change process. The vision for transitioning towards a more efficient, digital system aligned with government expectations was clearly articulated and consistently reinforced.</w:t>
      </w:r>
      <w:r>
        <w:rPr>
          <w:rFonts w:ascii="Times New Roman" w:hAnsi="Times New Roman"/>
        </w:rPr>
        <w:br/>
      </w:r>
      <w:r>
        <w:rPr>
          <w:rFonts w:ascii="Times New Roman" w:hAnsi="Times New Roman"/>
        </w:rPr>
        <w:br/>
        <w:t>As the program advanced, obstacles such as insufficient equipment and inadequate training were progressively overcome, in accordance with Kotter’s step of eliminating barriers. Over time, staff members grew progressively more proficient in utilising iPads, WNCR, Care Flow, and the Omnicell system. With ongoing support and guidance, these digital tools are progressively incorporated into our daily routines.</w:t>
      </w:r>
      <w:r>
        <w:rPr>
          <w:rFonts w:ascii="Times New Roman" w:hAnsi="Times New Roman"/>
        </w:rPr>
        <w:br/>
      </w:r>
      <w:r>
        <w:rPr>
          <w:rFonts w:ascii="Times New Roman" w:hAnsi="Times New Roman"/>
        </w:rPr>
        <w:br/>
        <w:t>The most compelling evidence of the successful implementation of the change is the complete integration of digital documentation into the culture of our ward. Today, the utilisation of iPads and digital applications appears entirely standard and effective, to the point that returning to paper during maintenance periods seems unfamiliar. This indicates that the change has been maintained and accepted by the team, in accordance with Kotter’s final phase of embedding new practices into the organisational culture.</w:t>
      </w:r>
      <w:r>
        <w:rPr>
          <w:rFonts w:ascii="Times New Roman" w:hAnsi="Times New Roman"/>
        </w:rPr>
        <w:br/>
      </w:r>
      <w:r>
        <w:rPr>
          <w:rFonts w:ascii="Times New Roman" w:hAnsi="Times New Roman"/>
        </w:rPr>
        <w:lastRenderedPageBreak/>
        <w:br/>
        <w:t>Overall, despite the challenges encountered during the digitalisation process, it successfully attained its intended objectives. Our department has effectively transitioned to a digital, paperless system that improves efficiency and promotes safer, more uniform patient care. Understanding Kotter’s model has enabled me to recognise the organised and methodical framework underlying the transition and to understand why the change was successful from both practical and theoretical standpoints.</w:t>
      </w:r>
    </w:p>
    <w:p w14:paraId="7D0B1FA6" w14:textId="77777777" w:rsidR="00B970AE" w:rsidRDefault="00B970AE">
      <w:pPr>
        <w:rPr>
          <w:rFonts w:ascii="Times New Roman" w:hAnsi="Times New Roman"/>
        </w:rPr>
      </w:pPr>
    </w:p>
    <w:p w14:paraId="7D0B1FA7" w14:textId="77777777" w:rsidR="00B970AE" w:rsidRDefault="00A73925">
      <w:pPr>
        <w:pStyle w:val="Heading1"/>
        <w:rPr>
          <w:rFonts w:ascii="Times New Roman" w:hAnsi="Times New Roman"/>
          <w:sz w:val="32"/>
          <w:szCs w:val="32"/>
        </w:rPr>
      </w:pPr>
      <w:bookmarkStart w:id="2" w:name="_Toc215658933"/>
      <w:r>
        <w:rPr>
          <w:rFonts w:ascii="Times New Roman" w:hAnsi="Times New Roman"/>
          <w:sz w:val="32"/>
          <w:szCs w:val="32"/>
        </w:rPr>
        <w:t xml:space="preserve">Experience 2 – changing department </w:t>
      </w:r>
      <w:bookmarkEnd w:id="2"/>
      <w:r>
        <w:rPr>
          <w:rFonts w:ascii="Times New Roman" w:hAnsi="Times New Roman"/>
          <w:sz w:val="32"/>
          <w:szCs w:val="32"/>
        </w:rPr>
        <w:t xml:space="preserve">specialty. </w:t>
      </w:r>
    </w:p>
    <w:p w14:paraId="7D0B1FA8" w14:textId="77777777" w:rsidR="00B970AE" w:rsidRDefault="00A73925">
      <w:pPr>
        <w:pStyle w:val="Subtitle"/>
        <w:rPr>
          <w:rFonts w:ascii="Times New Roman" w:hAnsi="Times New Roman"/>
          <w:b/>
          <w:bCs/>
          <w:sz w:val="24"/>
          <w:szCs w:val="24"/>
        </w:rPr>
      </w:pPr>
      <w:r>
        <w:rPr>
          <w:rFonts w:ascii="Times New Roman" w:hAnsi="Times New Roman"/>
          <w:b/>
          <w:bCs/>
          <w:sz w:val="24"/>
          <w:szCs w:val="24"/>
        </w:rPr>
        <w:t>Lewin Model</w:t>
      </w:r>
    </w:p>
    <w:p w14:paraId="7D0B1FA9" w14:textId="77777777" w:rsidR="00B970AE" w:rsidRDefault="00A73925">
      <w:pPr>
        <w:rPr>
          <w:rFonts w:ascii="Times New Roman" w:hAnsi="Times New Roman"/>
        </w:rPr>
      </w:pPr>
      <w:r>
        <w:rPr>
          <w:rFonts w:ascii="Times New Roman" w:hAnsi="Times New Roman"/>
        </w:rPr>
        <w:t>At the Aneurin Bevan University Health Board, Royal Gwent Hospital, my department underwent major changes about five years ago. Looking back, it is evident that the organisation rushed into Lewin's Change Model instead of Kotter's 8-Step Model, which would have been better suited to such a massive and complicated transformation. Many of us felt unsupported, anxious, and confused because the "unfreezing" stage was rushed through without enough communication regarding the goal, rationale, or plans for relocation, rather than taking the time to create awareness or prepare workers for change. Despite my personal circumstances and the need to stay close to my son's school due to his previous medical emergency, I felt so much stress during meetings with HR to relocate to Grange University Hospital, which had opened on 17 November 2020. Reduced personnel levels, a lack of training, skill loss, and inadequate equipment caused unsafe situations for both staff and vulnerable elderly patients, adding to the chaos of the "change" period. Staff members were uncertain about their new duties, specialities, and expectations. Finally, the "refreezing" phase was never really accomplished; the division is still having trouble, and the company is thinking about sending patients back to Royal Gwent Hospital, so clearly the change was not properly embedded. The process was poor managed and failed because it did not adhere to Kotter's essential steps, which included communication, involvement, and empowerment, even if the change had been achieved.</w:t>
      </w:r>
    </w:p>
    <w:p w14:paraId="7D0B1FAA" w14:textId="77777777" w:rsidR="00B970AE" w:rsidRDefault="00A73925">
      <w:pPr>
        <w:rPr>
          <w:rFonts w:ascii="Times New Roman" w:hAnsi="Times New Roman"/>
        </w:rPr>
      </w:pPr>
      <w:r>
        <w:rPr>
          <w:rFonts w:ascii="Times New Roman" w:hAnsi="Times New Roman"/>
        </w:rPr>
        <w:t>If I oversee this transition, I will use a structured, people-centred strategy. Given that this is an external change caused by the opening of a new hospital, I would place a high priority on effective communication, making sure that staff members are aware of the goals, advantages, and expectations of the relocation. To address issues without putting undue pressure on them, I would offer frequent updates, conversation opportunities, and active assistance. I would promote involvement by cooperatively and sympathetically promoting the benefits while honouring individual circumstances. I would use Kotter's 8-Step Model to organise the process, emphasising the development of a common vision, giving employees the freedom to take responsibility, and successfully integrating the change. By using this strategy, the organisation would be better positioned to sustain high-quality patient care during the transition, workers would feel encouraged and involved, and the shift would go more smoothly.</w:t>
      </w:r>
    </w:p>
    <w:p w14:paraId="7D0B1FAB" w14:textId="77777777" w:rsidR="00B970AE" w:rsidRDefault="00A73925">
      <w:pPr>
        <w:pStyle w:val="Heading1"/>
        <w:rPr>
          <w:rFonts w:ascii="Times New Roman" w:hAnsi="Times New Roman"/>
          <w:sz w:val="32"/>
          <w:szCs w:val="32"/>
        </w:rPr>
      </w:pPr>
      <w:bookmarkStart w:id="3" w:name="_Toc215658934"/>
      <w:r>
        <w:rPr>
          <w:rFonts w:ascii="Times New Roman" w:hAnsi="Times New Roman"/>
          <w:sz w:val="32"/>
          <w:szCs w:val="32"/>
        </w:rPr>
        <w:lastRenderedPageBreak/>
        <w:t>Conclusion</w:t>
      </w:r>
      <w:bookmarkEnd w:id="3"/>
    </w:p>
    <w:p w14:paraId="7D0B1FAC" w14:textId="77777777" w:rsidR="00B970AE" w:rsidRDefault="00B970AE">
      <w:pPr>
        <w:rPr>
          <w:rFonts w:ascii="Times New Roman" w:hAnsi="Times New Roman"/>
        </w:rPr>
      </w:pPr>
    </w:p>
    <w:p w14:paraId="7D0B1FAD" w14:textId="77777777" w:rsidR="00B970AE" w:rsidRDefault="00A73925">
      <w:pPr>
        <w:rPr>
          <w:rFonts w:ascii="Times New Roman" w:hAnsi="Times New Roman"/>
        </w:rPr>
      </w:pPr>
      <w:r>
        <w:rPr>
          <w:rFonts w:ascii="Times New Roman" w:hAnsi="Times New Roman"/>
        </w:rPr>
        <w:t>Reflecting on both situations reveals that the effectiveness of organisational transformation is heavily reliant on the leadership approach, communication clarity, and quality of support provided to employees. My initial experience with digitalisation demonstrated how well-structured change, guided by a comprehensive framework like Kotter's Eight-Step Model, can result in positive, long-term transformation. Despite the initial hurdles of limited equipment, technical issues, and steep learning curves, the presence of a shared vision, strong leadership, cross-departmental teamwork, and continued support allowed the change to be successfully implemented into our everyday practice. This supported the notion that when employees feel trained, active, and encouraged, they are more likely to embrace change and gain confidence in new ways of working.</w:t>
      </w:r>
      <w:r>
        <w:rPr>
          <w:rFonts w:ascii="Times New Roman" w:hAnsi="Times New Roman"/>
        </w:rPr>
        <w:br/>
        <w:t>In contrast, the shift in our department's speciality exemplified the implications of poorly planned and communicated organisational changes. Using Lewin's Change Model to reflect on this process reveals that the unfreezing stage was never successfully completed since personnel were not appropriately instructed, consulted, or comforted. Uncertainty, skill loss, reduced staffing, incorrect patient placements, and mismatched resources all had a severe impact on morale and patient care throughout the transition period. Because the refreezing stage was never completed, the department struggled to stabilise, and the change failed to achieve the desired results.</w:t>
      </w:r>
      <w:r>
        <w:rPr>
          <w:rFonts w:ascii="Times New Roman" w:hAnsi="Times New Roman"/>
        </w:rPr>
        <w:br/>
        <w:t>These experiences highlight the importance of purposeful, inclusive change in healthcare, which is supported by clear communication, enough resources, and strong leadership. Change models like Kotter's and Lewin's provide useful framework, but their efficacy is dependent on how well they are implemented in practice. Change may improve both staff well-being and patient safety when healthcare businesses promote employee engagement and effective planning. However, if these aspects are overlooked, change can result in instability, frustration, and a decline in quality of care. These observations have helped me realise the crucial role that leadership and communication play in driving successful change in healthcare settings.</w:t>
      </w:r>
    </w:p>
    <w:p w14:paraId="7D0B1FAE" w14:textId="77777777" w:rsidR="00B970AE" w:rsidRDefault="00B970AE">
      <w:pPr>
        <w:rPr>
          <w:rFonts w:ascii="Times New Roman" w:hAnsi="Times New Roman"/>
        </w:rPr>
      </w:pPr>
    </w:p>
    <w:p w14:paraId="7D0B1FAF" w14:textId="77777777" w:rsidR="00B970AE" w:rsidRDefault="00B970AE">
      <w:pPr>
        <w:pageBreakBefore/>
        <w:suppressAutoHyphens w:val="0"/>
        <w:rPr>
          <w:rFonts w:ascii="Times New Roman" w:hAnsi="Times New Roman"/>
        </w:rPr>
      </w:pPr>
    </w:p>
    <w:p w14:paraId="7D0B1FB0" w14:textId="77777777" w:rsidR="00B970AE" w:rsidRDefault="00A73925">
      <w:pPr>
        <w:pStyle w:val="Heading1"/>
        <w:rPr>
          <w:rFonts w:ascii="Times New Roman" w:hAnsi="Times New Roman"/>
          <w:sz w:val="32"/>
          <w:szCs w:val="32"/>
        </w:rPr>
      </w:pPr>
      <w:bookmarkStart w:id="4" w:name="_Toc215658935"/>
      <w:r>
        <w:rPr>
          <w:rFonts w:ascii="Times New Roman" w:hAnsi="Times New Roman"/>
          <w:sz w:val="32"/>
          <w:szCs w:val="32"/>
        </w:rPr>
        <w:t>References</w:t>
      </w:r>
      <w:bookmarkEnd w:id="4"/>
    </w:p>
    <w:p w14:paraId="7D0B1FB1" w14:textId="77777777" w:rsidR="00B970AE" w:rsidRDefault="00B970AE">
      <w:pPr>
        <w:rPr>
          <w:rFonts w:ascii="Times New Roman" w:hAnsi="Times New Roman"/>
        </w:rPr>
      </w:pPr>
    </w:p>
    <w:p w14:paraId="7D0B1FB2" w14:textId="77777777" w:rsidR="00B970AE" w:rsidRDefault="00A73925">
      <w:pPr>
        <w:pStyle w:val="ListParagraph"/>
        <w:numPr>
          <w:ilvl w:val="0"/>
          <w:numId w:val="1"/>
        </w:numPr>
        <w:rPr>
          <w:rFonts w:ascii="Times New Roman" w:hAnsi="Times New Roman"/>
        </w:rPr>
      </w:pPr>
      <w:r>
        <w:rPr>
          <w:rFonts w:ascii="Times New Roman" w:hAnsi="Times New Roman"/>
        </w:rPr>
        <w:t>M. Kane, T. Whittlestone, and North Bristol NHS Trust, “Extended Digital Strategy 2023-2025.” (Accessed on 02/12/2025).</w:t>
      </w:r>
    </w:p>
    <w:p w14:paraId="7D0B1FB3" w14:textId="77777777" w:rsidR="00B970AE" w:rsidRDefault="00A73925">
      <w:pPr>
        <w:pStyle w:val="ListParagraph"/>
        <w:numPr>
          <w:ilvl w:val="0"/>
          <w:numId w:val="1"/>
        </w:numPr>
        <w:rPr>
          <w:rFonts w:ascii="Times New Roman" w:hAnsi="Times New Roman"/>
        </w:rPr>
      </w:pPr>
      <w:r>
        <w:rPr>
          <w:rFonts w:ascii="Times New Roman" w:hAnsi="Times New Roman"/>
        </w:rPr>
        <w:t>NHS England (2022) Leading change in practice: Supporting staff through transformation. NHS England. Available at: https://www.england.nhs.uk/ (Accessed: 03/12/2025).</w:t>
      </w:r>
    </w:p>
    <w:p w14:paraId="7D0B1FB4" w14:textId="77777777" w:rsidR="00B970AE" w:rsidRDefault="00A73925">
      <w:pPr>
        <w:pStyle w:val="ListParagraph"/>
        <w:numPr>
          <w:ilvl w:val="0"/>
          <w:numId w:val="1"/>
        </w:numPr>
        <w:rPr>
          <w:rFonts w:ascii="Times New Roman" w:hAnsi="Times New Roman"/>
        </w:rPr>
      </w:pPr>
      <w:r>
        <w:rPr>
          <w:rFonts w:ascii="Times New Roman" w:hAnsi="Times New Roman"/>
        </w:rPr>
        <w:t>West, M., Bailey, S., Williams, E., &amp; The King's Fund (2020) The courage of compassion: Supporting nurses and midwives to deliver high-quality care. London: The King’s Fund.</w:t>
      </w:r>
    </w:p>
    <w:p w14:paraId="7D0B1FB5" w14:textId="77777777" w:rsidR="00B970AE" w:rsidRDefault="00A73925">
      <w:pPr>
        <w:pStyle w:val="ListParagraph"/>
        <w:numPr>
          <w:ilvl w:val="0"/>
          <w:numId w:val="1"/>
        </w:numPr>
      </w:pPr>
      <w:bookmarkStart w:id="5" w:name="_Int_KfHGhcUZ"/>
      <w:r>
        <w:rPr>
          <w:rFonts w:ascii="Times New Roman" w:hAnsi="Times New Roman"/>
        </w:rPr>
        <w:t>“New digital systems to revolutionise the delivery of care to hospital patients in Aneurin Bevan University Health Board,” Digital Health and Care Wales.</w:t>
      </w:r>
      <w:bookmarkEnd w:id="5"/>
      <w:r>
        <w:rPr>
          <w:rFonts w:ascii="Times New Roman" w:hAnsi="Times New Roman"/>
        </w:rPr>
        <w:t xml:space="preserve"> Available: </w:t>
      </w:r>
      <w:hyperlink r:id="rId9" w:history="1">
        <w:r>
          <w:rPr>
            <w:rStyle w:val="Hyperlink"/>
            <w:rFonts w:ascii="Times New Roman" w:hAnsi="Times New Roman"/>
          </w:rPr>
          <w:t>https://dhcw.nhs.wales/news/latest-news/new-digital-systems-to-revolutionise-the-delivery-of-care-to-hospital-patients-in-aneurin-bevan-university-health-board/</w:t>
        </w:r>
      </w:hyperlink>
      <w:r>
        <w:rPr>
          <w:rFonts w:ascii="Times New Roman" w:hAnsi="Times New Roman"/>
        </w:rPr>
        <w:t>. (Accessed on 03/12/2025).</w:t>
      </w:r>
    </w:p>
    <w:p w14:paraId="7D0B1FB6" w14:textId="77777777" w:rsidR="00B970AE" w:rsidRDefault="00A73925">
      <w:pPr>
        <w:pStyle w:val="ListParagraph"/>
        <w:numPr>
          <w:ilvl w:val="0"/>
          <w:numId w:val="1"/>
        </w:numPr>
      </w:pPr>
      <w:bookmarkStart w:id="6" w:name="_Hlk215693205"/>
      <w:r>
        <w:rPr>
          <w:rFonts w:ascii="Times New Roman" w:hAnsi="Times New Roman"/>
        </w:rPr>
        <w:t>L. Graves et al</w:t>
      </w:r>
      <w:bookmarkEnd w:id="6"/>
      <w:r>
        <w:rPr>
          <w:rFonts w:ascii="Times New Roman" w:hAnsi="Times New Roman"/>
        </w:rPr>
        <w:t xml:space="preserve">., “Creating change: Kotter’s Change Management Model in action,” Canadian Medical Education Journal, vol. 14, no. 3, pp. 136–139, Apr. 2023, Doi: 10.36834/cmej.76680. Available: </w:t>
      </w:r>
      <w:hyperlink r:id="rId10" w:history="1">
        <w:r>
          <w:rPr>
            <w:rStyle w:val="Hyperlink"/>
            <w:rFonts w:ascii="Times New Roman" w:hAnsi="Times New Roman"/>
          </w:rPr>
          <w:t>https://pmc.ncbi.nlm.nih.gov/articles/PMC10351637/</w:t>
        </w:r>
      </w:hyperlink>
      <w:r>
        <w:rPr>
          <w:rFonts w:ascii="Times New Roman" w:hAnsi="Times New Roman"/>
        </w:rPr>
        <w:t>.( Accessed on 01/12/2025).</w:t>
      </w:r>
    </w:p>
    <w:p w14:paraId="7D0B1FB7" w14:textId="77777777" w:rsidR="00B970AE" w:rsidRDefault="00A73925">
      <w:pPr>
        <w:pStyle w:val="ListParagraph"/>
        <w:numPr>
          <w:ilvl w:val="0"/>
          <w:numId w:val="1"/>
        </w:numPr>
      </w:pPr>
      <w:r>
        <w:rPr>
          <w:rFonts w:ascii="Times New Roman" w:hAnsi="Times New Roman"/>
        </w:rPr>
        <w:t xml:space="preserve">P. Gillen, “Lewin's Change Management Model Explained - Instep,” Instep, Aug. 28, 2025. Available: </w:t>
      </w:r>
      <w:hyperlink r:id="rId11" w:anchor=":~:text=Despite%20being%20over%2080%20years,perfectly%20with%20modern%20leadership%20challenges" w:history="1">
        <w:r>
          <w:rPr>
            <w:rStyle w:val="Hyperlink"/>
            <w:rFonts w:ascii="Times New Roman" w:hAnsi="Times New Roman"/>
          </w:rPr>
          <w:t>https://instepuk.com/article/lewins-change-management-model/#:~:text=Despite%20being%20over%2080%20years,perfectly%20with%20modern%20leadership%20challenges</w:t>
        </w:r>
      </w:hyperlink>
      <w:r>
        <w:rPr>
          <w:rFonts w:ascii="Times New Roman" w:hAnsi="Times New Roman"/>
        </w:rPr>
        <w:t>. (Accessed on 03/12/2025).</w:t>
      </w:r>
    </w:p>
    <w:p w14:paraId="7D0B1FB8" w14:textId="77777777" w:rsidR="00B970AE" w:rsidRDefault="00A73925">
      <w:pPr>
        <w:pStyle w:val="ListParagraph"/>
        <w:numPr>
          <w:ilvl w:val="0"/>
          <w:numId w:val="1"/>
        </w:numPr>
      </w:pPr>
      <w:r>
        <w:rPr>
          <w:rFonts w:ascii="Times New Roman" w:hAnsi="Times New Roman"/>
        </w:rPr>
        <w:t xml:space="preserve">“Digital and data strategy for health and social care in Wales [HTML] | GOV.WALES,” GOV.WALES, Jul. 27, 2023. Available: </w:t>
      </w:r>
      <w:hyperlink r:id="rId12" w:history="1">
        <w:r>
          <w:rPr>
            <w:rStyle w:val="Hyperlink"/>
            <w:rFonts w:ascii="Times New Roman" w:hAnsi="Times New Roman"/>
          </w:rPr>
          <w:t>https://www.gov.wales/digital-and-data-strategy-health-and-social-care-wales-html</w:t>
        </w:r>
      </w:hyperlink>
      <w:r>
        <w:rPr>
          <w:rFonts w:ascii="Times New Roman" w:hAnsi="Times New Roman"/>
        </w:rPr>
        <w:t>.  (Accessed on 03/12/2025).</w:t>
      </w:r>
    </w:p>
    <w:p w14:paraId="7D0B1FB9" w14:textId="77777777" w:rsidR="00B970AE" w:rsidRDefault="00A73925">
      <w:pPr>
        <w:pStyle w:val="ListParagraph"/>
        <w:numPr>
          <w:ilvl w:val="0"/>
          <w:numId w:val="1"/>
        </w:numPr>
      </w:pPr>
      <w:r>
        <w:rPr>
          <w:rFonts w:ascii="Times New Roman" w:hAnsi="Times New Roman"/>
        </w:rPr>
        <w:t xml:space="preserve">“Top 10 change management models: a comparison guide,” Zendesk, Oct. 21, 2025. Available: </w:t>
      </w:r>
      <w:hyperlink r:id="rId13" w:history="1">
        <w:r>
          <w:rPr>
            <w:rStyle w:val="Hyperlink"/>
            <w:rFonts w:ascii="Times New Roman" w:hAnsi="Times New Roman"/>
          </w:rPr>
          <w:t>https://www.zendesk.co.uk/blog/change-management-models/</w:t>
        </w:r>
      </w:hyperlink>
      <w:r>
        <w:rPr>
          <w:rFonts w:ascii="Times New Roman" w:hAnsi="Times New Roman"/>
        </w:rPr>
        <w:t>. (Accessed on 03/12/2025).</w:t>
      </w:r>
    </w:p>
    <w:p w14:paraId="7D0B1FBA" w14:textId="77777777" w:rsidR="00B970AE" w:rsidRDefault="00A73925">
      <w:pPr>
        <w:pStyle w:val="ListParagraph"/>
        <w:numPr>
          <w:ilvl w:val="0"/>
          <w:numId w:val="1"/>
        </w:numPr>
      </w:pPr>
      <w:r>
        <w:rPr>
          <w:rFonts w:ascii="Times New Roman" w:hAnsi="Times New Roman"/>
        </w:rPr>
        <w:t xml:space="preserve">L. Stanz, S. Silverstein, D. Vo, and J. Thompson, “Leading through rapid change management,” Hospital Pharmacy, vol. 57, no. 4, pp. 422–424, Sep. 2021, Doi: 10.1177/00185787211046855. Available: </w:t>
      </w:r>
      <w:hyperlink r:id="rId14" w:history="1">
        <w:r>
          <w:rPr>
            <w:rStyle w:val="Hyperlink"/>
            <w:rFonts w:ascii="Times New Roman" w:hAnsi="Times New Roman"/>
          </w:rPr>
          <w:t>https://pmc.ncbi.nlm.nih.gov/articles/PMC9310300/</w:t>
        </w:r>
      </w:hyperlink>
      <w:r>
        <w:rPr>
          <w:rFonts w:ascii="Times New Roman" w:hAnsi="Times New Roman"/>
        </w:rPr>
        <w:t>. (Accessed on 03/12/2025).</w:t>
      </w:r>
    </w:p>
    <w:p w14:paraId="7D0B1FBB" w14:textId="77777777" w:rsidR="00B970AE" w:rsidRDefault="00A73925">
      <w:pPr>
        <w:pStyle w:val="ListParagraph"/>
        <w:numPr>
          <w:ilvl w:val="0"/>
          <w:numId w:val="1"/>
        </w:numPr>
      </w:pPr>
      <w:r>
        <w:rPr>
          <w:rFonts w:ascii="Times New Roman" w:hAnsi="Times New Roman"/>
        </w:rPr>
        <w:t xml:space="preserve">Dealer Support, “Managing Change: Lewin’s Three-Stage Change Model | Dealer support,” </w:t>
      </w:r>
      <w:bookmarkStart w:id="7" w:name="_Hlk215692990"/>
      <w:r>
        <w:rPr>
          <w:rFonts w:ascii="Times New Roman" w:hAnsi="Times New Roman"/>
        </w:rPr>
        <w:t>Dealer Support | Inspiring Success, Oct. 20, 2025</w:t>
      </w:r>
      <w:bookmarkEnd w:id="7"/>
      <w:r>
        <w:rPr>
          <w:rFonts w:ascii="Times New Roman" w:hAnsi="Times New Roman"/>
        </w:rPr>
        <w:t xml:space="preserve">. Available: </w:t>
      </w:r>
      <w:hyperlink r:id="rId15" w:history="1">
        <w:r>
          <w:rPr>
            <w:rStyle w:val="Hyperlink"/>
            <w:rFonts w:ascii="Times New Roman" w:hAnsi="Times New Roman"/>
          </w:rPr>
          <w:t>https://dealersupport.co.uk/managing-change-lewins-three-stage-change-model/</w:t>
        </w:r>
      </w:hyperlink>
      <w:r>
        <w:rPr>
          <w:rFonts w:ascii="Times New Roman" w:hAnsi="Times New Roman"/>
        </w:rPr>
        <w:t>. (Accessed on 03/12/2025).</w:t>
      </w:r>
    </w:p>
    <w:p w14:paraId="7D0B1FBC" w14:textId="77777777" w:rsidR="00B970AE" w:rsidRDefault="00A73925">
      <w:pPr>
        <w:pStyle w:val="ListParagraph"/>
        <w:numPr>
          <w:ilvl w:val="0"/>
          <w:numId w:val="1"/>
        </w:numPr>
      </w:pPr>
      <w:r>
        <w:rPr>
          <w:rFonts w:ascii="Times New Roman" w:hAnsi="Times New Roman"/>
        </w:rPr>
        <w:lastRenderedPageBreak/>
        <w:t xml:space="preserve">“The Grange hospital to open four months early | GOV.WALES,” GOV.WALES, Aug. 27, 2020. Available: </w:t>
      </w:r>
      <w:hyperlink r:id="rId16" w:history="1">
        <w:r>
          <w:rPr>
            <w:rStyle w:val="Hyperlink"/>
            <w:rFonts w:ascii="Times New Roman" w:hAnsi="Times New Roman"/>
          </w:rPr>
          <w:t>https://www.gov.wales/grange-hospital-open-four-months-early?utm_source=chatgpt.com</w:t>
        </w:r>
      </w:hyperlink>
      <w:r>
        <w:rPr>
          <w:rFonts w:ascii="Times New Roman" w:hAnsi="Times New Roman"/>
        </w:rPr>
        <w:t>. (Accessed on 03/12/2025).</w:t>
      </w:r>
    </w:p>
    <w:p w14:paraId="7D0B1FBD" w14:textId="77777777" w:rsidR="00B970AE" w:rsidRDefault="00A73925">
      <w:pPr>
        <w:pStyle w:val="ListParagraph"/>
        <w:numPr>
          <w:ilvl w:val="0"/>
          <w:numId w:val="1"/>
        </w:numPr>
        <w:rPr>
          <w:rFonts w:ascii="Times New Roman" w:hAnsi="Times New Roman"/>
        </w:rPr>
      </w:pPr>
      <w:r>
        <w:rPr>
          <w:rFonts w:ascii="Times New Roman" w:hAnsi="Times New Roman"/>
        </w:rPr>
        <w:t>Antony, J 2021, Lean Six Sigma, and the PDCA cycle: Improving quality and performance in organisations, Routledge, London.</w:t>
      </w:r>
    </w:p>
    <w:p w14:paraId="7D0B1FBE" w14:textId="77777777" w:rsidR="00B970AE" w:rsidRDefault="00A73925">
      <w:pPr>
        <w:pStyle w:val="ListParagraph"/>
        <w:numPr>
          <w:ilvl w:val="0"/>
          <w:numId w:val="1"/>
        </w:numPr>
        <w:rPr>
          <w:rFonts w:ascii="Times New Roman" w:hAnsi="Times New Roman"/>
        </w:rPr>
      </w:pPr>
      <w:r>
        <w:rPr>
          <w:rFonts w:ascii="Times New Roman" w:hAnsi="Times New Roman"/>
        </w:rPr>
        <w:t>Aronowitz, S, De Smet, A &amp; McGinty, D 2015, The 7-S Framework in the digital age, McKinsey &amp; Company, (Accessed date 4/12/2025).</w:t>
      </w:r>
    </w:p>
    <w:p w14:paraId="7D0B1FBF" w14:textId="77777777" w:rsidR="00B970AE" w:rsidRDefault="00A73925">
      <w:pPr>
        <w:pStyle w:val="ListParagraph"/>
        <w:numPr>
          <w:ilvl w:val="0"/>
          <w:numId w:val="1"/>
        </w:numPr>
        <w:rPr>
          <w:rFonts w:ascii="Times New Roman" w:hAnsi="Times New Roman"/>
        </w:rPr>
      </w:pPr>
      <w:r>
        <w:rPr>
          <w:rFonts w:ascii="Times New Roman" w:hAnsi="Times New Roman"/>
        </w:rPr>
        <w:t xml:space="preserve">Bridges, W &amp; Mitchell, S 2016, Managing transitions: Making the most of change, 4th </w:t>
      </w:r>
      <w:proofErr w:type="spellStart"/>
      <w:r>
        <w:rPr>
          <w:rFonts w:ascii="Times New Roman" w:hAnsi="Times New Roman"/>
        </w:rPr>
        <w:t>edn</w:t>
      </w:r>
      <w:proofErr w:type="spellEnd"/>
      <w:r>
        <w:rPr>
          <w:rFonts w:ascii="Times New Roman" w:hAnsi="Times New Roman"/>
        </w:rPr>
        <w:t>, Da Capo Press, Boston.</w:t>
      </w:r>
    </w:p>
    <w:p w14:paraId="7D0B1FC0" w14:textId="77777777" w:rsidR="00B970AE" w:rsidRDefault="00A73925">
      <w:pPr>
        <w:pStyle w:val="ListParagraph"/>
        <w:numPr>
          <w:ilvl w:val="0"/>
          <w:numId w:val="1"/>
        </w:numPr>
        <w:rPr>
          <w:rFonts w:ascii="Times New Roman" w:hAnsi="Times New Roman"/>
        </w:rPr>
      </w:pPr>
      <w:r>
        <w:rPr>
          <w:rFonts w:ascii="Times New Roman" w:hAnsi="Times New Roman"/>
        </w:rPr>
        <w:t xml:space="preserve">Burnes, B &amp; </w:t>
      </w:r>
      <w:proofErr w:type="spellStart"/>
      <w:r>
        <w:rPr>
          <w:rFonts w:ascii="Times New Roman" w:hAnsi="Times New Roman"/>
        </w:rPr>
        <w:t>Bargal</w:t>
      </w:r>
      <w:proofErr w:type="spellEnd"/>
      <w:r>
        <w:rPr>
          <w:rFonts w:ascii="Times New Roman" w:hAnsi="Times New Roman"/>
        </w:rPr>
        <w:t>, D 2017, ‘Kurt Lewin: 70 years on’, Journal of Change Management, vol. 17, no. 2, pp. 91–100.</w:t>
      </w:r>
    </w:p>
    <w:p w14:paraId="7D0B1FC1" w14:textId="77777777" w:rsidR="00B970AE" w:rsidRDefault="00A73925">
      <w:pPr>
        <w:pStyle w:val="ListParagraph"/>
        <w:numPr>
          <w:ilvl w:val="0"/>
          <w:numId w:val="1"/>
        </w:numPr>
        <w:rPr>
          <w:rFonts w:ascii="Times New Roman" w:hAnsi="Times New Roman"/>
        </w:rPr>
      </w:pPr>
      <w:r>
        <w:rPr>
          <w:rFonts w:ascii="Times New Roman" w:hAnsi="Times New Roman"/>
        </w:rPr>
        <w:t xml:space="preserve">Hiatt, J 2020, ADKAR: A model for change in business, government and our community, 2nd </w:t>
      </w:r>
      <w:proofErr w:type="spellStart"/>
      <w:r>
        <w:rPr>
          <w:rFonts w:ascii="Times New Roman" w:hAnsi="Times New Roman"/>
        </w:rPr>
        <w:t>edn</w:t>
      </w:r>
      <w:proofErr w:type="spellEnd"/>
      <w:r>
        <w:rPr>
          <w:rFonts w:ascii="Times New Roman" w:hAnsi="Times New Roman"/>
        </w:rPr>
        <w:t xml:space="preserve">, </w:t>
      </w:r>
      <w:proofErr w:type="spellStart"/>
      <w:r>
        <w:rPr>
          <w:rFonts w:ascii="Times New Roman" w:hAnsi="Times New Roman"/>
        </w:rPr>
        <w:t>Prosci</w:t>
      </w:r>
      <w:proofErr w:type="spellEnd"/>
      <w:r>
        <w:rPr>
          <w:rFonts w:ascii="Times New Roman" w:hAnsi="Times New Roman"/>
        </w:rPr>
        <w:t>, Fort Collins.</w:t>
      </w:r>
    </w:p>
    <w:p w14:paraId="7D0B1FC2" w14:textId="77777777" w:rsidR="00B970AE" w:rsidRDefault="00A73925">
      <w:pPr>
        <w:pStyle w:val="ListParagraph"/>
        <w:numPr>
          <w:ilvl w:val="0"/>
          <w:numId w:val="1"/>
        </w:numPr>
        <w:rPr>
          <w:rFonts w:ascii="Times New Roman" w:hAnsi="Times New Roman"/>
        </w:rPr>
      </w:pPr>
      <w:r>
        <w:rPr>
          <w:rFonts w:ascii="Times New Roman" w:hAnsi="Times New Roman"/>
        </w:rPr>
        <w:t>Kessler, D 2019, Finding meaning: The sixth stage of grief, Scribner, New York.</w:t>
      </w:r>
    </w:p>
    <w:p w14:paraId="7D0B1FC3" w14:textId="77777777" w:rsidR="00B970AE" w:rsidRDefault="00A73925">
      <w:pPr>
        <w:pStyle w:val="ListParagraph"/>
        <w:numPr>
          <w:ilvl w:val="0"/>
          <w:numId w:val="1"/>
        </w:numPr>
        <w:rPr>
          <w:rFonts w:ascii="Times New Roman" w:hAnsi="Times New Roman"/>
        </w:rPr>
      </w:pPr>
      <w:r>
        <w:rPr>
          <w:rFonts w:ascii="Times New Roman" w:hAnsi="Times New Roman"/>
        </w:rPr>
        <w:t xml:space="preserve">Kotter, JP 2012, Leading change, Rev. </w:t>
      </w:r>
      <w:proofErr w:type="spellStart"/>
      <w:r>
        <w:rPr>
          <w:rFonts w:ascii="Times New Roman" w:hAnsi="Times New Roman"/>
        </w:rPr>
        <w:t>edn</w:t>
      </w:r>
      <w:proofErr w:type="spellEnd"/>
      <w:r>
        <w:rPr>
          <w:rFonts w:ascii="Times New Roman" w:hAnsi="Times New Roman"/>
        </w:rPr>
        <w:t>, Harvard Business Review Press, Boston.</w:t>
      </w:r>
    </w:p>
    <w:p w14:paraId="7D0B1FC4" w14:textId="77777777" w:rsidR="00B970AE" w:rsidRDefault="00A73925">
      <w:pPr>
        <w:pStyle w:val="ListParagraph"/>
        <w:numPr>
          <w:ilvl w:val="0"/>
          <w:numId w:val="1"/>
        </w:numPr>
        <w:rPr>
          <w:rFonts w:ascii="Times New Roman" w:hAnsi="Times New Roman"/>
        </w:rPr>
      </w:pPr>
      <w:proofErr w:type="spellStart"/>
      <w:r>
        <w:rPr>
          <w:rFonts w:ascii="Times New Roman" w:hAnsi="Times New Roman"/>
        </w:rPr>
        <w:t>Oreg</w:t>
      </w:r>
      <w:proofErr w:type="spellEnd"/>
      <w:r>
        <w:rPr>
          <w:rFonts w:ascii="Times New Roman" w:hAnsi="Times New Roman"/>
        </w:rPr>
        <w:t>, S, Bartunek, JM &amp; Do, B 2018, ‘An affect-based model of recipients’ responses to organisational change’, Academy of Management Review, vol. 43, no. 1, pp. 65–86.</w:t>
      </w:r>
    </w:p>
    <w:p w14:paraId="7D0B1FC5" w14:textId="77777777" w:rsidR="00B970AE" w:rsidRDefault="00A73925">
      <w:pPr>
        <w:pStyle w:val="ListParagraph"/>
        <w:numPr>
          <w:ilvl w:val="0"/>
          <w:numId w:val="1"/>
        </w:numPr>
        <w:rPr>
          <w:rFonts w:ascii="Times New Roman" w:hAnsi="Times New Roman"/>
        </w:rPr>
      </w:pPr>
      <w:r>
        <w:rPr>
          <w:rFonts w:ascii="Times New Roman" w:hAnsi="Times New Roman"/>
        </w:rPr>
        <w:t xml:space="preserve">Satir, V, </w:t>
      </w:r>
      <w:proofErr w:type="spellStart"/>
      <w:r>
        <w:rPr>
          <w:rFonts w:ascii="Times New Roman" w:hAnsi="Times New Roman"/>
        </w:rPr>
        <w:t>Banmen</w:t>
      </w:r>
      <w:proofErr w:type="spellEnd"/>
      <w:r>
        <w:rPr>
          <w:rFonts w:ascii="Times New Roman" w:hAnsi="Times New Roman"/>
        </w:rPr>
        <w:t xml:space="preserve">, J, Gerber, J &amp; </w:t>
      </w:r>
      <w:proofErr w:type="spellStart"/>
      <w:r>
        <w:rPr>
          <w:rFonts w:ascii="Times New Roman" w:hAnsi="Times New Roman"/>
        </w:rPr>
        <w:t>Gomori</w:t>
      </w:r>
      <w:proofErr w:type="spellEnd"/>
      <w:r>
        <w:rPr>
          <w:rFonts w:ascii="Times New Roman" w:hAnsi="Times New Roman"/>
        </w:rPr>
        <w:t xml:space="preserve">, M 2020, The Satir model: Family therapy and beyond, updated </w:t>
      </w:r>
      <w:proofErr w:type="spellStart"/>
      <w:r>
        <w:rPr>
          <w:rFonts w:ascii="Times New Roman" w:hAnsi="Times New Roman"/>
        </w:rPr>
        <w:t>edn</w:t>
      </w:r>
      <w:proofErr w:type="spellEnd"/>
      <w:r>
        <w:rPr>
          <w:rFonts w:ascii="Times New Roman" w:hAnsi="Times New Roman"/>
        </w:rPr>
        <w:t>, Science and Behaviour Books, Palo Alto.</w:t>
      </w:r>
    </w:p>
    <w:p w14:paraId="7D0B1FC6" w14:textId="77777777" w:rsidR="00B970AE" w:rsidRDefault="00A73925">
      <w:pPr>
        <w:pStyle w:val="ListParagraph"/>
        <w:numPr>
          <w:ilvl w:val="0"/>
          <w:numId w:val="1"/>
        </w:numPr>
        <w:rPr>
          <w:rFonts w:ascii="Times New Roman" w:hAnsi="Times New Roman"/>
        </w:rPr>
      </w:pPr>
      <w:r>
        <w:rPr>
          <w:rFonts w:ascii="Times New Roman" w:hAnsi="Times New Roman"/>
        </w:rPr>
        <w:t>Thaler, RH &amp; Sunstein, CR 2021, Nudge: The final edition, Penguin Books, London.</w:t>
      </w:r>
    </w:p>
    <w:p w14:paraId="7D0B1FC7" w14:textId="77777777" w:rsidR="00B970AE" w:rsidRDefault="00B970AE">
      <w:pPr>
        <w:rPr>
          <w:rFonts w:ascii="Times New Roman" w:hAnsi="Times New Roman"/>
        </w:rPr>
      </w:pPr>
    </w:p>
    <w:sectPr w:rsidR="00B970AE">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E5334" w14:textId="77777777" w:rsidR="00965D83" w:rsidRDefault="00965D83">
      <w:pPr>
        <w:spacing w:after="0" w:line="240" w:lineRule="auto"/>
      </w:pPr>
      <w:r>
        <w:separator/>
      </w:r>
    </w:p>
  </w:endnote>
  <w:endnote w:type="continuationSeparator" w:id="0">
    <w:p w14:paraId="5EB464C6" w14:textId="77777777" w:rsidR="00965D83" w:rsidRDefault="00965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3906A" w14:textId="77777777" w:rsidR="00965D83" w:rsidRDefault="00965D83">
      <w:pPr>
        <w:spacing w:after="0" w:line="240" w:lineRule="auto"/>
      </w:pPr>
      <w:r>
        <w:rPr>
          <w:color w:val="000000"/>
        </w:rPr>
        <w:separator/>
      </w:r>
    </w:p>
  </w:footnote>
  <w:footnote w:type="continuationSeparator" w:id="0">
    <w:p w14:paraId="684E8E68" w14:textId="77777777" w:rsidR="00965D83" w:rsidRDefault="00965D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3C655B"/>
    <w:multiLevelType w:val="multilevel"/>
    <w:tmpl w:val="24B6E4B0"/>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569683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AE"/>
    <w:rsid w:val="004460C0"/>
    <w:rsid w:val="004B3E6E"/>
    <w:rsid w:val="008B2ECA"/>
    <w:rsid w:val="00965D83"/>
    <w:rsid w:val="00A73925"/>
    <w:rsid w:val="00B97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B1F77"/>
  <w15:docId w15:val="{570F2A62-F2E0-4BB3-8EF7-800915A1E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sz w:val="22"/>
      <w:szCs w:val="22"/>
      <w:lang w:val="en-US"/>
    </w:rPr>
  </w:style>
  <w:style w:type="character" w:customStyle="1" w:styleId="NoSpacingChar">
    <w:name w:val="No Spacing Char"/>
    <w:basedOn w:val="DefaultParagraphFont"/>
    <w:rPr>
      <w:rFonts w:eastAsia="Times New Roman"/>
      <w:kern w:val="0"/>
      <w:sz w:val="22"/>
      <w:szCs w:val="22"/>
      <w:lang w:val="en-US"/>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pPr>
      <w:suppressAutoHyphens w:val="0"/>
      <w:spacing w:before="240" w:after="0" w:line="249" w:lineRule="auto"/>
    </w:pPr>
    <w:rPr>
      <w:kern w:val="0"/>
      <w:sz w:val="32"/>
      <w:szCs w:val="32"/>
      <w:lang w:val="en-US"/>
    </w:rPr>
  </w:style>
  <w:style w:type="paragraph" w:styleId="TOC1">
    <w:name w:val="toc 1"/>
    <w:basedOn w:val="Normal"/>
    <w:next w:val="Normal"/>
    <w:autoRedefin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zendesk.co.uk/blog/change-management-model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wales/digital-and-data-strategy-health-and-social-care-wale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wales/grange-hospital-open-four-months-early?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stepuk.com/article/lewins-change-management-model/" TargetMode="External"/><Relationship Id="rId5" Type="http://schemas.openxmlformats.org/officeDocument/2006/relationships/footnotes" Target="footnotes.xml"/><Relationship Id="rId15" Type="http://schemas.openxmlformats.org/officeDocument/2006/relationships/hyperlink" Target="https://dealersupport.co.uk/managing-change-lewins-three-stage-change-model/" TargetMode="External"/><Relationship Id="rId10" Type="http://schemas.openxmlformats.org/officeDocument/2006/relationships/hyperlink" Target="https://pmc.ncbi.nlm.nih.gov/articles/PMC10351637/" TargetMode="External"/><Relationship Id="rId4" Type="http://schemas.openxmlformats.org/officeDocument/2006/relationships/webSettings" Target="webSettings.xml"/><Relationship Id="rId9" Type="http://schemas.openxmlformats.org/officeDocument/2006/relationships/hyperlink" Target="https://dhcw.nhs.wales/news/latest-news/new-digital-systems-to-revolutionise-the-delivery-of-care-to-hospital-patients-in-aneurin-bevan-university-health-board/" TargetMode="External"/><Relationship Id="rId14" Type="http://schemas.openxmlformats.org/officeDocument/2006/relationships/hyperlink" Target="https://pmc.ncbi.nlm.nih.gov/articles/PMC9310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2423</Words>
  <Characters>13815</Characters>
  <Application>Microsoft Office Word</Application>
  <DocSecurity>0</DocSecurity>
  <Lines>115</Lines>
  <Paragraphs>32</Paragraphs>
  <ScaleCrop>false</ScaleCrop>
  <Company/>
  <LinksUpToDate>false</LinksUpToDate>
  <CharactersWithSpaces>16206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change</dc:title>
  <dc:subject>Personal experiences</dc:subject>
  <dc:creator>ioana mihaela</dc:creator>
  <dc:description/>
  <cp:lastModifiedBy>ioana mihaela</cp:lastModifiedBy>
  <cp:revision>3</cp:revision>
  <dcterms:created xsi:type="dcterms:W3CDTF">2025-12-04T22:19:00Z</dcterms:created>
  <dcterms:modified xsi:type="dcterms:W3CDTF">2025-12-04T22:20:00Z</dcterms:modified>
</cp:coreProperties>
</file>