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07249422"/>
        <w:docPartObj>
          <w:docPartGallery w:val="Cover Pages"/>
          <w:docPartUnique/>
        </w:docPartObj>
      </w:sdtPr>
      <w:sdtEndPr>
        <w:rPr>
          <w:rFonts w:eastAsiaTheme="minorHAnsi"/>
          <w:b/>
          <w:bCs/>
          <w:color w:val="auto"/>
          <w:kern w:val="2"/>
          <w:lang w:val="en-VC"/>
          <w14:ligatures w14:val="standardContextual"/>
        </w:rPr>
      </w:sdtEndPr>
      <w:sdtContent>
        <w:p w14:paraId="173FEBE2" w14:textId="570DF28D" w:rsidR="00161627" w:rsidRDefault="00161627">
          <w:pPr>
            <w:pStyle w:val="NoSpacing"/>
            <w:spacing w:before="1540" w:after="240"/>
            <w:jc w:val="center"/>
            <w:rPr>
              <w:color w:val="156082" w:themeColor="accent1"/>
            </w:rPr>
          </w:pPr>
          <w:r>
            <w:rPr>
              <w:noProof/>
              <w:color w:val="156082" w:themeColor="accent1"/>
            </w:rPr>
            <w:drawing>
              <wp:inline distT="0" distB="0" distL="0" distR="0" wp14:anchorId="7A46FA3B" wp14:editId="0FFA98C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4C94D8" w:themeColor="text2" w:themeTint="80"/>
              <w:sz w:val="44"/>
              <w:szCs w:val="44"/>
            </w:rPr>
            <w:alias w:val="Title"/>
            <w:tag w:val=""/>
            <w:id w:val="1735040861"/>
            <w:placeholder>
              <w:docPart w:val="64353C23C3134F4CA7A86091FE7C6A6B"/>
            </w:placeholder>
            <w:dataBinding w:prefixMappings="xmlns:ns0='http://purl.org/dc/elements/1.1/' xmlns:ns1='http://schemas.openxmlformats.org/package/2006/metadata/core-properties' " w:xpath="/ns1:coreProperties[1]/ns0:title[1]" w:storeItemID="{6C3C8BC8-F283-45AE-878A-BAB7291924A1}"/>
            <w:text/>
          </w:sdtPr>
          <w:sdtContent>
            <w:p w14:paraId="0A48EF02" w14:textId="50447154" w:rsidR="00161627" w:rsidRPr="00630BAE" w:rsidRDefault="00161627">
              <w:pPr>
                <w:pStyle w:val="NoSpacing"/>
                <w:pBdr>
                  <w:top w:val="single" w:sz="6" w:space="6" w:color="156082" w:themeColor="accent1"/>
                  <w:bottom w:val="single" w:sz="6" w:space="6" w:color="156082" w:themeColor="accent1"/>
                </w:pBdr>
                <w:spacing w:after="240"/>
                <w:jc w:val="center"/>
                <w:rPr>
                  <w:rFonts w:ascii="Times New Roman" w:hAnsi="Times New Roman" w:cs="Times New Roman"/>
                  <w:color w:val="4C94D8" w:themeColor="text2" w:themeTint="80"/>
                  <w:sz w:val="44"/>
                  <w:szCs w:val="44"/>
                </w:rPr>
              </w:pPr>
              <w:r w:rsidRPr="00630BAE">
                <w:rPr>
                  <w:rFonts w:ascii="Times New Roman" w:hAnsi="Times New Roman" w:cs="Times New Roman"/>
                  <w:color w:val="4C94D8" w:themeColor="text2" w:themeTint="80"/>
                  <w:sz w:val="44"/>
                  <w:szCs w:val="44"/>
                </w:rPr>
                <w:t>Report: Critical Evaluation of the Business Environment and Its Influence on Human Resource Management at the Bank of St. Vincent and the Grenadines</w:t>
              </w:r>
            </w:p>
          </w:sdtContent>
        </w:sdt>
        <w:p w14:paraId="2B05D228" w14:textId="5E988F49" w:rsidR="00161627" w:rsidRDefault="00630BAE">
          <w:pPr>
            <w:pStyle w:val="NoSpacing"/>
            <w:jc w:val="center"/>
            <w:rPr>
              <w:color w:val="156082" w:themeColor="accent1"/>
              <w:sz w:val="28"/>
              <w:szCs w:val="28"/>
            </w:rPr>
          </w:pPr>
          <w:r>
            <w:rPr>
              <w:color w:val="156082" w:themeColor="accent1"/>
              <w:sz w:val="28"/>
              <w:szCs w:val="28"/>
            </w:rPr>
            <w:t>Module Name: Managing People in Organizations</w:t>
          </w:r>
        </w:p>
        <w:p w14:paraId="15CDE4CD" w14:textId="77777777" w:rsidR="00630BAE" w:rsidRDefault="00630BAE">
          <w:pPr>
            <w:pStyle w:val="NoSpacing"/>
            <w:jc w:val="center"/>
            <w:rPr>
              <w:color w:val="156082" w:themeColor="accent1"/>
              <w:sz w:val="28"/>
              <w:szCs w:val="28"/>
            </w:rPr>
          </w:pPr>
        </w:p>
        <w:p w14:paraId="27C99F78" w14:textId="778C40E6" w:rsidR="00630BAE" w:rsidRDefault="00630BAE">
          <w:pPr>
            <w:pStyle w:val="NoSpacing"/>
            <w:jc w:val="center"/>
            <w:rPr>
              <w:color w:val="156082" w:themeColor="accent1"/>
              <w:sz w:val="28"/>
              <w:szCs w:val="28"/>
            </w:rPr>
          </w:pPr>
          <w:r>
            <w:rPr>
              <w:color w:val="156082" w:themeColor="accent1"/>
              <w:sz w:val="28"/>
              <w:szCs w:val="28"/>
            </w:rPr>
            <w:t>Module Code: BMMB7025D</w:t>
          </w:r>
        </w:p>
        <w:p w14:paraId="2FE35A0D" w14:textId="3A035464" w:rsidR="00630BAE" w:rsidRDefault="00630BAE">
          <w:pPr>
            <w:pStyle w:val="NoSpacing"/>
            <w:jc w:val="center"/>
            <w:rPr>
              <w:color w:val="156082" w:themeColor="accent1"/>
              <w:sz w:val="28"/>
              <w:szCs w:val="28"/>
            </w:rPr>
          </w:pPr>
        </w:p>
        <w:p w14:paraId="4369D73C" w14:textId="6BB28758" w:rsidR="00630BAE" w:rsidRDefault="00630BAE">
          <w:pPr>
            <w:pStyle w:val="NoSpacing"/>
            <w:jc w:val="center"/>
            <w:rPr>
              <w:color w:val="156082" w:themeColor="accent1"/>
              <w:sz w:val="28"/>
              <w:szCs w:val="28"/>
            </w:rPr>
          </w:pPr>
          <w:r>
            <w:rPr>
              <w:color w:val="156082" w:themeColor="accent1"/>
              <w:sz w:val="28"/>
              <w:szCs w:val="28"/>
            </w:rPr>
            <w:t>Name: Reah Edwards</w:t>
          </w:r>
        </w:p>
        <w:p w14:paraId="698B7B63" w14:textId="77777777" w:rsidR="00630BAE" w:rsidRDefault="00630BAE">
          <w:pPr>
            <w:pStyle w:val="NoSpacing"/>
            <w:jc w:val="center"/>
            <w:rPr>
              <w:color w:val="156082" w:themeColor="accent1"/>
              <w:sz w:val="28"/>
              <w:szCs w:val="28"/>
            </w:rPr>
          </w:pPr>
        </w:p>
        <w:p w14:paraId="330A3703" w14:textId="1F1ECE5F" w:rsidR="00630BAE" w:rsidRDefault="00630BAE">
          <w:pPr>
            <w:pStyle w:val="NoSpacing"/>
            <w:jc w:val="center"/>
            <w:rPr>
              <w:color w:val="156082" w:themeColor="accent1"/>
              <w:sz w:val="28"/>
              <w:szCs w:val="28"/>
            </w:rPr>
          </w:pPr>
          <w:r>
            <w:rPr>
              <w:color w:val="156082" w:themeColor="accent1"/>
              <w:sz w:val="28"/>
              <w:szCs w:val="28"/>
            </w:rPr>
            <w:t>Student Number: 2413570</w:t>
          </w:r>
        </w:p>
        <w:p w14:paraId="195C0560" w14:textId="204370FF" w:rsidR="00161627" w:rsidRDefault="00161627">
          <w:pPr>
            <w:pStyle w:val="NoSpacing"/>
            <w:spacing w:before="480"/>
            <w:jc w:val="center"/>
            <w:rPr>
              <w:color w:val="156082" w:themeColor="accent1"/>
            </w:rPr>
          </w:pPr>
          <w:r>
            <w:rPr>
              <w:noProof/>
              <w:color w:val="156082" w:themeColor="accent1"/>
            </w:rPr>
            <w:drawing>
              <wp:inline distT="0" distB="0" distL="0" distR="0" wp14:anchorId="666D39F1" wp14:editId="1663779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D0AF52" w14:textId="193E1E52" w:rsidR="00161627" w:rsidRPr="00630BAE" w:rsidRDefault="00630BAE">
          <w:pPr>
            <w:pStyle w:val="TOCHeading"/>
            <w:rPr>
              <w:b/>
              <w:bCs/>
              <w:sz w:val="24"/>
              <w:szCs w:val="24"/>
            </w:rPr>
          </w:pPr>
          <w:r>
            <w:rPr>
              <w:noProof/>
              <w:color w:val="156082" w:themeColor="accent1"/>
            </w:rPr>
            <mc:AlternateContent>
              <mc:Choice Requires="wps">
                <w:drawing>
                  <wp:anchor distT="0" distB="0" distL="114300" distR="114300" simplePos="0" relativeHeight="251659264" behindDoc="0" locked="0" layoutInCell="1" allowOverlap="1" wp14:anchorId="1BC3E123" wp14:editId="28FE450C">
                    <wp:simplePos x="0" y="0"/>
                    <wp:positionH relativeFrom="margin">
                      <wp:posOffset>34183</wp:posOffset>
                    </wp:positionH>
                    <wp:positionV relativeFrom="page">
                      <wp:posOffset>9515409</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C392ED" w14:textId="442971BA" w:rsidR="00161627" w:rsidRDefault="00630BAE">
                                    <w:pPr>
                                      <w:pStyle w:val="NoSpacing"/>
                                      <w:spacing w:after="40"/>
                                      <w:jc w:val="center"/>
                                      <w:rPr>
                                        <w:caps/>
                                        <w:color w:val="156082" w:themeColor="accent1"/>
                                        <w:sz w:val="28"/>
                                        <w:szCs w:val="28"/>
                                      </w:rPr>
                                    </w:pPr>
                                    <w:r>
                                      <w:rPr>
                                        <w:caps/>
                                        <w:color w:val="156082" w:themeColor="accent1"/>
                                        <w:sz w:val="28"/>
                                        <w:szCs w:val="28"/>
                                      </w:rPr>
                                      <w:t>April 11, 2024</w:t>
                                    </w:r>
                                  </w:p>
                                </w:sdtContent>
                              </w:sdt>
                              <w:p w14:paraId="3EE86B16" w14:textId="5EC4B027" w:rsidR="00161627" w:rsidRDefault="0016162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30BAE">
                                      <w:rPr>
                                        <w:caps/>
                                        <w:color w:val="156082" w:themeColor="accent1"/>
                                      </w:rPr>
                                      <w:t>University of Wales trinity st david</w:t>
                                    </w:r>
                                  </w:sdtContent>
                                </w:sdt>
                              </w:p>
                              <w:p w14:paraId="7560EE6D" w14:textId="2AC67D2B" w:rsidR="00161627" w:rsidRDefault="0016162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0BAE">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C3E123" id="_x0000_t202" coordsize="21600,21600" o:spt="202" path="m,l,21600r21600,l21600,xe">
                    <v:stroke joinstyle="miter"/>
                    <v:path gradientshapeok="t" o:connecttype="rect"/>
                  </v:shapetype>
                  <v:shape id="Text Box 146" o:spid="_x0000_s1026" type="#_x0000_t202" style="position:absolute;margin-left:2.7pt;margin-top:749.2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9C392ED" w14:textId="442971BA" w:rsidR="00161627" w:rsidRDefault="00630BAE">
                              <w:pPr>
                                <w:pStyle w:val="NoSpacing"/>
                                <w:spacing w:after="40"/>
                                <w:jc w:val="center"/>
                                <w:rPr>
                                  <w:caps/>
                                  <w:color w:val="156082" w:themeColor="accent1"/>
                                  <w:sz w:val="28"/>
                                  <w:szCs w:val="28"/>
                                </w:rPr>
                              </w:pPr>
                              <w:r>
                                <w:rPr>
                                  <w:caps/>
                                  <w:color w:val="156082" w:themeColor="accent1"/>
                                  <w:sz w:val="28"/>
                                  <w:szCs w:val="28"/>
                                </w:rPr>
                                <w:t>April 11, 2024</w:t>
                              </w:r>
                            </w:p>
                          </w:sdtContent>
                        </w:sdt>
                        <w:p w14:paraId="3EE86B16" w14:textId="5EC4B027" w:rsidR="00161627" w:rsidRDefault="00161627">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30BAE">
                                <w:rPr>
                                  <w:caps/>
                                  <w:color w:val="156082" w:themeColor="accent1"/>
                                </w:rPr>
                                <w:t>University of Wales trinity st david</w:t>
                              </w:r>
                            </w:sdtContent>
                          </w:sdt>
                        </w:p>
                        <w:p w14:paraId="7560EE6D" w14:textId="2AC67D2B" w:rsidR="00161627" w:rsidRDefault="00161627">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30BAE">
                                <w:rPr>
                                  <w:color w:val="156082" w:themeColor="accent1"/>
                                </w:rPr>
                                <w:t xml:space="preserve">     </w:t>
                              </w:r>
                            </w:sdtContent>
                          </w:sdt>
                        </w:p>
                      </w:txbxContent>
                    </v:textbox>
                    <w10:wrap anchorx="margin" anchory="page"/>
                  </v:shape>
                </w:pict>
              </mc:Fallback>
            </mc:AlternateContent>
          </w:r>
          <w:r w:rsidR="00161627">
            <w:rPr>
              <w:b/>
              <w:bCs/>
            </w:rPr>
            <w:br w:type="page"/>
          </w:r>
        </w:p>
        <w:sdt>
          <w:sdtPr>
            <w:id w:val="-1865665786"/>
            <w:docPartObj>
              <w:docPartGallery w:val="Table of Contents"/>
              <w:docPartUnique/>
            </w:docPartObj>
          </w:sdtPr>
          <w:sdtEndPr>
            <w:rPr>
              <w:rFonts w:asciiTheme="minorHAnsi" w:eastAsiaTheme="minorHAnsi" w:hAnsiTheme="minorHAnsi" w:cstheme="minorBidi"/>
              <w:b/>
              <w:bCs/>
              <w:noProof/>
              <w:color w:val="auto"/>
              <w:kern w:val="2"/>
              <w:sz w:val="22"/>
              <w:szCs w:val="22"/>
              <w:lang w:val="en-VC"/>
              <w14:ligatures w14:val="standardContextual"/>
            </w:rPr>
          </w:sdtEndPr>
          <w:sdtContent>
            <w:p w14:paraId="1243D074" w14:textId="30BC71CC" w:rsidR="00161627" w:rsidRDefault="00161627">
              <w:pPr>
                <w:pStyle w:val="TOCHeading"/>
              </w:pPr>
              <w:r>
                <w:t>Table of Contents</w:t>
              </w:r>
            </w:p>
            <w:p w14:paraId="0512FFBE" w14:textId="643E303B" w:rsidR="00630BAE" w:rsidRDefault="00161627">
              <w:pPr>
                <w:pStyle w:val="TOC1"/>
                <w:tabs>
                  <w:tab w:val="left" w:pos="480"/>
                  <w:tab w:val="right" w:leader="dot" w:pos="9016"/>
                </w:tabs>
                <w:rPr>
                  <w:rFonts w:eastAsiaTheme="minorEastAsia"/>
                  <w:noProof/>
                  <w:sz w:val="24"/>
                  <w:szCs w:val="24"/>
                  <w:lang w:val="en-VC" w:eastAsia="en-VC"/>
                </w:rPr>
              </w:pPr>
              <w:r>
                <w:fldChar w:fldCharType="begin"/>
              </w:r>
              <w:r>
                <w:instrText xml:space="preserve"> TOC \o "1-3" \h \z \u </w:instrText>
              </w:r>
              <w:r>
                <w:fldChar w:fldCharType="separate"/>
              </w:r>
              <w:hyperlink w:anchor="_Toc195269365" w:history="1">
                <w:r w:rsidR="00630BAE" w:rsidRPr="00E05294">
                  <w:rPr>
                    <w:rStyle w:val="Hyperlink"/>
                    <w:noProof/>
                  </w:rPr>
                  <w:t>I.</w:t>
                </w:r>
                <w:r w:rsidR="00630BAE">
                  <w:rPr>
                    <w:rFonts w:eastAsiaTheme="minorEastAsia"/>
                    <w:noProof/>
                    <w:sz w:val="24"/>
                    <w:szCs w:val="24"/>
                    <w:lang w:val="en-VC" w:eastAsia="en-VC"/>
                  </w:rPr>
                  <w:tab/>
                </w:r>
                <w:r w:rsidR="00630BAE" w:rsidRPr="00E05294">
                  <w:rPr>
                    <w:rStyle w:val="Hyperlink"/>
                    <w:noProof/>
                  </w:rPr>
                  <w:t>Introduction</w:t>
                </w:r>
                <w:r w:rsidR="00630BAE">
                  <w:rPr>
                    <w:noProof/>
                    <w:webHidden/>
                  </w:rPr>
                  <w:tab/>
                </w:r>
                <w:r w:rsidR="00630BAE">
                  <w:rPr>
                    <w:noProof/>
                    <w:webHidden/>
                  </w:rPr>
                  <w:fldChar w:fldCharType="begin"/>
                </w:r>
                <w:r w:rsidR="00630BAE">
                  <w:rPr>
                    <w:noProof/>
                    <w:webHidden/>
                  </w:rPr>
                  <w:instrText xml:space="preserve"> PAGEREF _Toc195269365 \h </w:instrText>
                </w:r>
                <w:r w:rsidR="00630BAE">
                  <w:rPr>
                    <w:noProof/>
                    <w:webHidden/>
                  </w:rPr>
                </w:r>
                <w:r w:rsidR="00630BAE">
                  <w:rPr>
                    <w:noProof/>
                    <w:webHidden/>
                  </w:rPr>
                  <w:fldChar w:fldCharType="separate"/>
                </w:r>
                <w:r w:rsidR="00630BAE">
                  <w:rPr>
                    <w:noProof/>
                    <w:webHidden/>
                  </w:rPr>
                  <w:t>2</w:t>
                </w:r>
                <w:r w:rsidR="00630BAE">
                  <w:rPr>
                    <w:noProof/>
                    <w:webHidden/>
                  </w:rPr>
                  <w:fldChar w:fldCharType="end"/>
                </w:r>
              </w:hyperlink>
            </w:p>
            <w:p w14:paraId="44E9D6EB" w14:textId="68882406" w:rsidR="00630BAE" w:rsidRDefault="00630BAE">
              <w:pPr>
                <w:pStyle w:val="TOC1"/>
                <w:tabs>
                  <w:tab w:val="left" w:pos="480"/>
                  <w:tab w:val="right" w:leader="dot" w:pos="9016"/>
                </w:tabs>
                <w:rPr>
                  <w:rFonts w:eastAsiaTheme="minorEastAsia"/>
                  <w:noProof/>
                  <w:sz w:val="24"/>
                  <w:szCs w:val="24"/>
                  <w:lang w:val="en-VC" w:eastAsia="en-VC"/>
                </w:rPr>
              </w:pPr>
              <w:hyperlink w:anchor="_Toc195269366" w:history="1">
                <w:r w:rsidRPr="00E05294">
                  <w:rPr>
                    <w:rStyle w:val="Hyperlink"/>
                    <w:noProof/>
                  </w:rPr>
                  <w:t>II.</w:t>
                </w:r>
                <w:r>
                  <w:rPr>
                    <w:rFonts w:eastAsiaTheme="minorEastAsia"/>
                    <w:noProof/>
                    <w:sz w:val="24"/>
                    <w:szCs w:val="24"/>
                    <w:lang w:val="en-VC" w:eastAsia="en-VC"/>
                  </w:rPr>
                  <w:tab/>
                </w:r>
                <w:r w:rsidRPr="00E05294">
                  <w:rPr>
                    <w:rStyle w:val="Hyperlink"/>
                    <w:noProof/>
                  </w:rPr>
                  <w:t>BOSVG Current Business Environment</w:t>
                </w:r>
                <w:r>
                  <w:rPr>
                    <w:noProof/>
                    <w:webHidden/>
                  </w:rPr>
                  <w:tab/>
                </w:r>
                <w:r>
                  <w:rPr>
                    <w:noProof/>
                    <w:webHidden/>
                  </w:rPr>
                  <w:fldChar w:fldCharType="begin"/>
                </w:r>
                <w:r>
                  <w:rPr>
                    <w:noProof/>
                    <w:webHidden/>
                  </w:rPr>
                  <w:instrText xml:space="preserve"> PAGEREF _Toc195269366 \h </w:instrText>
                </w:r>
                <w:r>
                  <w:rPr>
                    <w:noProof/>
                    <w:webHidden/>
                  </w:rPr>
                </w:r>
                <w:r>
                  <w:rPr>
                    <w:noProof/>
                    <w:webHidden/>
                  </w:rPr>
                  <w:fldChar w:fldCharType="separate"/>
                </w:r>
                <w:r>
                  <w:rPr>
                    <w:noProof/>
                    <w:webHidden/>
                  </w:rPr>
                  <w:t>3</w:t>
                </w:r>
                <w:r>
                  <w:rPr>
                    <w:noProof/>
                    <w:webHidden/>
                  </w:rPr>
                  <w:fldChar w:fldCharType="end"/>
                </w:r>
              </w:hyperlink>
            </w:p>
            <w:p w14:paraId="59E6C65E" w14:textId="7C37669E" w:rsidR="00630BAE" w:rsidRDefault="00630BAE">
              <w:pPr>
                <w:pStyle w:val="TOC2"/>
                <w:tabs>
                  <w:tab w:val="left" w:pos="720"/>
                  <w:tab w:val="right" w:leader="dot" w:pos="9016"/>
                </w:tabs>
                <w:rPr>
                  <w:rFonts w:eastAsiaTheme="minorEastAsia"/>
                  <w:noProof/>
                  <w:sz w:val="24"/>
                  <w:szCs w:val="24"/>
                  <w:lang w:val="en-VC" w:eastAsia="en-VC"/>
                </w:rPr>
              </w:pPr>
              <w:hyperlink w:anchor="_Toc195269367" w:history="1">
                <w:r w:rsidRPr="00E05294">
                  <w:rPr>
                    <w:rStyle w:val="Hyperlink"/>
                    <w:noProof/>
                  </w:rPr>
                  <w:t>A.</w:t>
                </w:r>
                <w:r>
                  <w:rPr>
                    <w:rFonts w:eastAsiaTheme="minorEastAsia"/>
                    <w:noProof/>
                    <w:sz w:val="24"/>
                    <w:szCs w:val="24"/>
                    <w:lang w:val="en-VC" w:eastAsia="en-VC"/>
                  </w:rPr>
                  <w:tab/>
                </w:r>
                <w:r w:rsidRPr="00E05294">
                  <w:rPr>
                    <w:rStyle w:val="Hyperlink"/>
                    <w:noProof/>
                  </w:rPr>
                  <w:t>External Environment (PESTLE Analysis)</w:t>
                </w:r>
                <w:r>
                  <w:rPr>
                    <w:noProof/>
                    <w:webHidden/>
                  </w:rPr>
                  <w:tab/>
                </w:r>
                <w:r>
                  <w:rPr>
                    <w:noProof/>
                    <w:webHidden/>
                  </w:rPr>
                  <w:fldChar w:fldCharType="begin"/>
                </w:r>
                <w:r>
                  <w:rPr>
                    <w:noProof/>
                    <w:webHidden/>
                  </w:rPr>
                  <w:instrText xml:space="preserve"> PAGEREF _Toc195269367 \h </w:instrText>
                </w:r>
                <w:r>
                  <w:rPr>
                    <w:noProof/>
                    <w:webHidden/>
                  </w:rPr>
                </w:r>
                <w:r>
                  <w:rPr>
                    <w:noProof/>
                    <w:webHidden/>
                  </w:rPr>
                  <w:fldChar w:fldCharType="separate"/>
                </w:r>
                <w:r>
                  <w:rPr>
                    <w:noProof/>
                    <w:webHidden/>
                  </w:rPr>
                  <w:t>3</w:t>
                </w:r>
                <w:r>
                  <w:rPr>
                    <w:noProof/>
                    <w:webHidden/>
                  </w:rPr>
                  <w:fldChar w:fldCharType="end"/>
                </w:r>
              </w:hyperlink>
            </w:p>
            <w:p w14:paraId="0554EB8E" w14:textId="34049BA3" w:rsidR="00630BAE" w:rsidRDefault="00630BAE">
              <w:pPr>
                <w:pStyle w:val="TOC2"/>
                <w:tabs>
                  <w:tab w:val="left" w:pos="720"/>
                  <w:tab w:val="right" w:leader="dot" w:pos="9016"/>
                </w:tabs>
                <w:rPr>
                  <w:rFonts w:eastAsiaTheme="minorEastAsia"/>
                  <w:noProof/>
                  <w:sz w:val="24"/>
                  <w:szCs w:val="24"/>
                  <w:lang w:val="en-VC" w:eastAsia="en-VC"/>
                </w:rPr>
              </w:pPr>
              <w:hyperlink w:anchor="_Toc195269368" w:history="1">
                <w:r w:rsidRPr="00E05294">
                  <w:rPr>
                    <w:rStyle w:val="Hyperlink"/>
                    <w:noProof/>
                  </w:rPr>
                  <w:t>B.</w:t>
                </w:r>
                <w:r>
                  <w:rPr>
                    <w:rFonts w:eastAsiaTheme="minorEastAsia"/>
                    <w:noProof/>
                    <w:sz w:val="24"/>
                    <w:szCs w:val="24"/>
                    <w:lang w:val="en-VC" w:eastAsia="en-VC"/>
                  </w:rPr>
                  <w:tab/>
                </w:r>
                <w:r w:rsidRPr="00E05294">
                  <w:rPr>
                    <w:rStyle w:val="Hyperlink"/>
                    <w:noProof/>
                  </w:rPr>
                  <w:t>Internal Environment</w:t>
                </w:r>
                <w:r>
                  <w:rPr>
                    <w:noProof/>
                    <w:webHidden/>
                  </w:rPr>
                  <w:tab/>
                </w:r>
                <w:r>
                  <w:rPr>
                    <w:noProof/>
                    <w:webHidden/>
                  </w:rPr>
                  <w:fldChar w:fldCharType="begin"/>
                </w:r>
                <w:r>
                  <w:rPr>
                    <w:noProof/>
                    <w:webHidden/>
                  </w:rPr>
                  <w:instrText xml:space="preserve"> PAGEREF _Toc195269368 \h </w:instrText>
                </w:r>
                <w:r>
                  <w:rPr>
                    <w:noProof/>
                    <w:webHidden/>
                  </w:rPr>
                </w:r>
                <w:r>
                  <w:rPr>
                    <w:noProof/>
                    <w:webHidden/>
                  </w:rPr>
                  <w:fldChar w:fldCharType="separate"/>
                </w:r>
                <w:r>
                  <w:rPr>
                    <w:noProof/>
                    <w:webHidden/>
                  </w:rPr>
                  <w:t>5</w:t>
                </w:r>
                <w:r>
                  <w:rPr>
                    <w:noProof/>
                    <w:webHidden/>
                  </w:rPr>
                  <w:fldChar w:fldCharType="end"/>
                </w:r>
              </w:hyperlink>
            </w:p>
            <w:p w14:paraId="25DD4D2D" w14:textId="41D37514" w:rsidR="00630BAE" w:rsidRDefault="00630BAE">
              <w:pPr>
                <w:pStyle w:val="TOC1"/>
                <w:tabs>
                  <w:tab w:val="left" w:pos="720"/>
                  <w:tab w:val="right" w:leader="dot" w:pos="9016"/>
                </w:tabs>
                <w:rPr>
                  <w:rFonts w:eastAsiaTheme="minorEastAsia"/>
                  <w:noProof/>
                  <w:sz w:val="24"/>
                  <w:szCs w:val="24"/>
                  <w:lang w:val="en-VC" w:eastAsia="en-VC"/>
                </w:rPr>
              </w:pPr>
              <w:hyperlink w:anchor="_Toc195269369" w:history="1">
                <w:r w:rsidRPr="00E05294">
                  <w:rPr>
                    <w:rStyle w:val="Hyperlink"/>
                    <w:rFonts w:ascii="Times New Roman" w:hAnsi="Times New Roman" w:cs="Times New Roman"/>
                    <w:noProof/>
                  </w:rPr>
                  <w:t>III.</w:t>
                </w:r>
                <w:r>
                  <w:rPr>
                    <w:rFonts w:eastAsiaTheme="minorEastAsia"/>
                    <w:noProof/>
                    <w:sz w:val="24"/>
                    <w:szCs w:val="24"/>
                    <w:lang w:val="en-VC" w:eastAsia="en-VC"/>
                  </w:rPr>
                  <w:tab/>
                </w:r>
                <w:r w:rsidRPr="00E05294">
                  <w:rPr>
                    <w:rStyle w:val="Hyperlink"/>
                    <w:noProof/>
                  </w:rPr>
                  <w:t>Influence on Human Resource Management</w:t>
                </w:r>
                <w:r>
                  <w:rPr>
                    <w:noProof/>
                    <w:webHidden/>
                  </w:rPr>
                  <w:tab/>
                </w:r>
                <w:r>
                  <w:rPr>
                    <w:noProof/>
                    <w:webHidden/>
                  </w:rPr>
                  <w:fldChar w:fldCharType="begin"/>
                </w:r>
                <w:r>
                  <w:rPr>
                    <w:noProof/>
                    <w:webHidden/>
                  </w:rPr>
                  <w:instrText xml:space="preserve"> PAGEREF _Toc195269369 \h </w:instrText>
                </w:r>
                <w:r>
                  <w:rPr>
                    <w:noProof/>
                    <w:webHidden/>
                  </w:rPr>
                </w:r>
                <w:r>
                  <w:rPr>
                    <w:noProof/>
                    <w:webHidden/>
                  </w:rPr>
                  <w:fldChar w:fldCharType="separate"/>
                </w:r>
                <w:r>
                  <w:rPr>
                    <w:noProof/>
                    <w:webHidden/>
                  </w:rPr>
                  <w:t>5</w:t>
                </w:r>
                <w:r>
                  <w:rPr>
                    <w:noProof/>
                    <w:webHidden/>
                  </w:rPr>
                  <w:fldChar w:fldCharType="end"/>
                </w:r>
              </w:hyperlink>
            </w:p>
            <w:p w14:paraId="35E67FBB" w14:textId="3475741E" w:rsidR="00630BAE" w:rsidRDefault="00630BAE">
              <w:pPr>
                <w:pStyle w:val="TOC1"/>
                <w:tabs>
                  <w:tab w:val="left" w:pos="480"/>
                  <w:tab w:val="right" w:leader="dot" w:pos="9016"/>
                </w:tabs>
                <w:rPr>
                  <w:rFonts w:eastAsiaTheme="minorEastAsia"/>
                  <w:noProof/>
                  <w:sz w:val="24"/>
                  <w:szCs w:val="24"/>
                  <w:lang w:val="en-VC" w:eastAsia="en-VC"/>
                </w:rPr>
              </w:pPr>
              <w:hyperlink w:anchor="_Toc195269370" w:history="1">
                <w:r w:rsidRPr="00E05294">
                  <w:rPr>
                    <w:rStyle w:val="Hyperlink"/>
                    <w:noProof/>
                  </w:rPr>
                  <w:t>IV.</w:t>
                </w:r>
                <w:r>
                  <w:rPr>
                    <w:rFonts w:eastAsiaTheme="minorEastAsia"/>
                    <w:noProof/>
                    <w:sz w:val="24"/>
                    <w:szCs w:val="24"/>
                    <w:lang w:val="en-VC" w:eastAsia="en-VC"/>
                  </w:rPr>
                  <w:tab/>
                </w:r>
                <w:r w:rsidRPr="00E05294">
                  <w:rPr>
                    <w:rStyle w:val="Hyperlink"/>
                    <w:noProof/>
                  </w:rPr>
                  <w:t>Impact on HR Policies, Procedures, and Processes.</w:t>
                </w:r>
                <w:r>
                  <w:rPr>
                    <w:noProof/>
                    <w:webHidden/>
                  </w:rPr>
                  <w:tab/>
                </w:r>
                <w:r>
                  <w:rPr>
                    <w:noProof/>
                    <w:webHidden/>
                  </w:rPr>
                  <w:fldChar w:fldCharType="begin"/>
                </w:r>
                <w:r>
                  <w:rPr>
                    <w:noProof/>
                    <w:webHidden/>
                  </w:rPr>
                  <w:instrText xml:space="preserve"> PAGEREF _Toc195269370 \h </w:instrText>
                </w:r>
                <w:r>
                  <w:rPr>
                    <w:noProof/>
                    <w:webHidden/>
                  </w:rPr>
                </w:r>
                <w:r>
                  <w:rPr>
                    <w:noProof/>
                    <w:webHidden/>
                  </w:rPr>
                  <w:fldChar w:fldCharType="separate"/>
                </w:r>
                <w:r>
                  <w:rPr>
                    <w:noProof/>
                    <w:webHidden/>
                  </w:rPr>
                  <w:t>7</w:t>
                </w:r>
                <w:r>
                  <w:rPr>
                    <w:noProof/>
                    <w:webHidden/>
                  </w:rPr>
                  <w:fldChar w:fldCharType="end"/>
                </w:r>
              </w:hyperlink>
            </w:p>
            <w:p w14:paraId="66BEEE3D" w14:textId="6F2FCE73" w:rsidR="00630BAE" w:rsidRDefault="00630BAE">
              <w:pPr>
                <w:pStyle w:val="TOC1"/>
                <w:tabs>
                  <w:tab w:val="left" w:pos="480"/>
                  <w:tab w:val="right" w:leader="dot" w:pos="9016"/>
                </w:tabs>
                <w:rPr>
                  <w:rFonts w:eastAsiaTheme="minorEastAsia"/>
                  <w:noProof/>
                  <w:sz w:val="24"/>
                  <w:szCs w:val="24"/>
                  <w:lang w:val="en-VC" w:eastAsia="en-VC"/>
                </w:rPr>
              </w:pPr>
              <w:hyperlink w:anchor="_Toc195269371" w:history="1">
                <w:r w:rsidRPr="00E05294">
                  <w:rPr>
                    <w:rStyle w:val="Hyperlink"/>
                    <w:noProof/>
                  </w:rPr>
                  <w:t>V.</w:t>
                </w:r>
                <w:r>
                  <w:rPr>
                    <w:rFonts w:eastAsiaTheme="minorEastAsia"/>
                    <w:noProof/>
                    <w:sz w:val="24"/>
                    <w:szCs w:val="24"/>
                    <w:lang w:val="en-VC" w:eastAsia="en-VC"/>
                  </w:rPr>
                  <w:tab/>
                </w:r>
                <w:r w:rsidRPr="00E05294">
                  <w:rPr>
                    <w:rStyle w:val="Hyperlink"/>
                    <w:noProof/>
                  </w:rPr>
                  <w:t>Critical Evaluation of Strategic HRM Implementation at BOSVG</w:t>
                </w:r>
                <w:r>
                  <w:rPr>
                    <w:noProof/>
                    <w:webHidden/>
                  </w:rPr>
                  <w:tab/>
                </w:r>
                <w:r>
                  <w:rPr>
                    <w:noProof/>
                    <w:webHidden/>
                  </w:rPr>
                  <w:fldChar w:fldCharType="begin"/>
                </w:r>
                <w:r>
                  <w:rPr>
                    <w:noProof/>
                    <w:webHidden/>
                  </w:rPr>
                  <w:instrText xml:space="preserve"> PAGEREF _Toc195269371 \h </w:instrText>
                </w:r>
                <w:r>
                  <w:rPr>
                    <w:noProof/>
                    <w:webHidden/>
                  </w:rPr>
                </w:r>
                <w:r>
                  <w:rPr>
                    <w:noProof/>
                    <w:webHidden/>
                  </w:rPr>
                  <w:fldChar w:fldCharType="separate"/>
                </w:r>
                <w:r>
                  <w:rPr>
                    <w:noProof/>
                    <w:webHidden/>
                  </w:rPr>
                  <w:t>8</w:t>
                </w:r>
                <w:r>
                  <w:rPr>
                    <w:noProof/>
                    <w:webHidden/>
                  </w:rPr>
                  <w:fldChar w:fldCharType="end"/>
                </w:r>
              </w:hyperlink>
            </w:p>
            <w:p w14:paraId="45C69B09" w14:textId="5BEED796" w:rsidR="00630BAE" w:rsidRDefault="00630BAE">
              <w:pPr>
                <w:pStyle w:val="TOC1"/>
                <w:tabs>
                  <w:tab w:val="left" w:pos="720"/>
                  <w:tab w:val="right" w:leader="dot" w:pos="9016"/>
                </w:tabs>
                <w:rPr>
                  <w:rFonts w:eastAsiaTheme="minorEastAsia"/>
                  <w:noProof/>
                  <w:sz w:val="24"/>
                  <w:szCs w:val="24"/>
                  <w:lang w:val="en-VC" w:eastAsia="en-VC"/>
                </w:rPr>
              </w:pPr>
              <w:hyperlink w:anchor="_Toc195269372" w:history="1">
                <w:r w:rsidRPr="00E05294">
                  <w:rPr>
                    <w:rStyle w:val="Hyperlink"/>
                    <w:noProof/>
                  </w:rPr>
                  <w:t>VI.</w:t>
                </w:r>
                <w:r>
                  <w:rPr>
                    <w:rFonts w:eastAsiaTheme="minorEastAsia"/>
                    <w:noProof/>
                    <w:sz w:val="24"/>
                    <w:szCs w:val="24"/>
                    <w:lang w:val="en-VC" w:eastAsia="en-VC"/>
                  </w:rPr>
                  <w:tab/>
                </w:r>
                <w:r w:rsidRPr="00E05294">
                  <w:rPr>
                    <w:rStyle w:val="Hyperlink"/>
                    <w:noProof/>
                  </w:rPr>
                  <w:t>Conclusion</w:t>
                </w:r>
                <w:r>
                  <w:rPr>
                    <w:noProof/>
                    <w:webHidden/>
                  </w:rPr>
                  <w:tab/>
                </w:r>
                <w:r>
                  <w:rPr>
                    <w:noProof/>
                    <w:webHidden/>
                  </w:rPr>
                  <w:fldChar w:fldCharType="begin"/>
                </w:r>
                <w:r>
                  <w:rPr>
                    <w:noProof/>
                    <w:webHidden/>
                  </w:rPr>
                  <w:instrText xml:space="preserve"> PAGEREF _Toc195269372 \h </w:instrText>
                </w:r>
                <w:r>
                  <w:rPr>
                    <w:noProof/>
                    <w:webHidden/>
                  </w:rPr>
                </w:r>
                <w:r>
                  <w:rPr>
                    <w:noProof/>
                    <w:webHidden/>
                  </w:rPr>
                  <w:fldChar w:fldCharType="separate"/>
                </w:r>
                <w:r>
                  <w:rPr>
                    <w:noProof/>
                    <w:webHidden/>
                  </w:rPr>
                  <w:t>10</w:t>
                </w:r>
                <w:r>
                  <w:rPr>
                    <w:noProof/>
                    <w:webHidden/>
                  </w:rPr>
                  <w:fldChar w:fldCharType="end"/>
                </w:r>
              </w:hyperlink>
            </w:p>
            <w:p w14:paraId="6F36924A" w14:textId="6313EFA2" w:rsidR="00630BAE" w:rsidRDefault="00630BAE">
              <w:pPr>
                <w:pStyle w:val="TOC1"/>
                <w:tabs>
                  <w:tab w:val="left" w:pos="720"/>
                  <w:tab w:val="right" w:leader="dot" w:pos="9016"/>
                </w:tabs>
                <w:rPr>
                  <w:rFonts w:eastAsiaTheme="minorEastAsia"/>
                  <w:noProof/>
                  <w:sz w:val="24"/>
                  <w:szCs w:val="24"/>
                  <w:lang w:val="en-VC" w:eastAsia="en-VC"/>
                </w:rPr>
              </w:pPr>
              <w:hyperlink w:anchor="_Toc195269373" w:history="1">
                <w:r w:rsidRPr="00E05294">
                  <w:rPr>
                    <w:rStyle w:val="Hyperlink"/>
                    <w:noProof/>
                    <w:lang w:val="en-VC"/>
                  </w:rPr>
                  <w:t>VII.</w:t>
                </w:r>
                <w:r>
                  <w:rPr>
                    <w:rFonts w:eastAsiaTheme="minorEastAsia"/>
                    <w:noProof/>
                    <w:sz w:val="24"/>
                    <w:szCs w:val="24"/>
                    <w:lang w:val="en-VC" w:eastAsia="en-VC"/>
                  </w:rPr>
                  <w:tab/>
                </w:r>
                <w:r w:rsidRPr="00E05294">
                  <w:rPr>
                    <w:rStyle w:val="Hyperlink"/>
                    <w:noProof/>
                    <w:lang w:val="en-VC"/>
                  </w:rPr>
                  <w:t>Recommendations</w:t>
                </w:r>
                <w:r>
                  <w:rPr>
                    <w:noProof/>
                    <w:webHidden/>
                  </w:rPr>
                  <w:tab/>
                </w:r>
                <w:r>
                  <w:rPr>
                    <w:noProof/>
                    <w:webHidden/>
                  </w:rPr>
                  <w:fldChar w:fldCharType="begin"/>
                </w:r>
                <w:r>
                  <w:rPr>
                    <w:noProof/>
                    <w:webHidden/>
                  </w:rPr>
                  <w:instrText xml:space="preserve"> PAGEREF _Toc195269373 \h </w:instrText>
                </w:r>
                <w:r>
                  <w:rPr>
                    <w:noProof/>
                    <w:webHidden/>
                  </w:rPr>
                </w:r>
                <w:r>
                  <w:rPr>
                    <w:noProof/>
                    <w:webHidden/>
                  </w:rPr>
                  <w:fldChar w:fldCharType="separate"/>
                </w:r>
                <w:r>
                  <w:rPr>
                    <w:noProof/>
                    <w:webHidden/>
                  </w:rPr>
                  <w:t>11</w:t>
                </w:r>
                <w:r>
                  <w:rPr>
                    <w:noProof/>
                    <w:webHidden/>
                  </w:rPr>
                  <w:fldChar w:fldCharType="end"/>
                </w:r>
              </w:hyperlink>
            </w:p>
            <w:p w14:paraId="1B9721E9" w14:textId="3B9E41D7" w:rsidR="00630BAE" w:rsidRDefault="00630BAE">
              <w:pPr>
                <w:pStyle w:val="TOC1"/>
                <w:tabs>
                  <w:tab w:val="right" w:leader="dot" w:pos="9016"/>
                </w:tabs>
                <w:rPr>
                  <w:rFonts w:eastAsiaTheme="minorEastAsia"/>
                  <w:noProof/>
                  <w:sz w:val="24"/>
                  <w:szCs w:val="24"/>
                  <w:lang w:val="en-VC" w:eastAsia="en-VC"/>
                </w:rPr>
              </w:pPr>
              <w:hyperlink w:anchor="_Toc195269374" w:history="1">
                <w:r w:rsidRPr="00E05294">
                  <w:rPr>
                    <w:rStyle w:val="Hyperlink"/>
                    <w:noProof/>
                    <w:lang w:val="en-VC"/>
                  </w:rPr>
                  <w:t>References</w:t>
                </w:r>
                <w:r>
                  <w:rPr>
                    <w:noProof/>
                    <w:webHidden/>
                  </w:rPr>
                  <w:tab/>
                </w:r>
                <w:r>
                  <w:rPr>
                    <w:noProof/>
                    <w:webHidden/>
                  </w:rPr>
                  <w:fldChar w:fldCharType="begin"/>
                </w:r>
                <w:r>
                  <w:rPr>
                    <w:noProof/>
                    <w:webHidden/>
                  </w:rPr>
                  <w:instrText xml:space="preserve"> PAGEREF _Toc195269374 \h </w:instrText>
                </w:r>
                <w:r>
                  <w:rPr>
                    <w:noProof/>
                    <w:webHidden/>
                  </w:rPr>
                </w:r>
                <w:r>
                  <w:rPr>
                    <w:noProof/>
                    <w:webHidden/>
                  </w:rPr>
                  <w:fldChar w:fldCharType="separate"/>
                </w:r>
                <w:r>
                  <w:rPr>
                    <w:noProof/>
                    <w:webHidden/>
                  </w:rPr>
                  <w:t>12</w:t>
                </w:r>
                <w:r>
                  <w:rPr>
                    <w:noProof/>
                    <w:webHidden/>
                  </w:rPr>
                  <w:fldChar w:fldCharType="end"/>
                </w:r>
              </w:hyperlink>
            </w:p>
            <w:p w14:paraId="4EA0A41E" w14:textId="0FFCB965" w:rsidR="00161627" w:rsidRDefault="00161627">
              <w:r>
                <w:rPr>
                  <w:b/>
                  <w:bCs/>
                  <w:noProof/>
                </w:rPr>
                <w:fldChar w:fldCharType="end"/>
              </w:r>
            </w:p>
          </w:sdtContent>
        </w:sdt>
        <w:p w14:paraId="33212BA3" w14:textId="57ED2832" w:rsidR="00046ED8" w:rsidRPr="00161627" w:rsidRDefault="00161627" w:rsidP="00161627">
          <w:pPr>
            <w:rPr>
              <w:b/>
              <w:bCs/>
            </w:rPr>
          </w:pPr>
          <w:r>
            <w:rPr>
              <w:b/>
              <w:bCs/>
            </w:rPr>
            <w:br w:type="page"/>
          </w:r>
        </w:p>
      </w:sdtContent>
    </w:sdt>
    <w:p w14:paraId="7F8494CE" w14:textId="73FF542C" w:rsidR="00EB3447" w:rsidRPr="00D22026" w:rsidRDefault="001F1FEE" w:rsidP="00D22026">
      <w:pPr>
        <w:pStyle w:val="Heading1"/>
        <w:numPr>
          <w:ilvl w:val="0"/>
          <w:numId w:val="2"/>
        </w:numPr>
      </w:pPr>
      <w:bookmarkStart w:id="0" w:name="_Toc195269365"/>
      <w:r w:rsidRPr="00D22026">
        <w:lastRenderedPageBreak/>
        <w:t>Introduction</w:t>
      </w:r>
      <w:bookmarkEnd w:id="0"/>
    </w:p>
    <w:p w14:paraId="1684DA20" w14:textId="50225133" w:rsidR="001F1FEE" w:rsidRDefault="00085444" w:rsidP="007F5F31">
      <w:pPr>
        <w:spacing w:line="360" w:lineRule="auto"/>
        <w:rPr>
          <w:rFonts w:ascii="Times New Roman" w:hAnsi="Times New Roman" w:cs="Times New Roman"/>
          <w:sz w:val="24"/>
          <w:szCs w:val="24"/>
        </w:rPr>
      </w:pPr>
      <w:r w:rsidRPr="00085444">
        <w:rPr>
          <w:rFonts w:ascii="Times New Roman" w:hAnsi="Times New Roman" w:cs="Times New Roman"/>
          <w:sz w:val="24"/>
          <w:szCs w:val="24"/>
        </w:rPr>
        <w:t xml:space="preserve">The Bank of St. Vincent and the Grenadines (BOSVG) is a leading financial institution in </w:t>
      </w:r>
      <w:r>
        <w:rPr>
          <w:rFonts w:ascii="Times New Roman" w:hAnsi="Times New Roman" w:cs="Times New Roman"/>
          <w:sz w:val="24"/>
          <w:szCs w:val="24"/>
        </w:rPr>
        <w:t>St. Vincent and the Grenadines</w:t>
      </w:r>
      <w:r w:rsidR="00ED3E97">
        <w:rPr>
          <w:rFonts w:ascii="Times New Roman" w:hAnsi="Times New Roman" w:cs="Times New Roman"/>
          <w:sz w:val="24"/>
          <w:szCs w:val="24"/>
        </w:rPr>
        <w:t xml:space="preserve"> (SVG)</w:t>
      </w:r>
      <w:r w:rsidRPr="00085444">
        <w:rPr>
          <w:rFonts w:ascii="Times New Roman" w:hAnsi="Times New Roman" w:cs="Times New Roman"/>
          <w:sz w:val="24"/>
          <w:szCs w:val="24"/>
        </w:rPr>
        <w:t>, playing a vital role in the country’s economic development</w:t>
      </w:r>
      <w:r>
        <w:rPr>
          <w:rFonts w:ascii="Times New Roman" w:hAnsi="Times New Roman" w:cs="Times New Roman"/>
          <w:sz w:val="24"/>
          <w:szCs w:val="24"/>
        </w:rPr>
        <w:t xml:space="preserve">. </w:t>
      </w:r>
      <w:r w:rsidR="007E2113">
        <w:rPr>
          <w:rFonts w:ascii="Times New Roman" w:hAnsi="Times New Roman" w:cs="Times New Roman"/>
          <w:sz w:val="24"/>
          <w:szCs w:val="24"/>
        </w:rPr>
        <w:t xml:space="preserve">As the largest domestic commercial bank, it caters to a diverse range of customers and operates in a dynamic, highly regulated environment. Human Resource Management (HRM) is a strategic enabler of the bank’s performance and flexibility in such a setting, rather than merely an administrative task. BOSVG’s ability to innovate, adhere to legal requirements, and provide excellent customer service is strongly impacted by its ability to attract, retain, and nurture talent. </w:t>
      </w:r>
    </w:p>
    <w:p w14:paraId="56AE24DF" w14:textId="0354CE02" w:rsidR="00161627" w:rsidRDefault="007E2113" w:rsidP="007F5F31">
      <w:pPr>
        <w:spacing w:line="360" w:lineRule="auto"/>
        <w:rPr>
          <w:rFonts w:ascii="Times New Roman" w:hAnsi="Times New Roman" w:cs="Times New Roman"/>
          <w:sz w:val="24"/>
          <w:szCs w:val="24"/>
        </w:rPr>
      </w:pPr>
      <w:r>
        <w:rPr>
          <w:rFonts w:ascii="Times New Roman" w:hAnsi="Times New Roman" w:cs="Times New Roman"/>
          <w:sz w:val="24"/>
          <w:szCs w:val="24"/>
        </w:rPr>
        <w:t xml:space="preserve">Digital change, rising client demands, a lack of expertise, and increasingly complex regulations are all causing </w:t>
      </w:r>
      <w:r w:rsidR="007F5F31">
        <w:rPr>
          <w:rFonts w:ascii="Times New Roman" w:hAnsi="Times New Roman" w:cs="Times New Roman"/>
          <w:sz w:val="24"/>
          <w:szCs w:val="24"/>
        </w:rPr>
        <w:t>upheavals in the modern banking industry (</w:t>
      </w:r>
      <w:r w:rsidR="007F5F31" w:rsidRPr="007F5F31">
        <w:rPr>
          <w:rFonts w:ascii="Times New Roman" w:hAnsi="Times New Roman" w:cs="Times New Roman"/>
          <w:sz w:val="24"/>
          <w:szCs w:val="24"/>
        </w:rPr>
        <w:t>Adewumi et al., 2024)</w:t>
      </w:r>
      <w:r w:rsidR="007F5F31">
        <w:rPr>
          <w:rFonts w:ascii="Times New Roman" w:hAnsi="Times New Roman" w:cs="Times New Roman"/>
          <w:sz w:val="24"/>
          <w:szCs w:val="24"/>
        </w:rPr>
        <w:t>. HRM must adapt to these developments by moving from traditional responsibilities to strategic business partnering, talent cultivation, and change facilitation. Understanding how internal and external factors influence HRM is crucial for corporate performance in this dynamic environment.</w:t>
      </w:r>
    </w:p>
    <w:p w14:paraId="676FE32A" w14:textId="77777777" w:rsidR="00161627" w:rsidRDefault="00161627">
      <w:pPr>
        <w:rPr>
          <w:rFonts w:ascii="Times New Roman" w:hAnsi="Times New Roman" w:cs="Times New Roman"/>
          <w:sz w:val="24"/>
          <w:szCs w:val="24"/>
        </w:rPr>
      </w:pPr>
      <w:r>
        <w:rPr>
          <w:rFonts w:ascii="Times New Roman" w:hAnsi="Times New Roman" w:cs="Times New Roman"/>
          <w:sz w:val="24"/>
          <w:szCs w:val="24"/>
        </w:rPr>
        <w:br w:type="page"/>
      </w:r>
    </w:p>
    <w:p w14:paraId="4F73AD18" w14:textId="486DECC2" w:rsidR="007F5F31" w:rsidRDefault="00D22026" w:rsidP="00D22026">
      <w:pPr>
        <w:pStyle w:val="Heading1"/>
        <w:numPr>
          <w:ilvl w:val="0"/>
          <w:numId w:val="2"/>
        </w:numPr>
      </w:pPr>
      <w:bookmarkStart w:id="1" w:name="_Toc195269366"/>
      <w:r>
        <w:lastRenderedPageBreak/>
        <w:t>BOSVG Current Business Environment</w:t>
      </w:r>
      <w:bookmarkEnd w:id="1"/>
    </w:p>
    <w:p w14:paraId="780B1BF7" w14:textId="0F2D9932" w:rsidR="00D22026" w:rsidRDefault="00D22026" w:rsidP="0017307E">
      <w:pPr>
        <w:pStyle w:val="Heading2"/>
        <w:numPr>
          <w:ilvl w:val="0"/>
          <w:numId w:val="4"/>
        </w:numPr>
      </w:pPr>
      <w:bookmarkStart w:id="2" w:name="_Toc195269367"/>
      <w:r>
        <w:t>External Environment (PESTLE Analysis)</w:t>
      </w:r>
      <w:bookmarkEnd w:id="2"/>
    </w:p>
    <w:p w14:paraId="0D03D97D" w14:textId="6ACBF516" w:rsidR="00D22026" w:rsidRPr="00013992" w:rsidRDefault="00D22026" w:rsidP="00D22026">
      <w:pPr>
        <w:pStyle w:val="ListParagraph"/>
        <w:spacing w:line="360" w:lineRule="auto"/>
        <w:rPr>
          <w:rFonts w:ascii="Times New Roman" w:hAnsi="Times New Roman" w:cs="Times New Roman"/>
          <w:sz w:val="24"/>
          <w:szCs w:val="24"/>
        </w:rPr>
      </w:pPr>
      <w:r w:rsidRPr="00013992">
        <w:rPr>
          <w:rFonts w:ascii="Times New Roman" w:hAnsi="Times New Roman" w:cs="Times New Roman"/>
          <w:b/>
          <w:bCs/>
          <w:sz w:val="24"/>
          <w:szCs w:val="24"/>
        </w:rPr>
        <w:t>Political:</w:t>
      </w:r>
      <w:r w:rsidRPr="00013992">
        <w:rPr>
          <w:rFonts w:ascii="Times New Roman" w:hAnsi="Times New Roman" w:cs="Times New Roman"/>
          <w:sz w:val="24"/>
          <w:szCs w:val="24"/>
        </w:rPr>
        <w:t xml:space="preserve"> </w:t>
      </w:r>
      <w:r w:rsidR="00F27C5C" w:rsidRPr="00013992">
        <w:rPr>
          <w:rFonts w:ascii="Times New Roman" w:hAnsi="Times New Roman" w:cs="Times New Roman"/>
          <w:sz w:val="24"/>
          <w:szCs w:val="24"/>
        </w:rPr>
        <w:t xml:space="preserve"> The Eastern Caribbean Central Bank (ECCB), which establishes monetary policy and upholds banking laws throughout the Eastern Caribbean Currency Union (ECCU), has a regulatory authority over BOSVG. The business climate in St. Vincent and the Grenadines is relatively predictable due to political stability, but there are substantial compliance obligations as a result of growing adherence to international financial regulations such as A</w:t>
      </w:r>
      <w:r w:rsidR="00A86A90" w:rsidRPr="00013992">
        <w:rPr>
          <w:rFonts w:ascii="Times New Roman" w:hAnsi="Times New Roman" w:cs="Times New Roman"/>
          <w:sz w:val="24"/>
          <w:szCs w:val="24"/>
        </w:rPr>
        <w:t>nti-</w:t>
      </w:r>
      <w:r w:rsidR="00F27C5C" w:rsidRPr="00013992">
        <w:rPr>
          <w:rFonts w:ascii="Times New Roman" w:hAnsi="Times New Roman" w:cs="Times New Roman"/>
          <w:sz w:val="24"/>
          <w:szCs w:val="24"/>
        </w:rPr>
        <w:t>M</w:t>
      </w:r>
      <w:r w:rsidR="00A86A90" w:rsidRPr="00013992">
        <w:rPr>
          <w:rFonts w:ascii="Times New Roman" w:hAnsi="Times New Roman" w:cs="Times New Roman"/>
          <w:sz w:val="24"/>
          <w:szCs w:val="24"/>
        </w:rPr>
        <w:t xml:space="preserve">oney </w:t>
      </w:r>
      <w:r w:rsidR="00F27C5C" w:rsidRPr="00013992">
        <w:rPr>
          <w:rFonts w:ascii="Times New Roman" w:hAnsi="Times New Roman" w:cs="Times New Roman"/>
          <w:sz w:val="24"/>
          <w:szCs w:val="24"/>
        </w:rPr>
        <w:t>L</w:t>
      </w:r>
      <w:r w:rsidR="00A86A90" w:rsidRPr="00013992">
        <w:rPr>
          <w:rFonts w:ascii="Times New Roman" w:hAnsi="Times New Roman" w:cs="Times New Roman"/>
          <w:sz w:val="24"/>
          <w:szCs w:val="24"/>
        </w:rPr>
        <w:t>aundering and</w:t>
      </w:r>
      <w:r w:rsidR="00F27C5C" w:rsidRPr="00013992">
        <w:rPr>
          <w:rFonts w:ascii="Times New Roman" w:hAnsi="Times New Roman" w:cs="Times New Roman"/>
          <w:sz w:val="24"/>
          <w:szCs w:val="24"/>
        </w:rPr>
        <w:t xml:space="preserve"> CFT standards. These have an impact on HR </w:t>
      </w:r>
      <w:proofErr w:type="gramStart"/>
      <w:r w:rsidR="00F27C5C" w:rsidRPr="00013992">
        <w:rPr>
          <w:rFonts w:ascii="Times New Roman" w:hAnsi="Times New Roman" w:cs="Times New Roman"/>
          <w:sz w:val="24"/>
          <w:szCs w:val="24"/>
        </w:rPr>
        <w:t>duties including</w:t>
      </w:r>
      <w:proofErr w:type="gramEnd"/>
      <w:r w:rsidR="00F27C5C" w:rsidRPr="00013992">
        <w:rPr>
          <w:rFonts w:ascii="Times New Roman" w:hAnsi="Times New Roman" w:cs="Times New Roman"/>
          <w:sz w:val="24"/>
          <w:szCs w:val="24"/>
        </w:rPr>
        <w:t xml:space="preserve"> establishing compliance roles, requiring training programs, and closely observing internal procedures.</w:t>
      </w:r>
      <w:r w:rsidR="00A86A90" w:rsidRPr="00013992">
        <w:rPr>
          <w:rFonts w:ascii="Times New Roman" w:hAnsi="Times New Roman" w:cs="Times New Roman"/>
          <w:sz w:val="24"/>
          <w:szCs w:val="24"/>
        </w:rPr>
        <w:t xml:space="preserve"> According to </w:t>
      </w:r>
      <w:proofErr w:type="spellStart"/>
      <w:r w:rsidR="00A86A90" w:rsidRPr="00013992">
        <w:rPr>
          <w:rFonts w:ascii="Times New Roman" w:hAnsi="Times New Roman" w:cs="Times New Roman"/>
          <w:sz w:val="24"/>
          <w:szCs w:val="24"/>
        </w:rPr>
        <w:t>Revutska</w:t>
      </w:r>
      <w:proofErr w:type="spellEnd"/>
      <w:r w:rsidR="00A86A90" w:rsidRPr="00013992">
        <w:rPr>
          <w:rFonts w:ascii="Times New Roman" w:hAnsi="Times New Roman" w:cs="Times New Roman"/>
          <w:sz w:val="24"/>
          <w:szCs w:val="24"/>
        </w:rPr>
        <w:t xml:space="preserve"> and </w:t>
      </w:r>
      <w:proofErr w:type="spellStart"/>
      <w:r w:rsidR="00A86A90" w:rsidRPr="00013992">
        <w:rPr>
          <w:rFonts w:ascii="Times New Roman" w:hAnsi="Times New Roman" w:cs="Times New Roman"/>
          <w:sz w:val="24"/>
          <w:szCs w:val="24"/>
        </w:rPr>
        <w:t>Maršíková</w:t>
      </w:r>
      <w:proofErr w:type="spellEnd"/>
      <w:r w:rsidR="00A86A90" w:rsidRPr="00013992">
        <w:rPr>
          <w:rFonts w:ascii="Times New Roman" w:hAnsi="Times New Roman" w:cs="Times New Roman"/>
          <w:sz w:val="24"/>
          <w:szCs w:val="24"/>
        </w:rPr>
        <w:t xml:space="preserve"> (2021), to maintain corporate compliance with legal standards, the HR department must continue to be flexible and </w:t>
      </w:r>
      <w:r w:rsidR="00EF45BE" w:rsidRPr="00013992">
        <w:rPr>
          <w:rFonts w:ascii="Times New Roman" w:hAnsi="Times New Roman" w:cs="Times New Roman"/>
          <w:sz w:val="24"/>
          <w:szCs w:val="24"/>
        </w:rPr>
        <w:t>up to date</w:t>
      </w:r>
      <w:r w:rsidR="00A86A90" w:rsidRPr="00013992">
        <w:rPr>
          <w:rFonts w:ascii="Times New Roman" w:hAnsi="Times New Roman" w:cs="Times New Roman"/>
          <w:sz w:val="24"/>
          <w:szCs w:val="24"/>
        </w:rPr>
        <w:t xml:space="preserve"> in </w:t>
      </w:r>
      <w:r w:rsidR="00EF45BE" w:rsidRPr="00013992">
        <w:rPr>
          <w:rFonts w:ascii="Times New Roman" w:hAnsi="Times New Roman" w:cs="Times New Roman"/>
          <w:sz w:val="24"/>
          <w:szCs w:val="24"/>
        </w:rPr>
        <w:t>managing</w:t>
      </w:r>
      <w:r w:rsidR="00A86A90" w:rsidRPr="00013992">
        <w:rPr>
          <w:rFonts w:ascii="Times New Roman" w:hAnsi="Times New Roman" w:cs="Times New Roman"/>
          <w:sz w:val="24"/>
          <w:szCs w:val="24"/>
        </w:rPr>
        <w:t xml:space="preserve"> these changing requirements.</w:t>
      </w:r>
      <w:r w:rsidR="00EF45BE" w:rsidRPr="00013992">
        <w:rPr>
          <w:rFonts w:ascii="Times New Roman" w:hAnsi="Times New Roman" w:cs="Times New Roman"/>
          <w:sz w:val="24"/>
          <w:szCs w:val="24"/>
        </w:rPr>
        <w:t xml:space="preserve"> Additionally,</w:t>
      </w:r>
      <w:r w:rsidR="00F27C5C" w:rsidRPr="00013992">
        <w:rPr>
          <w:rFonts w:ascii="Times New Roman" w:hAnsi="Times New Roman" w:cs="Times New Roman"/>
          <w:sz w:val="24"/>
          <w:szCs w:val="24"/>
        </w:rPr>
        <w:t xml:space="preserve"> Government fiscal policy, however, has an impact on the bank, particularly during national catastrophes (e.g. the La Soufriere volcanic eruption in 2021), when it might be asked to aid in recovery through debt restructuring or financial plans. This gives HR more duties, especially when it comes to staffing levels and worker welfare. </w:t>
      </w:r>
    </w:p>
    <w:p w14:paraId="0F52E221" w14:textId="5A836A3A" w:rsidR="00EF45BE" w:rsidRDefault="00EF45BE" w:rsidP="00D22026">
      <w:pPr>
        <w:pStyle w:val="ListParagraph"/>
        <w:spacing w:line="360" w:lineRule="auto"/>
        <w:rPr>
          <w:rFonts w:ascii="Times New Roman" w:hAnsi="Times New Roman" w:cs="Times New Roman"/>
          <w:sz w:val="24"/>
          <w:szCs w:val="24"/>
        </w:rPr>
      </w:pPr>
      <w:r w:rsidRPr="00013992">
        <w:rPr>
          <w:rFonts w:ascii="Times New Roman" w:hAnsi="Times New Roman" w:cs="Times New Roman"/>
          <w:b/>
          <w:bCs/>
          <w:sz w:val="24"/>
          <w:szCs w:val="24"/>
        </w:rPr>
        <w:t>Economic:</w:t>
      </w:r>
      <w:r w:rsidRPr="00013992">
        <w:rPr>
          <w:rFonts w:ascii="Times New Roman" w:hAnsi="Times New Roman" w:cs="Times New Roman"/>
          <w:sz w:val="24"/>
          <w:szCs w:val="24"/>
        </w:rPr>
        <w:t xml:space="preserve"> </w:t>
      </w:r>
      <w:r w:rsidR="00DE36BD" w:rsidRPr="00013992">
        <w:rPr>
          <w:rFonts w:ascii="Times New Roman" w:hAnsi="Times New Roman" w:cs="Times New Roman"/>
          <w:sz w:val="24"/>
          <w:szCs w:val="24"/>
        </w:rPr>
        <w:t>Following the COVID-19 pandemic and the La Soufriere volcanic eruption, St. Vincent and the Grenadines’ economy has recovered, particularly in tourism, agriculture, and remittances. According to the ECCB (2023), economic expansion has bolstered the earnings of the banking industry, allowing BOSVG to invest more in internal development, including the development of HR capacity. Strategic investments in talent acquisition, training initiatives, and the digital transformation of HR operations have all been made possible by this increased profitability.</w:t>
      </w:r>
      <w:r w:rsidR="00DE36BD">
        <w:rPr>
          <w:rFonts w:ascii="Times New Roman" w:hAnsi="Times New Roman" w:cs="Times New Roman"/>
          <w:sz w:val="24"/>
          <w:szCs w:val="24"/>
        </w:rPr>
        <w:t xml:space="preserve"> </w:t>
      </w:r>
    </w:p>
    <w:p w14:paraId="164D0736" w14:textId="2CAB59A7" w:rsidR="00356051" w:rsidRDefault="00356051" w:rsidP="00D22026">
      <w:pPr>
        <w:pStyle w:val="ListParagraph"/>
        <w:spacing w:line="360" w:lineRule="auto"/>
        <w:rPr>
          <w:rFonts w:ascii="Times New Roman" w:hAnsi="Times New Roman" w:cs="Times New Roman"/>
          <w:sz w:val="24"/>
          <w:szCs w:val="24"/>
        </w:rPr>
      </w:pPr>
      <w:r w:rsidRPr="0017307E">
        <w:rPr>
          <w:rFonts w:ascii="Times New Roman" w:hAnsi="Times New Roman" w:cs="Times New Roman"/>
          <w:b/>
          <w:bCs/>
          <w:sz w:val="24"/>
          <w:szCs w:val="24"/>
        </w:rPr>
        <w:t>Social:</w:t>
      </w:r>
      <w:r>
        <w:rPr>
          <w:rFonts w:ascii="Times New Roman" w:hAnsi="Times New Roman" w:cs="Times New Roman"/>
          <w:sz w:val="24"/>
          <w:szCs w:val="24"/>
        </w:rPr>
        <w:t xml:space="preserve"> A young population, significant emigration, and rising consumer demands define the social milieu. BOSVG has to deal with a declining pool of competent workers in the country as a result of </w:t>
      </w:r>
      <w:proofErr w:type="gramStart"/>
      <w:r>
        <w:rPr>
          <w:rFonts w:ascii="Times New Roman" w:hAnsi="Times New Roman" w:cs="Times New Roman"/>
          <w:sz w:val="24"/>
          <w:szCs w:val="24"/>
        </w:rPr>
        <w:t>many</w:t>
      </w:r>
      <w:proofErr w:type="gramEnd"/>
      <w:r>
        <w:rPr>
          <w:rFonts w:ascii="Times New Roman" w:hAnsi="Times New Roman" w:cs="Times New Roman"/>
          <w:sz w:val="24"/>
          <w:szCs w:val="24"/>
        </w:rPr>
        <w:t xml:space="preserve"> of them moving to larger economies. This “brain drain” calls for increased internal talent development and succession planning. Furthermore, changes in workplace culture, management style, and communication techniques are required due to the increasing generational diversity in the workforce, which is now predominantly composed of millennials and Gen Z. HR is also under </w:t>
      </w:r>
      <w:r>
        <w:rPr>
          <w:rFonts w:ascii="Times New Roman" w:hAnsi="Times New Roman" w:cs="Times New Roman"/>
          <w:sz w:val="24"/>
          <w:szCs w:val="24"/>
        </w:rPr>
        <w:lastRenderedPageBreak/>
        <w:t xml:space="preserve">pressure due to societal expectations surrounding work-life balance, mental health, and ethical corporate conduct. </w:t>
      </w:r>
    </w:p>
    <w:p w14:paraId="0EEB0A39" w14:textId="0F6D21F5" w:rsidR="00546D41" w:rsidRPr="0017307E" w:rsidRDefault="00546D41" w:rsidP="00D22026">
      <w:pPr>
        <w:pStyle w:val="ListParagraph"/>
        <w:spacing w:line="360" w:lineRule="auto"/>
        <w:rPr>
          <w:rFonts w:ascii="Times New Roman" w:hAnsi="Times New Roman" w:cs="Times New Roman"/>
          <w:b/>
          <w:bCs/>
          <w:sz w:val="24"/>
          <w:szCs w:val="24"/>
        </w:rPr>
      </w:pPr>
      <w:r w:rsidRPr="0017307E">
        <w:rPr>
          <w:rFonts w:ascii="Times New Roman" w:hAnsi="Times New Roman" w:cs="Times New Roman"/>
          <w:b/>
          <w:bCs/>
          <w:sz w:val="24"/>
          <w:szCs w:val="24"/>
        </w:rPr>
        <w:t>Technological:</w:t>
      </w:r>
      <w:r>
        <w:rPr>
          <w:rFonts w:ascii="Times New Roman" w:hAnsi="Times New Roman" w:cs="Times New Roman"/>
          <w:sz w:val="24"/>
          <w:szCs w:val="24"/>
        </w:rPr>
        <w:t xml:space="preserve"> Due to fintech competition and consumer demand for mobile banking, the banking industry is undergoing an acceleration of digital transformation. BOSVG needs to invest in digital infrastructure and upskill its workforce in order to adapt consistently. Notably, BOSVG made a million-dollar investment in 2021 to strengthen its cybersecurity and IT resilience, fortifying its digital systems and guarding against operational disruptions (Searchlight, 2021). </w:t>
      </w:r>
      <w:r w:rsidRPr="00546D41">
        <w:rPr>
          <w:rFonts w:ascii="Times New Roman" w:hAnsi="Times New Roman" w:cs="Times New Roman"/>
          <w:sz w:val="24"/>
          <w:szCs w:val="24"/>
        </w:rPr>
        <w:t>These changes are not purely technological—they require new human capital capabilities in cybersecurity, IT project management, and systems integration.</w:t>
      </w:r>
      <w:r>
        <w:rPr>
          <w:rFonts w:ascii="Times New Roman" w:hAnsi="Times New Roman" w:cs="Times New Roman"/>
          <w:sz w:val="24"/>
          <w:szCs w:val="24"/>
        </w:rPr>
        <w:t xml:space="preserve"> This is in line with </w:t>
      </w:r>
      <w:r w:rsidR="00D44107">
        <w:rPr>
          <w:rFonts w:ascii="Times New Roman" w:hAnsi="Times New Roman" w:cs="Times New Roman"/>
          <w:sz w:val="24"/>
          <w:szCs w:val="24"/>
        </w:rPr>
        <w:t xml:space="preserve">CIPD’s (2023) findings, which highlight digital adoption as a key factor influencing HR strategy. IN order to prepare employees to function well in this changing digital banking environment, HR must take the initiative. </w:t>
      </w:r>
    </w:p>
    <w:p w14:paraId="242A4E20" w14:textId="10926154" w:rsidR="00D44107" w:rsidRDefault="00D44107" w:rsidP="002B5150">
      <w:pPr>
        <w:pStyle w:val="ListParagraph"/>
        <w:spacing w:line="360" w:lineRule="auto"/>
        <w:rPr>
          <w:rFonts w:ascii="Times New Roman" w:hAnsi="Times New Roman" w:cs="Times New Roman"/>
          <w:sz w:val="24"/>
          <w:szCs w:val="24"/>
        </w:rPr>
      </w:pPr>
      <w:r w:rsidRPr="0017307E">
        <w:rPr>
          <w:rFonts w:ascii="Times New Roman" w:hAnsi="Times New Roman" w:cs="Times New Roman"/>
          <w:b/>
          <w:bCs/>
          <w:sz w:val="24"/>
          <w:szCs w:val="24"/>
        </w:rPr>
        <w:t>Legal:</w:t>
      </w:r>
      <w:r>
        <w:rPr>
          <w:rFonts w:ascii="Times New Roman" w:hAnsi="Times New Roman" w:cs="Times New Roman"/>
          <w:sz w:val="24"/>
          <w:szCs w:val="24"/>
        </w:rPr>
        <w:t xml:space="preserve"> The legal foundation for equitable employment practices, including contracts, benefits, and workplace safety, is provided by St. Vincent and the Grenadines’ labor laws. International guidelines that affect onboarding, data security, and compliance training, such as those established by the Financial Action Task Force (FATF), must be followed by banks. Making sure that these legal requirements are incorporated into regular policy and practice is a </w:t>
      </w:r>
      <w:r w:rsidR="002B5150">
        <w:rPr>
          <w:rFonts w:ascii="Times New Roman" w:hAnsi="Times New Roman" w:cs="Times New Roman"/>
          <w:sz w:val="24"/>
          <w:szCs w:val="24"/>
        </w:rPr>
        <w:t>significant</w:t>
      </w:r>
      <w:r>
        <w:rPr>
          <w:rFonts w:ascii="Times New Roman" w:hAnsi="Times New Roman" w:cs="Times New Roman"/>
          <w:sz w:val="24"/>
          <w:szCs w:val="24"/>
        </w:rPr>
        <w:t xml:space="preserve"> responsibility of HR </w:t>
      </w:r>
      <w:r w:rsidR="002B5150" w:rsidRPr="002B5150">
        <w:rPr>
          <w:rFonts w:ascii="Times New Roman" w:hAnsi="Times New Roman" w:cs="Times New Roman"/>
          <w:sz w:val="24"/>
          <w:szCs w:val="24"/>
        </w:rPr>
        <w:t>(Barrena-Martínez, López-Fernández and Romero-Fernández, 2017)</w:t>
      </w:r>
      <w:r w:rsidR="002B5150">
        <w:rPr>
          <w:rFonts w:ascii="Times New Roman" w:hAnsi="Times New Roman" w:cs="Times New Roman"/>
          <w:sz w:val="24"/>
          <w:szCs w:val="24"/>
        </w:rPr>
        <w:t>.</w:t>
      </w:r>
    </w:p>
    <w:p w14:paraId="1D96C0B2" w14:textId="477ECA6A" w:rsidR="0017307E" w:rsidRPr="0017307E" w:rsidRDefault="002B5150" w:rsidP="0017307E">
      <w:pPr>
        <w:pStyle w:val="ListParagraph"/>
        <w:spacing w:line="360" w:lineRule="auto"/>
        <w:rPr>
          <w:rFonts w:ascii="Times New Roman" w:hAnsi="Times New Roman" w:cs="Times New Roman"/>
          <w:sz w:val="24"/>
          <w:szCs w:val="24"/>
        </w:rPr>
      </w:pPr>
      <w:r w:rsidRPr="0017307E">
        <w:rPr>
          <w:rFonts w:ascii="Times New Roman" w:hAnsi="Times New Roman" w:cs="Times New Roman"/>
          <w:b/>
          <w:bCs/>
          <w:sz w:val="24"/>
          <w:szCs w:val="24"/>
        </w:rPr>
        <w:t>Environmental:</w:t>
      </w:r>
      <w:r>
        <w:rPr>
          <w:rFonts w:ascii="Times New Roman" w:hAnsi="Times New Roman" w:cs="Times New Roman"/>
          <w:sz w:val="24"/>
          <w:szCs w:val="24"/>
        </w:rPr>
        <w:t xml:space="preserve"> </w:t>
      </w:r>
      <w:r w:rsidR="0017307E" w:rsidRPr="0017307E">
        <w:rPr>
          <w:rFonts w:ascii="Times New Roman" w:hAnsi="Times New Roman" w:cs="Times New Roman"/>
          <w:sz w:val="24"/>
          <w:szCs w:val="24"/>
        </w:rPr>
        <w:t>St. Vincent and the Grenadines is a small island developing state that is especially vulnerable to climate-related disasters like hurricanes and volcanic eruptions, which can cause disruptions to banking operations and the whole economy. BOSVG actively participates in community projects that have an impact on the environment and society, even though the bank has not made environmental sustainability a primary strategic goal. For instance, BOSVG offers material and financial support to sectors including youth, education, and culture, and has backed beach cleanup initiatives run by the SVG Red Cross. These programs, which fall under the bank's larger Corporate Social Responsibility (CSR) purview, show a growing social and environmental consciousness. The future development of official green HRM initiatives may be aided by BOSVG's CSR foundation as stakeholder expectations about ESG practices increase</w:t>
      </w:r>
      <w:r w:rsidR="0017307E">
        <w:rPr>
          <w:rFonts w:ascii="Times New Roman" w:hAnsi="Times New Roman" w:cs="Times New Roman"/>
          <w:sz w:val="24"/>
          <w:szCs w:val="24"/>
        </w:rPr>
        <w:t xml:space="preserve"> </w:t>
      </w:r>
      <w:r w:rsidR="0017307E" w:rsidRPr="0017307E">
        <w:rPr>
          <w:rFonts w:ascii="Times New Roman" w:hAnsi="Times New Roman" w:cs="Times New Roman"/>
          <w:sz w:val="24"/>
          <w:szCs w:val="24"/>
        </w:rPr>
        <w:t>(Malik et al., 2021)</w:t>
      </w:r>
      <w:r w:rsidR="0017307E">
        <w:rPr>
          <w:rFonts w:ascii="Times New Roman" w:hAnsi="Times New Roman" w:cs="Times New Roman"/>
          <w:sz w:val="24"/>
          <w:szCs w:val="24"/>
        </w:rPr>
        <w:t>.</w:t>
      </w:r>
    </w:p>
    <w:p w14:paraId="285EC8F7" w14:textId="46A5B940" w:rsidR="002B5150" w:rsidRDefault="0017307E" w:rsidP="00AC1D3F">
      <w:pPr>
        <w:pStyle w:val="Heading2"/>
        <w:numPr>
          <w:ilvl w:val="0"/>
          <w:numId w:val="4"/>
        </w:numPr>
      </w:pPr>
      <w:bookmarkStart w:id="3" w:name="_Toc195269368"/>
      <w:r>
        <w:lastRenderedPageBreak/>
        <w:t>Internal Environment</w:t>
      </w:r>
      <w:bookmarkEnd w:id="3"/>
    </w:p>
    <w:p w14:paraId="5CA43039" w14:textId="4A0936FD" w:rsidR="001F6B3E" w:rsidRDefault="00D6536F" w:rsidP="00D6536F">
      <w:pPr>
        <w:pStyle w:val="ListParagraph"/>
        <w:spacing w:line="360" w:lineRule="auto"/>
        <w:rPr>
          <w:rFonts w:ascii="Times New Roman" w:hAnsi="Times New Roman" w:cs="Times New Roman"/>
          <w:sz w:val="24"/>
          <w:szCs w:val="24"/>
        </w:rPr>
      </w:pPr>
      <w:proofErr w:type="gramStart"/>
      <w:r w:rsidRPr="00D6536F">
        <w:rPr>
          <w:rFonts w:ascii="Times New Roman" w:hAnsi="Times New Roman" w:cs="Times New Roman"/>
          <w:sz w:val="24"/>
          <w:szCs w:val="24"/>
        </w:rPr>
        <w:t>A number of</w:t>
      </w:r>
      <w:proofErr w:type="gramEnd"/>
      <w:r w:rsidRPr="00D6536F">
        <w:rPr>
          <w:rFonts w:ascii="Times New Roman" w:hAnsi="Times New Roman" w:cs="Times New Roman"/>
          <w:sz w:val="24"/>
          <w:szCs w:val="24"/>
        </w:rPr>
        <w:t xml:space="preserve"> recent internal developments at the Bank of St. Vincent and the Grenadines (BOSVG) have had </w:t>
      </w:r>
      <w:proofErr w:type="gramStart"/>
      <w:r w:rsidRPr="00D6536F">
        <w:rPr>
          <w:rFonts w:ascii="Times New Roman" w:hAnsi="Times New Roman" w:cs="Times New Roman"/>
          <w:sz w:val="24"/>
          <w:szCs w:val="24"/>
        </w:rPr>
        <w:t>a big impact</w:t>
      </w:r>
      <w:proofErr w:type="gramEnd"/>
      <w:r w:rsidRPr="00D6536F">
        <w:rPr>
          <w:rFonts w:ascii="Times New Roman" w:hAnsi="Times New Roman" w:cs="Times New Roman"/>
          <w:sz w:val="24"/>
          <w:szCs w:val="24"/>
        </w:rPr>
        <w:t xml:space="preserve"> on the company's HRM initiatives</w:t>
      </w:r>
      <w:proofErr w:type="gramStart"/>
      <w:r w:rsidRPr="00D6536F">
        <w:rPr>
          <w:rFonts w:ascii="Times New Roman" w:hAnsi="Times New Roman" w:cs="Times New Roman"/>
          <w:sz w:val="24"/>
          <w:szCs w:val="24"/>
        </w:rPr>
        <w:t xml:space="preserve">.  </w:t>
      </w:r>
      <w:proofErr w:type="gramEnd"/>
      <w:r w:rsidRPr="00D6536F">
        <w:rPr>
          <w:rFonts w:ascii="Times New Roman" w:hAnsi="Times New Roman" w:cs="Times New Roman"/>
          <w:sz w:val="24"/>
          <w:szCs w:val="24"/>
        </w:rPr>
        <w:t>The purchase of First</w:t>
      </w:r>
      <w:r>
        <w:rPr>
          <w:rFonts w:ascii="Times New Roman" w:hAnsi="Times New Roman" w:cs="Times New Roman"/>
          <w:sz w:val="24"/>
          <w:szCs w:val="24"/>
        </w:rPr>
        <w:t xml:space="preserve"> </w:t>
      </w:r>
      <w:r w:rsidRPr="00D6536F">
        <w:rPr>
          <w:rFonts w:ascii="Times New Roman" w:hAnsi="Times New Roman" w:cs="Times New Roman"/>
          <w:sz w:val="24"/>
          <w:szCs w:val="24"/>
        </w:rPr>
        <w:t>Caribbean International Bank (Barbados) Limited's local branch in 2023 is one significant aspect</w:t>
      </w:r>
      <w:r>
        <w:rPr>
          <w:rFonts w:ascii="Times New Roman" w:hAnsi="Times New Roman" w:cs="Times New Roman"/>
          <w:sz w:val="24"/>
          <w:szCs w:val="24"/>
        </w:rPr>
        <w:t xml:space="preserve"> </w:t>
      </w:r>
      <w:r w:rsidRPr="00D6536F">
        <w:rPr>
          <w:rFonts w:ascii="Times New Roman" w:hAnsi="Times New Roman" w:cs="Times New Roman"/>
          <w:sz w:val="24"/>
          <w:szCs w:val="24"/>
        </w:rPr>
        <w:t>(Easter Caribbean Central Bank, 2023)</w:t>
      </w:r>
      <w:proofErr w:type="gramStart"/>
      <w:r w:rsidRPr="00D6536F">
        <w:rPr>
          <w:rFonts w:ascii="Times New Roman" w:hAnsi="Times New Roman" w:cs="Times New Roman"/>
          <w:sz w:val="24"/>
          <w:szCs w:val="24"/>
        </w:rPr>
        <w:t xml:space="preserve">.  </w:t>
      </w:r>
      <w:proofErr w:type="gramEnd"/>
      <w:r w:rsidRPr="00D6536F">
        <w:rPr>
          <w:rFonts w:ascii="Times New Roman" w:hAnsi="Times New Roman" w:cs="Times New Roman"/>
          <w:sz w:val="24"/>
          <w:szCs w:val="24"/>
        </w:rPr>
        <w:t>BOSVG had to coordinate corporate cultures, handle staff integration, and update HR rules to accommodate the enlarged activities as a result of this organizational reorganization</w:t>
      </w:r>
      <w:proofErr w:type="gramStart"/>
      <w:r w:rsidRPr="00D6536F">
        <w:rPr>
          <w:rFonts w:ascii="Times New Roman" w:hAnsi="Times New Roman" w:cs="Times New Roman"/>
          <w:sz w:val="24"/>
          <w:szCs w:val="24"/>
        </w:rPr>
        <w:t xml:space="preserve">.  </w:t>
      </w:r>
      <w:proofErr w:type="gramEnd"/>
      <w:r w:rsidRPr="00D6536F">
        <w:rPr>
          <w:rFonts w:ascii="Times New Roman" w:hAnsi="Times New Roman" w:cs="Times New Roman"/>
          <w:sz w:val="24"/>
          <w:szCs w:val="24"/>
        </w:rPr>
        <w:t>Maintaining employee morale and facilitating a seamless transition for new hires become top HR priorities.</w:t>
      </w:r>
    </w:p>
    <w:p w14:paraId="5DB415BA" w14:textId="21B579AA" w:rsidR="00D6536F" w:rsidRPr="00D6536F" w:rsidRDefault="00D6536F" w:rsidP="00D6536F">
      <w:pPr>
        <w:pStyle w:val="ListParagraph"/>
        <w:spacing w:line="360" w:lineRule="auto"/>
        <w:rPr>
          <w:rFonts w:ascii="Times New Roman" w:hAnsi="Times New Roman" w:cs="Times New Roman"/>
          <w:sz w:val="24"/>
          <w:szCs w:val="24"/>
        </w:rPr>
      </w:pPr>
      <w:r w:rsidRPr="00D6536F">
        <w:rPr>
          <w:rFonts w:ascii="Times New Roman" w:hAnsi="Times New Roman" w:cs="Times New Roman"/>
          <w:sz w:val="24"/>
          <w:szCs w:val="24"/>
        </w:rPr>
        <w:t>The early 2024 update of BOSVG's basic banking system was another important internal aspect</w:t>
      </w:r>
      <w:proofErr w:type="gramStart"/>
      <w:r w:rsidRPr="00D6536F">
        <w:rPr>
          <w:rFonts w:ascii="Times New Roman" w:hAnsi="Times New Roman" w:cs="Times New Roman"/>
          <w:sz w:val="24"/>
          <w:szCs w:val="24"/>
        </w:rPr>
        <w:t xml:space="preserve">.  </w:t>
      </w:r>
      <w:proofErr w:type="gramEnd"/>
      <w:r w:rsidRPr="00D6536F">
        <w:rPr>
          <w:rFonts w:ascii="Times New Roman" w:hAnsi="Times New Roman" w:cs="Times New Roman"/>
          <w:sz w:val="24"/>
          <w:szCs w:val="24"/>
        </w:rPr>
        <w:t>Due to this technological shift, HR has to take the lead in operational support, change management, and employee training</w:t>
      </w:r>
      <w:proofErr w:type="gramStart"/>
      <w:r w:rsidRPr="00D6536F">
        <w:rPr>
          <w:rFonts w:ascii="Times New Roman" w:hAnsi="Times New Roman" w:cs="Times New Roman"/>
          <w:sz w:val="24"/>
          <w:szCs w:val="24"/>
        </w:rPr>
        <w:t xml:space="preserve">.  </w:t>
      </w:r>
      <w:proofErr w:type="gramEnd"/>
      <w:r w:rsidRPr="00D6536F">
        <w:rPr>
          <w:rFonts w:ascii="Times New Roman" w:hAnsi="Times New Roman" w:cs="Times New Roman"/>
          <w:sz w:val="24"/>
          <w:szCs w:val="24"/>
        </w:rPr>
        <w:t>Workers had to adjust to new digital tools and processes that prioritized internal communication and upskilling.</w:t>
      </w:r>
    </w:p>
    <w:p w14:paraId="26D88E06" w14:textId="77777777" w:rsidR="00D6536F" w:rsidRDefault="00D6536F" w:rsidP="00D6536F">
      <w:pPr>
        <w:pStyle w:val="ListParagraph"/>
        <w:spacing w:line="360" w:lineRule="auto"/>
        <w:rPr>
          <w:rFonts w:ascii="Times New Roman" w:hAnsi="Times New Roman" w:cs="Times New Roman"/>
          <w:sz w:val="24"/>
          <w:szCs w:val="24"/>
        </w:rPr>
      </w:pPr>
      <w:r w:rsidRPr="00D6536F">
        <w:rPr>
          <w:rFonts w:ascii="Times New Roman" w:hAnsi="Times New Roman" w:cs="Times New Roman"/>
          <w:sz w:val="24"/>
          <w:szCs w:val="24"/>
        </w:rPr>
        <w:t>Technology development and organizational transformation are two internal aspects that have greatly influenced BOSVG's HR strategy, which places a strong emphasis on long-term capacity growth, employee support, and adaptability.</w:t>
      </w:r>
    </w:p>
    <w:p w14:paraId="07E2B390" w14:textId="44D6A527" w:rsidR="00D6536F" w:rsidRPr="00D6536F" w:rsidRDefault="00D6536F" w:rsidP="00B65187">
      <w:pPr>
        <w:pStyle w:val="Heading1"/>
        <w:numPr>
          <w:ilvl w:val="0"/>
          <w:numId w:val="2"/>
        </w:numPr>
        <w:rPr>
          <w:rStyle w:val="Heading1Char"/>
          <w:rFonts w:ascii="Times New Roman" w:eastAsiaTheme="minorHAnsi" w:hAnsi="Times New Roman" w:cs="Times New Roman"/>
          <w:color w:val="auto"/>
          <w:sz w:val="24"/>
          <w:szCs w:val="24"/>
        </w:rPr>
      </w:pPr>
      <w:bookmarkStart w:id="4" w:name="_Toc195269369"/>
      <w:r w:rsidRPr="00D6536F">
        <w:rPr>
          <w:rStyle w:val="Heading1Char"/>
        </w:rPr>
        <w:t>Influence on Human Resource Management</w:t>
      </w:r>
      <w:bookmarkEnd w:id="4"/>
      <w:r w:rsidRPr="00D6536F">
        <w:rPr>
          <w:rStyle w:val="Heading1Char"/>
        </w:rPr>
        <w:t xml:space="preserve"> </w:t>
      </w:r>
    </w:p>
    <w:p w14:paraId="417204A7" w14:textId="3CAECCD3" w:rsidR="00D6536F" w:rsidRDefault="00F239A8" w:rsidP="00F239A8">
      <w:pPr>
        <w:pStyle w:val="ListParagraph"/>
        <w:numPr>
          <w:ilvl w:val="0"/>
          <w:numId w:val="5"/>
        </w:numPr>
        <w:spacing w:line="360" w:lineRule="auto"/>
        <w:rPr>
          <w:rFonts w:ascii="Times New Roman" w:hAnsi="Times New Roman" w:cs="Times New Roman"/>
          <w:sz w:val="24"/>
          <w:szCs w:val="24"/>
        </w:rPr>
      </w:pPr>
      <w:r w:rsidRPr="00F239A8">
        <w:rPr>
          <w:rFonts w:ascii="Times New Roman" w:hAnsi="Times New Roman" w:cs="Times New Roman"/>
          <w:b/>
          <w:bCs/>
          <w:sz w:val="24"/>
          <w:szCs w:val="24"/>
        </w:rPr>
        <w:t xml:space="preserve"> Strategy and Business Alignment -</w:t>
      </w:r>
      <w:r w:rsidRPr="00F239A8">
        <w:rPr>
          <w:rFonts w:ascii="Times New Roman" w:hAnsi="Times New Roman" w:cs="Times New Roman"/>
          <w:sz w:val="24"/>
          <w:szCs w:val="24"/>
        </w:rPr>
        <w:t xml:space="preserve"> </w:t>
      </w:r>
      <w:r w:rsidR="00DD3653" w:rsidRPr="00F239A8">
        <w:rPr>
          <w:rFonts w:ascii="Times New Roman" w:hAnsi="Times New Roman" w:cs="Times New Roman"/>
          <w:sz w:val="24"/>
          <w:szCs w:val="24"/>
        </w:rPr>
        <w:t>In order to guarantee that BOSVG's HR policies and procedures are not just reactive but also forward-looking and in line with long-term company objectives, strategic human resource management, or SHRM, is essential</w:t>
      </w:r>
      <w:proofErr w:type="gramStart"/>
      <w:r w:rsidR="00DD3653" w:rsidRPr="00F239A8">
        <w:rPr>
          <w:rFonts w:ascii="Times New Roman" w:hAnsi="Times New Roman" w:cs="Times New Roman"/>
          <w:sz w:val="24"/>
          <w:szCs w:val="24"/>
        </w:rPr>
        <w:t xml:space="preserve">.  </w:t>
      </w:r>
      <w:proofErr w:type="gramEnd"/>
      <w:r w:rsidR="00DD3653" w:rsidRPr="00F239A8">
        <w:rPr>
          <w:rFonts w:ascii="Times New Roman" w:hAnsi="Times New Roman" w:cs="Times New Roman"/>
          <w:sz w:val="24"/>
          <w:szCs w:val="24"/>
        </w:rPr>
        <w:t>According to Graham and Tarbell (2006), Ulrich's and Brockbank's (2005) HR model states that HR must serve as a strategic partner, collaborating closely with senior leadership to steer the company through times of transition such as technology advancements and mergers</w:t>
      </w:r>
      <w:proofErr w:type="gramStart"/>
      <w:r w:rsidR="00DD3653" w:rsidRPr="00F239A8">
        <w:rPr>
          <w:rFonts w:ascii="Times New Roman" w:hAnsi="Times New Roman" w:cs="Times New Roman"/>
          <w:sz w:val="24"/>
          <w:szCs w:val="24"/>
        </w:rPr>
        <w:t xml:space="preserve">.  </w:t>
      </w:r>
      <w:proofErr w:type="gramEnd"/>
      <w:r w:rsidR="00DD3653" w:rsidRPr="00F239A8">
        <w:rPr>
          <w:rFonts w:ascii="Times New Roman" w:hAnsi="Times New Roman" w:cs="Times New Roman"/>
          <w:sz w:val="24"/>
          <w:szCs w:val="24"/>
        </w:rPr>
        <w:t xml:space="preserve">For BOSVG, this entails coordinating HR with priorities such as digital transformation, which necessitates </w:t>
      </w:r>
      <w:proofErr w:type="gramStart"/>
      <w:r w:rsidR="00DD3653" w:rsidRPr="00F239A8">
        <w:rPr>
          <w:rFonts w:ascii="Times New Roman" w:hAnsi="Times New Roman" w:cs="Times New Roman"/>
          <w:sz w:val="24"/>
          <w:szCs w:val="24"/>
        </w:rPr>
        <w:t>that employees</w:t>
      </w:r>
      <w:proofErr w:type="gramEnd"/>
      <w:r w:rsidR="00DD3653" w:rsidRPr="00F239A8">
        <w:rPr>
          <w:rFonts w:ascii="Times New Roman" w:hAnsi="Times New Roman" w:cs="Times New Roman"/>
          <w:sz w:val="24"/>
          <w:szCs w:val="24"/>
        </w:rPr>
        <w:t xml:space="preserve"> be prepared to work with modern banking systems; customer-centric service, which calls for performance management and soft skills; and regulatory compliance, which calls for modern training and HR governance</w:t>
      </w:r>
      <w:proofErr w:type="gramStart"/>
      <w:r w:rsidR="00DD3653" w:rsidRPr="00F239A8">
        <w:rPr>
          <w:rFonts w:ascii="Times New Roman" w:hAnsi="Times New Roman" w:cs="Times New Roman"/>
          <w:sz w:val="24"/>
          <w:szCs w:val="24"/>
        </w:rPr>
        <w:t xml:space="preserve">.  </w:t>
      </w:r>
      <w:proofErr w:type="gramEnd"/>
      <w:r w:rsidR="00DD3653" w:rsidRPr="00F239A8">
        <w:rPr>
          <w:rFonts w:ascii="Times New Roman" w:hAnsi="Times New Roman" w:cs="Times New Roman"/>
          <w:sz w:val="24"/>
          <w:szCs w:val="24"/>
        </w:rPr>
        <w:t>Scenario planning, workforce analytics, and policy creation are all part of HR's strategic function, which directly promotes organizational resilience and agility.</w:t>
      </w:r>
    </w:p>
    <w:p w14:paraId="7741C97A" w14:textId="48074E00" w:rsidR="00F239A8" w:rsidRPr="00F239A8" w:rsidRDefault="00F239A8" w:rsidP="00F239A8">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b/>
          <w:bCs/>
          <w:sz w:val="24"/>
          <w:szCs w:val="24"/>
        </w:rPr>
        <w:t>Talent Management and Workforce Planning</w:t>
      </w:r>
    </w:p>
    <w:p w14:paraId="7AF5C18F" w14:textId="2CC80175" w:rsidR="00161627" w:rsidRDefault="00F239A8" w:rsidP="00F239A8">
      <w:pPr>
        <w:pStyle w:val="ListParagraph"/>
        <w:spacing w:line="360" w:lineRule="auto"/>
        <w:rPr>
          <w:rFonts w:ascii="Times New Roman" w:hAnsi="Times New Roman" w:cs="Times New Roman"/>
          <w:sz w:val="24"/>
          <w:szCs w:val="24"/>
        </w:rPr>
      </w:pPr>
      <w:r w:rsidRPr="00F239A8">
        <w:rPr>
          <w:rFonts w:ascii="Times New Roman" w:hAnsi="Times New Roman" w:cs="Times New Roman"/>
          <w:sz w:val="24"/>
          <w:szCs w:val="24"/>
        </w:rPr>
        <w:lastRenderedPageBreak/>
        <w:t>Due to the limited availability of highly qualified financial and technical skills, BOSVG operates in a somewhat small labor market</w:t>
      </w:r>
      <w:proofErr w:type="gramStart"/>
      <w:r w:rsidRPr="00F239A8">
        <w:rPr>
          <w:rFonts w:ascii="Times New Roman" w:hAnsi="Times New Roman" w:cs="Times New Roman"/>
          <w:sz w:val="24"/>
          <w:szCs w:val="24"/>
        </w:rPr>
        <w:t xml:space="preserve">.  </w:t>
      </w:r>
      <w:proofErr w:type="gramEnd"/>
      <w:r w:rsidRPr="00F239A8">
        <w:rPr>
          <w:rFonts w:ascii="Times New Roman" w:hAnsi="Times New Roman" w:cs="Times New Roman"/>
          <w:sz w:val="24"/>
          <w:szCs w:val="24"/>
        </w:rPr>
        <w:t>Strategic talent management thus emerges as a primary HRM concern</w:t>
      </w:r>
      <w:proofErr w:type="gramStart"/>
      <w:r w:rsidRPr="00F239A8">
        <w:rPr>
          <w:rFonts w:ascii="Times New Roman" w:hAnsi="Times New Roman" w:cs="Times New Roman"/>
          <w:sz w:val="24"/>
          <w:szCs w:val="24"/>
        </w:rPr>
        <w:t xml:space="preserve">.  </w:t>
      </w:r>
      <w:proofErr w:type="gramEnd"/>
      <w:r w:rsidRPr="00F239A8">
        <w:rPr>
          <w:rFonts w:ascii="Times New Roman" w:hAnsi="Times New Roman" w:cs="Times New Roman"/>
          <w:sz w:val="24"/>
          <w:szCs w:val="24"/>
        </w:rPr>
        <w:t xml:space="preserve">The strategic talent management approach </w:t>
      </w:r>
      <w:r>
        <w:rPr>
          <w:rFonts w:ascii="Times New Roman" w:hAnsi="Times New Roman" w:cs="Times New Roman"/>
          <w:sz w:val="24"/>
          <w:szCs w:val="24"/>
        </w:rPr>
        <w:t xml:space="preserve">according to </w:t>
      </w:r>
      <w:r w:rsidRPr="00F239A8">
        <w:rPr>
          <w:rFonts w:ascii="Times New Roman" w:hAnsi="Times New Roman" w:cs="Times New Roman"/>
          <w:sz w:val="24"/>
          <w:szCs w:val="24"/>
        </w:rPr>
        <w:t xml:space="preserve">Collings and </w:t>
      </w:r>
      <w:proofErr w:type="spellStart"/>
      <w:r w:rsidRPr="00F239A8">
        <w:rPr>
          <w:rFonts w:ascii="Times New Roman" w:hAnsi="Times New Roman" w:cs="Times New Roman"/>
          <w:sz w:val="24"/>
          <w:szCs w:val="24"/>
        </w:rPr>
        <w:t>Mellahi</w:t>
      </w:r>
      <w:proofErr w:type="spellEnd"/>
      <w:r w:rsidRPr="00F239A8">
        <w:rPr>
          <w:rFonts w:ascii="Times New Roman" w:hAnsi="Times New Roman" w:cs="Times New Roman"/>
          <w:sz w:val="24"/>
          <w:szCs w:val="24"/>
        </w:rPr>
        <w:t xml:space="preserve"> (2009) highlights the significance of identifying mission-critical roles and training high-potential personnel to fill them</w:t>
      </w:r>
      <w:proofErr w:type="gramStart"/>
      <w:r w:rsidRPr="00F239A8">
        <w:rPr>
          <w:rFonts w:ascii="Times New Roman" w:hAnsi="Times New Roman" w:cs="Times New Roman"/>
          <w:sz w:val="24"/>
          <w:szCs w:val="24"/>
        </w:rPr>
        <w:t xml:space="preserve">.  </w:t>
      </w:r>
      <w:proofErr w:type="gramEnd"/>
      <w:r w:rsidRPr="00F239A8">
        <w:rPr>
          <w:rFonts w:ascii="Times New Roman" w:hAnsi="Times New Roman" w:cs="Times New Roman"/>
          <w:sz w:val="24"/>
          <w:szCs w:val="24"/>
        </w:rPr>
        <w:t>This covers important roles in customer service, compliance, and digital banking for BOSVG</w:t>
      </w:r>
      <w:proofErr w:type="gramStart"/>
      <w:r w:rsidRPr="00F239A8">
        <w:rPr>
          <w:rFonts w:ascii="Times New Roman" w:hAnsi="Times New Roman" w:cs="Times New Roman"/>
          <w:sz w:val="24"/>
          <w:szCs w:val="24"/>
        </w:rPr>
        <w:t xml:space="preserve">.  </w:t>
      </w:r>
      <w:proofErr w:type="gramEnd"/>
      <w:r w:rsidRPr="00F239A8">
        <w:rPr>
          <w:rFonts w:ascii="Times New Roman" w:hAnsi="Times New Roman" w:cs="Times New Roman"/>
          <w:sz w:val="24"/>
          <w:szCs w:val="24"/>
        </w:rPr>
        <w:t>HR must concentrate on internal mobility initiatives to effectively retain and redeploy people, succession planning to internally prepare future leaders, and partnerships with training facilities and universities to create a consistent supply of skilled workers</w:t>
      </w:r>
      <w:proofErr w:type="gramStart"/>
      <w:r w:rsidRPr="00F239A8">
        <w:rPr>
          <w:rFonts w:ascii="Times New Roman" w:hAnsi="Times New Roman" w:cs="Times New Roman"/>
          <w:sz w:val="24"/>
          <w:szCs w:val="24"/>
        </w:rPr>
        <w:t xml:space="preserve">.  </w:t>
      </w:r>
      <w:proofErr w:type="gramEnd"/>
      <w:r w:rsidRPr="00F239A8">
        <w:rPr>
          <w:rFonts w:ascii="Times New Roman" w:hAnsi="Times New Roman" w:cs="Times New Roman"/>
          <w:sz w:val="24"/>
          <w:szCs w:val="24"/>
        </w:rPr>
        <w:t>To support these initiatives and guarantee long-term performance consistency, workforce planning tools, skill gap studies, and staff development plans are required.</w:t>
      </w:r>
    </w:p>
    <w:p w14:paraId="4C3BCA2D" w14:textId="3529083D" w:rsidR="00F239A8" w:rsidRPr="00161627" w:rsidRDefault="00161627" w:rsidP="00161627">
      <w:pPr>
        <w:rPr>
          <w:rFonts w:ascii="Times New Roman" w:hAnsi="Times New Roman" w:cs="Times New Roman"/>
          <w:sz w:val="24"/>
          <w:szCs w:val="24"/>
        </w:rPr>
      </w:pPr>
      <w:r>
        <w:rPr>
          <w:rFonts w:ascii="Times New Roman" w:hAnsi="Times New Roman" w:cs="Times New Roman"/>
          <w:sz w:val="24"/>
          <w:szCs w:val="24"/>
        </w:rPr>
        <w:br w:type="page"/>
      </w:r>
    </w:p>
    <w:p w14:paraId="050D592C" w14:textId="496C9B6D" w:rsidR="0017307E" w:rsidRDefault="00F239A8" w:rsidP="00B65187">
      <w:pPr>
        <w:pStyle w:val="Heading1"/>
        <w:numPr>
          <w:ilvl w:val="0"/>
          <w:numId w:val="2"/>
        </w:numPr>
      </w:pPr>
      <w:bookmarkStart w:id="5" w:name="_Toc195269370"/>
      <w:r>
        <w:lastRenderedPageBreak/>
        <w:t>Impact o</w:t>
      </w:r>
      <w:r w:rsidR="00B65187">
        <w:t>n HR Policies, Procedures, and Processes.</w:t>
      </w:r>
      <w:bookmarkEnd w:id="5"/>
    </w:p>
    <w:p w14:paraId="4CB1C02A" w14:textId="77777777" w:rsidR="000E2D25" w:rsidRDefault="000E2D25" w:rsidP="000E2D25">
      <w:pPr>
        <w:pStyle w:val="ListParagraph"/>
        <w:numPr>
          <w:ilvl w:val="0"/>
          <w:numId w:val="6"/>
        </w:numPr>
        <w:spacing w:line="360" w:lineRule="auto"/>
        <w:rPr>
          <w:rFonts w:ascii="Times New Roman" w:hAnsi="Times New Roman" w:cs="Times New Roman"/>
          <w:sz w:val="24"/>
          <w:szCs w:val="24"/>
        </w:rPr>
      </w:pPr>
      <w:r w:rsidRPr="00013992">
        <w:rPr>
          <w:rFonts w:ascii="Times New Roman" w:hAnsi="Times New Roman" w:cs="Times New Roman"/>
          <w:b/>
          <w:bCs/>
          <w:sz w:val="24"/>
          <w:szCs w:val="24"/>
        </w:rPr>
        <w:t>Recruitment and selection -</w:t>
      </w:r>
      <w:r>
        <w:rPr>
          <w:rFonts w:ascii="Times New Roman" w:hAnsi="Times New Roman" w:cs="Times New Roman"/>
          <w:sz w:val="24"/>
          <w:szCs w:val="24"/>
        </w:rPr>
        <w:t xml:space="preserve"> </w:t>
      </w:r>
      <w:r w:rsidRPr="000E2D25">
        <w:rPr>
          <w:rFonts w:ascii="Times New Roman" w:hAnsi="Times New Roman" w:cs="Times New Roman"/>
          <w:sz w:val="24"/>
          <w:szCs w:val="24"/>
        </w:rPr>
        <w:t xml:space="preserve">Traditional hiring has given way to </w:t>
      </w:r>
      <w:proofErr w:type="gramStart"/>
      <w:r w:rsidRPr="000E2D25">
        <w:rPr>
          <w:rFonts w:ascii="Times New Roman" w:hAnsi="Times New Roman" w:cs="Times New Roman"/>
          <w:sz w:val="24"/>
          <w:szCs w:val="24"/>
        </w:rPr>
        <w:t>a proactive</w:t>
      </w:r>
      <w:proofErr w:type="gramEnd"/>
      <w:r w:rsidRPr="000E2D25">
        <w:rPr>
          <w:rFonts w:ascii="Times New Roman" w:hAnsi="Times New Roman" w:cs="Times New Roman"/>
          <w:sz w:val="24"/>
          <w:szCs w:val="24"/>
        </w:rPr>
        <w:t>, forward-thinking recruitment approach at BOSVG</w:t>
      </w:r>
      <w:proofErr w:type="gramStart"/>
      <w:r w:rsidRPr="000E2D25">
        <w:rPr>
          <w:rFonts w:ascii="Times New Roman" w:hAnsi="Times New Roman" w:cs="Times New Roman"/>
          <w:sz w:val="24"/>
          <w:szCs w:val="24"/>
        </w:rPr>
        <w:t xml:space="preserve">.  </w:t>
      </w:r>
      <w:proofErr w:type="gramEnd"/>
      <w:r w:rsidRPr="000E2D25">
        <w:rPr>
          <w:rFonts w:ascii="Times New Roman" w:hAnsi="Times New Roman" w:cs="Times New Roman"/>
          <w:sz w:val="24"/>
          <w:szCs w:val="24"/>
        </w:rPr>
        <w:t xml:space="preserve">Strategic recruitment at BOSVG integrates hiring efforts with long-term organizational goals, which is consistent with </w:t>
      </w:r>
      <w:r>
        <w:rPr>
          <w:rFonts w:ascii="Times New Roman" w:hAnsi="Times New Roman" w:cs="Times New Roman"/>
          <w:sz w:val="24"/>
          <w:szCs w:val="24"/>
        </w:rPr>
        <w:t xml:space="preserve">the </w:t>
      </w:r>
      <w:r w:rsidRPr="000E2D25">
        <w:rPr>
          <w:rFonts w:ascii="Times New Roman" w:hAnsi="Times New Roman" w:cs="Times New Roman"/>
          <w:sz w:val="24"/>
          <w:szCs w:val="24"/>
        </w:rPr>
        <w:t>findings of Nascimento, Marcon</w:t>
      </w:r>
      <w:r>
        <w:rPr>
          <w:rFonts w:ascii="Times New Roman" w:hAnsi="Times New Roman" w:cs="Times New Roman"/>
          <w:sz w:val="24"/>
          <w:szCs w:val="24"/>
        </w:rPr>
        <w:t>,</w:t>
      </w:r>
      <w:r w:rsidRPr="000E2D25">
        <w:rPr>
          <w:rFonts w:ascii="Times New Roman" w:hAnsi="Times New Roman" w:cs="Times New Roman"/>
          <w:sz w:val="24"/>
          <w:szCs w:val="24"/>
        </w:rPr>
        <w:t xml:space="preserve"> and Neto (2024)</w:t>
      </w:r>
      <w:proofErr w:type="gramStart"/>
      <w:r w:rsidRPr="000E2D25">
        <w:rPr>
          <w:rFonts w:ascii="Times New Roman" w:hAnsi="Times New Roman" w:cs="Times New Roman"/>
          <w:sz w:val="24"/>
          <w:szCs w:val="24"/>
        </w:rPr>
        <w:t xml:space="preserve">.  </w:t>
      </w:r>
      <w:proofErr w:type="gramEnd"/>
      <w:r w:rsidRPr="000E2D25">
        <w:rPr>
          <w:rFonts w:ascii="Times New Roman" w:hAnsi="Times New Roman" w:cs="Times New Roman"/>
          <w:sz w:val="24"/>
          <w:szCs w:val="24"/>
        </w:rPr>
        <w:t>To effectively attract and assess candidates, this entails thorough workforce planning, skill gap forecasts, and integrating technologies such as social media platforms and applicant tracking systems.</w:t>
      </w:r>
    </w:p>
    <w:p w14:paraId="785D688D" w14:textId="6F6A063A" w:rsidR="00B65187" w:rsidRPr="0017597F" w:rsidRDefault="0017597F" w:rsidP="0017597F">
      <w:pPr>
        <w:pStyle w:val="ListParagraph"/>
        <w:spacing w:line="360" w:lineRule="auto"/>
        <w:ind w:left="1080"/>
        <w:rPr>
          <w:rFonts w:ascii="Times New Roman" w:hAnsi="Times New Roman" w:cs="Times New Roman"/>
          <w:sz w:val="24"/>
          <w:szCs w:val="24"/>
        </w:rPr>
      </w:pPr>
      <w:r>
        <w:rPr>
          <w:rFonts w:ascii="Times New Roman" w:hAnsi="Times New Roman" w:cs="Times New Roman"/>
          <w:sz w:val="24"/>
          <w:szCs w:val="24"/>
        </w:rPr>
        <w:t>According to UWTSD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000E2D25" w:rsidRPr="000E2D25">
        <w:rPr>
          <w:rFonts w:ascii="Times New Roman" w:hAnsi="Times New Roman" w:cs="Times New Roman"/>
          <w:sz w:val="24"/>
          <w:szCs w:val="24"/>
        </w:rPr>
        <w:t xml:space="preserve">Psychometric tests and competency-based interviews </w:t>
      </w:r>
      <w:r>
        <w:rPr>
          <w:rFonts w:ascii="Times New Roman" w:hAnsi="Times New Roman" w:cs="Times New Roman"/>
          <w:sz w:val="24"/>
          <w:szCs w:val="24"/>
        </w:rPr>
        <w:t xml:space="preserve">have become </w:t>
      </w:r>
      <w:r w:rsidR="000E2D25" w:rsidRPr="000E2D25">
        <w:rPr>
          <w:rFonts w:ascii="Times New Roman" w:hAnsi="Times New Roman" w:cs="Times New Roman"/>
          <w:sz w:val="24"/>
          <w:szCs w:val="24"/>
        </w:rPr>
        <w:t>essential components of hiring procedures</w:t>
      </w:r>
      <w:r>
        <w:rPr>
          <w:rFonts w:ascii="Times New Roman" w:hAnsi="Times New Roman" w:cs="Times New Roman"/>
          <w:sz w:val="24"/>
          <w:szCs w:val="24"/>
        </w:rPr>
        <w:t xml:space="preserve"> as </w:t>
      </w:r>
      <w:r w:rsidRPr="0017597F">
        <w:rPr>
          <w:rFonts w:ascii="Times New Roman" w:hAnsi="Times New Roman" w:cs="Times New Roman"/>
          <w:sz w:val="24"/>
          <w:szCs w:val="24"/>
        </w:rPr>
        <w:t xml:space="preserve">there is evidence that standardized tests or assessments of cognitive ability can be reliable indicators of work </w:t>
      </w:r>
      <w:r>
        <w:rPr>
          <w:rFonts w:ascii="Times New Roman" w:hAnsi="Times New Roman" w:cs="Times New Roman"/>
          <w:sz w:val="24"/>
          <w:szCs w:val="24"/>
        </w:rPr>
        <w:t>performance. However, BOSVG currently uses competency-based interviews in their recruiting and selection process</w:t>
      </w:r>
      <w:r w:rsidRPr="0017597F">
        <w:rPr>
          <w:rFonts w:ascii="Times New Roman" w:hAnsi="Times New Roman" w:cs="Times New Roman"/>
          <w:sz w:val="24"/>
          <w:szCs w:val="24"/>
        </w:rPr>
        <w:t>, particularly for jobs requiring sophisticated reasoning</w:t>
      </w:r>
      <w:proofErr w:type="gramStart"/>
      <w:r w:rsidR="000E2D25" w:rsidRPr="0017597F">
        <w:rPr>
          <w:rFonts w:ascii="Times New Roman" w:hAnsi="Times New Roman" w:cs="Times New Roman"/>
          <w:sz w:val="24"/>
          <w:szCs w:val="24"/>
        </w:rPr>
        <w:t xml:space="preserve">.  </w:t>
      </w:r>
      <w:proofErr w:type="gramEnd"/>
      <w:r w:rsidR="000E2D25" w:rsidRPr="0017597F">
        <w:rPr>
          <w:rFonts w:ascii="Times New Roman" w:hAnsi="Times New Roman" w:cs="Times New Roman"/>
          <w:sz w:val="24"/>
          <w:szCs w:val="24"/>
        </w:rPr>
        <w:t>In order to satisfy both local and international best practices, the bank places a strong emphasis on inclusive recruiting policies and incorporates anti-bias procedures</w:t>
      </w:r>
      <w:r w:rsidRPr="0017597F">
        <w:rPr>
          <w:rFonts w:ascii="Times New Roman" w:hAnsi="Times New Roman" w:cs="Times New Roman"/>
          <w:sz w:val="24"/>
          <w:szCs w:val="24"/>
        </w:rPr>
        <w:t xml:space="preserve"> (BOSVG, 2022)</w:t>
      </w:r>
      <w:proofErr w:type="gramStart"/>
      <w:r w:rsidR="000E2D25" w:rsidRPr="0017597F">
        <w:rPr>
          <w:rFonts w:ascii="Times New Roman" w:hAnsi="Times New Roman" w:cs="Times New Roman"/>
          <w:sz w:val="24"/>
          <w:szCs w:val="24"/>
        </w:rPr>
        <w:t xml:space="preserve">.  </w:t>
      </w:r>
      <w:proofErr w:type="gramEnd"/>
      <w:r w:rsidR="000E2D25" w:rsidRPr="0017597F">
        <w:rPr>
          <w:rFonts w:ascii="Times New Roman" w:hAnsi="Times New Roman" w:cs="Times New Roman"/>
          <w:sz w:val="24"/>
          <w:szCs w:val="24"/>
        </w:rPr>
        <w:t>BOSVG can increase company competitiveness, lower turnover, and improve talent quality by using strategic recruitment procedures Nascimento, Marcon, and Neto (2024).</w:t>
      </w:r>
    </w:p>
    <w:p w14:paraId="09B6691C" w14:textId="57F8F5CF" w:rsidR="000E2D25" w:rsidRDefault="000E2D25" w:rsidP="00CE2B01">
      <w:pPr>
        <w:pStyle w:val="ListParagraph"/>
        <w:numPr>
          <w:ilvl w:val="0"/>
          <w:numId w:val="6"/>
        </w:numPr>
        <w:spacing w:line="360" w:lineRule="auto"/>
        <w:rPr>
          <w:rFonts w:ascii="Times New Roman" w:hAnsi="Times New Roman" w:cs="Times New Roman"/>
          <w:sz w:val="24"/>
          <w:szCs w:val="24"/>
        </w:rPr>
      </w:pPr>
      <w:r w:rsidRPr="00013992">
        <w:rPr>
          <w:rFonts w:ascii="Times New Roman" w:hAnsi="Times New Roman" w:cs="Times New Roman"/>
          <w:b/>
          <w:bCs/>
          <w:sz w:val="24"/>
          <w:szCs w:val="24"/>
        </w:rPr>
        <w:t>Training and Development -</w:t>
      </w:r>
      <w:r>
        <w:rPr>
          <w:rFonts w:ascii="Times New Roman" w:hAnsi="Times New Roman" w:cs="Times New Roman"/>
          <w:sz w:val="24"/>
          <w:szCs w:val="24"/>
        </w:rPr>
        <w:t xml:space="preserve"> </w:t>
      </w:r>
      <w:r w:rsidR="00CE2B01" w:rsidRPr="00CE2B01">
        <w:rPr>
          <w:rFonts w:ascii="Times New Roman" w:hAnsi="Times New Roman" w:cs="Times New Roman"/>
          <w:sz w:val="24"/>
          <w:szCs w:val="24"/>
        </w:rPr>
        <w:t>At BOSVG, training currently emphasizes cross-functional development, digital capability building, and ongoing learning</w:t>
      </w:r>
      <w:r w:rsidR="00CE2B01">
        <w:rPr>
          <w:rFonts w:ascii="Times New Roman" w:hAnsi="Times New Roman" w:cs="Times New Roman"/>
          <w:sz w:val="24"/>
          <w:szCs w:val="24"/>
        </w:rPr>
        <w:t xml:space="preserve"> (BOSVG, 2022)</w:t>
      </w:r>
      <w:proofErr w:type="gramStart"/>
      <w:r w:rsidR="00CE2B01" w:rsidRPr="00CE2B01">
        <w:rPr>
          <w:rFonts w:ascii="Times New Roman" w:hAnsi="Times New Roman" w:cs="Times New Roman"/>
          <w:sz w:val="24"/>
          <w:szCs w:val="24"/>
        </w:rPr>
        <w:t xml:space="preserve">.  </w:t>
      </w:r>
      <w:proofErr w:type="gramEnd"/>
      <w:r w:rsidR="00CE2B01" w:rsidRPr="00CE2B01">
        <w:rPr>
          <w:rFonts w:ascii="Times New Roman" w:hAnsi="Times New Roman" w:cs="Times New Roman"/>
          <w:sz w:val="24"/>
          <w:szCs w:val="24"/>
        </w:rPr>
        <w:t>The 70-20-10 paradigm supports experience learning, mentoring, and formal training (Training Industry, 2014)</w:t>
      </w:r>
      <w:proofErr w:type="gramStart"/>
      <w:r w:rsidR="00CE2B01" w:rsidRPr="00CE2B01">
        <w:rPr>
          <w:rFonts w:ascii="Times New Roman" w:hAnsi="Times New Roman" w:cs="Times New Roman"/>
          <w:sz w:val="24"/>
          <w:szCs w:val="24"/>
        </w:rPr>
        <w:t>.  Important elements</w:t>
      </w:r>
      <w:proofErr w:type="gramEnd"/>
      <w:r w:rsidR="00CE2B01" w:rsidRPr="00CE2B01">
        <w:rPr>
          <w:rFonts w:ascii="Times New Roman" w:hAnsi="Times New Roman" w:cs="Times New Roman"/>
          <w:sz w:val="24"/>
          <w:szCs w:val="24"/>
        </w:rPr>
        <w:t xml:space="preserve"> include departmental rotations, fintech certifications, and e-learning</w:t>
      </w:r>
      <w:proofErr w:type="gramStart"/>
      <w:r w:rsidR="00CE2B01" w:rsidRPr="00CE2B01">
        <w:rPr>
          <w:rFonts w:ascii="Times New Roman" w:hAnsi="Times New Roman" w:cs="Times New Roman"/>
          <w:sz w:val="24"/>
          <w:szCs w:val="24"/>
        </w:rPr>
        <w:t xml:space="preserve">.  </w:t>
      </w:r>
      <w:proofErr w:type="gramEnd"/>
      <w:r w:rsidR="00CE2B01" w:rsidRPr="00CE2B01">
        <w:rPr>
          <w:rFonts w:ascii="Times New Roman" w:hAnsi="Times New Roman" w:cs="Times New Roman"/>
          <w:sz w:val="24"/>
          <w:szCs w:val="24"/>
        </w:rPr>
        <w:t>Employee engagement and succession readiness are guaranteed by leadership development and Individual Development Plans (IDPs) (</w:t>
      </w:r>
      <w:r w:rsidR="00CE2B01">
        <w:rPr>
          <w:rFonts w:ascii="Times New Roman" w:hAnsi="Times New Roman" w:cs="Times New Roman"/>
          <w:sz w:val="24"/>
          <w:szCs w:val="24"/>
        </w:rPr>
        <w:t>Groves, 2007</w:t>
      </w:r>
      <w:r w:rsidR="00CE2B01" w:rsidRPr="00CE2B01">
        <w:rPr>
          <w:rFonts w:ascii="Times New Roman" w:hAnsi="Times New Roman" w:cs="Times New Roman"/>
          <w:sz w:val="24"/>
          <w:szCs w:val="24"/>
        </w:rPr>
        <w:t>).</w:t>
      </w:r>
    </w:p>
    <w:p w14:paraId="5B686BDC" w14:textId="7C32941E" w:rsidR="0017597F" w:rsidRDefault="00CE2B01" w:rsidP="00814882">
      <w:pPr>
        <w:pStyle w:val="ListParagraph"/>
        <w:numPr>
          <w:ilvl w:val="0"/>
          <w:numId w:val="6"/>
        </w:numPr>
        <w:spacing w:line="360" w:lineRule="auto"/>
        <w:rPr>
          <w:rFonts w:ascii="Times New Roman" w:hAnsi="Times New Roman" w:cs="Times New Roman"/>
          <w:sz w:val="24"/>
          <w:szCs w:val="24"/>
        </w:rPr>
      </w:pPr>
      <w:r w:rsidRPr="00013992">
        <w:rPr>
          <w:rFonts w:ascii="Times New Roman" w:hAnsi="Times New Roman" w:cs="Times New Roman"/>
          <w:b/>
          <w:bCs/>
          <w:sz w:val="24"/>
          <w:szCs w:val="24"/>
        </w:rPr>
        <w:t xml:space="preserve">Performance and Management Reward </w:t>
      </w:r>
      <w:r w:rsidR="0017597F" w:rsidRPr="00013992">
        <w:rPr>
          <w:rFonts w:ascii="Times New Roman" w:hAnsi="Times New Roman" w:cs="Times New Roman"/>
          <w:b/>
          <w:bCs/>
          <w:sz w:val="24"/>
          <w:szCs w:val="24"/>
        </w:rPr>
        <w:t>–</w:t>
      </w:r>
      <w:r>
        <w:rPr>
          <w:rFonts w:ascii="Times New Roman" w:hAnsi="Times New Roman" w:cs="Times New Roman"/>
          <w:sz w:val="24"/>
          <w:szCs w:val="24"/>
        </w:rPr>
        <w:t xml:space="preserve"> </w:t>
      </w:r>
      <w:r w:rsidR="00ED7F24">
        <w:rPr>
          <w:rFonts w:ascii="Times New Roman" w:hAnsi="Times New Roman" w:cs="Times New Roman"/>
          <w:sz w:val="24"/>
          <w:szCs w:val="24"/>
        </w:rPr>
        <w:t>According to UWTSD (</w:t>
      </w:r>
      <w:proofErr w:type="spellStart"/>
      <w:r w:rsidR="00ED7F24">
        <w:rPr>
          <w:rFonts w:ascii="Times New Roman" w:hAnsi="Times New Roman" w:cs="Times New Roman"/>
          <w:sz w:val="24"/>
          <w:szCs w:val="24"/>
        </w:rPr>
        <w:t>n.d</w:t>
      </w:r>
      <w:proofErr w:type="spellEnd"/>
      <w:r w:rsidR="00ED7F24">
        <w:rPr>
          <w:rFonts w:ascii="Times New Roman" w:hAnsi="Times New Roman" w:cs="Times New Roman"/>
          <w:sz w:val="24"/>
          <w:szCs w:val="24"/>
        </w:rPr>
        <w:t xml:space="preserve">), Armstrong and Baron (2005), state that performance management is </w:t>
      </w:r>
      <w:r w:rsidR="00ED7F24" w:rsidRPr="00ED7F24">
        <w:rPr>
          <w:rFonts w:ascii="Times New Roman" w:hAnsi="Times New Roman" w:cs="Times New Roman"/>
          <w:sz w:val="24"/>
          <w:szCs w:val="24"/>
        </w:rPr>
        <w:t>a procedure that helps teams and individuals be managed effectively in order to attain high organizational performance levels</w:t>
      </w:r>
      <w:proofErr w:type="gramStart"/>
      <w:r w:rsidR="00ED7F24" w:rsidRPr="00ED7F24">
        <w:rPr>
          <w:rFonts w:ascii="Times New Roman" w:hAnsi="Times New Roman" w:cs="Times New Roman"/>
          <w:sz w:val="24"/>
          <w:szCs w:val="24"/>
        </w:rPr>
        <w:t xml:space="preserve">.  </w:t>
      </w:r>
      <w:proofErr w:type="gramEnd"/>
      <w:r w:rsidR="00ED7F24" w:rsidRPr="00ED7F24">
        <w:rPr>
          <w:rFonts w:ascii="Times New Roman" w:hAnsi="Times New Roman" w:cs="Times New Roman"/>
          <w:sz w:val="24"/>
          <w:szCs w:val="24"/>
        </w:rPr>
        <w:t xml:space="preserve"> As a result, it creates </w:t>
      </w:r>
      <w:proofErr w:type="gramStart"/>
      <w:r w:rsidR="00ED7F24" w:rsidRPr="00ED7F24">
        <w:rPr>
          <w:rFonts w:ascii="Times New Roman" w:hAnsi="Times New Roman" w:cs="Times New Roman"/>
          <w:sz w:val="24"/>
          <w:szCs w:val="24"/>
        </w:rPr>
        <w:t>a common understanding</w:t>
      </w:r>
      <w:proofErr w:type="gramEnd"/>
      <w:r w:rsidR="00ED7F24" w:rsidRPr="00ED7F24">
        <w:rPr>
          <w:rFonts w:ascii="Times New Roman" w:hAnsi="Times New Roman" w:cs="Times New Roman"/>
          <w:sz w:val="24"/>
          <w:szCs w:val="24"/>
        </w:rPr>
        <w:t xml:space="preserve"> of the goal and a strategy for motivating and leading others that will guarantee its accomplishment.</w:t>
      </w:r>
      <w:r w:rsidR="00ED7F24">
        <w:rPr>
          <w:rFonts w:ascii="Times New Roman" w:hAnsi="Times New Roman" w:cs="Times New Roman"/>
          <w:sz w:val="24"/>
          <w:szCs w:val="24"/>
        </w:rPr>
        <w:t xml:space="preserve"> </w:t>
      </w:r>
      <w:r w:rsidR="00ED7F24" w:rsidRPr="00ED7F24">
        <w:rPr>
          <w:rFonts w:ascii="Times New Roman" w:hAnsi="Times New Roman" w:cs="Times New Roman"/>
          <w:sz w:val="24"/>
          <w:szCs w:val="24"/>
        </w:rPr>
        <w:t>BOSVG is</w:t>
      </w:r>
      <w:r w:rsidR="00ED7F24">
        <w:rPr>
          <w:rFonts w:ascii="Times New Roman" w:hAnsi="Times New Roman" w:cs="Times New Roman"/>
          <w:sz w:val="24"/>
          <w:szCs w:val="24"/>
        </w:rPr>
        <w:t xml:space="preserve"> now</w:t>
      </w:r>
      <w:r w:rsidR="00ED7F24" w:rsidRPr="00ED7F24">
        <w:rPr>
          <w:rFonts w:ascii="Times New Roman" w:hAnsi="Times New Roman" w:cs="Times New Roman"/>
          <w:sz w:val="24"/>
          <w:szCs w:val="24"/>
        </w:rPr>
        <w:t xml:space="preserve"> moving away from the customary yearly evaluations and toward coaching-based performance management and ongoing feedback. SMART goals help match strategic objectives </w:t>
      </w:r>
      <w:r w:rsidR="00ED7F24" w:rsidRPr="00ED7F24">
        <w:rPr>
          <w:rFonts w:ascii="Times New Roman" w:hAnsi="Times New Roman" w:cs="Times New Roman"/>
          <w:sz w:val="24"/>
          <w:szCs w:val="24"/>
        </w:rPr>
        <w:lastRenderedPageBreak/>
        <w:t>with individual success. However, performance-related incentives are modest due to budget constraints. HR is working on enhancing recognition programs to boost motivation.</w:t>
      </w:r>
    </w:p>
    <w:p w14:paraId="5C59ED51" w14:textId="598F6263" w:rsidR="00E07942" w:rsidRDefault="00E07942" w:rsidP="00E07942">
      <w:pPr>
        <w:pStyle w:val="Heading1"/>
        <w:numPr>
          <w:ilvl w:val="0"/>
          <w:numId w:val="2"/>
        </w:numPr>
      </w:pPr>
      <w:bookmarkStart w:id="6" w:name="_Toc195269371"/>
      <w:r>
        <w:t>Critical Evaluation of Strategic HRM Implementation at BOSVG</w:t>
      </w:r>
      <w:bookmarkEnd w:id="6"/>
    </w:p>
    <w:p w14:paraId="1B9F86DF" w14:textId="45A79703" w:rsidR="00E07942" w:rsidRDefault="00E07942" w:rsidP="00E07942">
      <w:pPr>
        <w:spacing w:line="360" w:lineRule="auto"/>
        <w:ind w:left="720"/>
        <w:rPr>
          <w:rFonts w:ascii="Times New Roman" w:hAnsi="Times New Roman" w:cs="Times New Roman"/>
          <w:sz w:val="24"/>
          <w:szCs w:val="24"/>
        </w:rPr>
      </w:pPr>
      <w:r w:rsidRPr="00E07942">
        <w:rPr>
          <w:rFonts w:ascii="Times New Roman" w:hAnsi="Times New Roman" w:cs="Times New Roman"/>
          <w:sz w:val="24"/>
          <w:szCs w:val="24"/>
        </w:rPr>
        <w:t xml:space="preserve">Although BOSVG has made great strides in integrating HRM with company strategy, there are still </w:t>
      </w:r>
      <w:proofErr w:type="gramStart"/>
      <w:r w:rsidRPr="00E07942">
        <w:rPr>
          <w:rFonts w:ascii="Times New Roman" w:hAnsi="Times New Roman" w:cs="Times New Roman"/>
          <w:sz w:val="24"/>
          <w:szCs w:val="24"/>
        </w:rPr>
        <w:t>a number of</w:t>
      </w:r>
      <w:proofErr w:type="gramEnd"/>
      <w:r w:rsidRPr="00E07942">
        <w:rPr>
          <w:rFonts w:ascii="Times New Roman" w:hAnsi="Times New Roman" w:cs="Times New Roman"/>
          <w:sz w:val="24"/>
          <w:szCs w:val="24"/>
        </w:rPr>
        <w:t xml:space="preserve"> obstacles to overcome before Strategic Human Resource Management (SHRM) can be implemented successfully</w:t>
      </w:r>
      <w:proofErr w:type="gramStart"/>
      <w:r w:rsidRPr="00E07942">
        <w:rPr>
          <w:rFonts w:ascii="Times New Roman" w:hAnsi="Times New Roman" w:cs="Times New Roman"/>
          <w:sz w:val="24"/>
          <w:szCs w:val="24"/>
        </w:rPr>
        <w:t xml:space="preserve">.  </w:t>
      </w:r>
      <w:proofErr w:type="gramEnd"/>
      <w:r w:rsidRPr="00E07942">
        <w:rPr>
          <w:rFonts w:ascii="Times New Roman" w:hAnsi="Times New Roman" w:cs="Times New Roman"/>
          <w:sz w:val="24"/>
          <w:szCs w:val="24"/>
        </w:rPr>
        <w:t>The limited allocation of resources, particularly for performance-related rewards, is one such issue that may impact the bank's capacity to retain top performers in a competitive labor market</w:t>
      </w:r>
      <w:proofErr w:type="gramStart"/>
      <w:r w:rsidRPr="00E07942">
        <w:rPr>
          <w:rFonts w:ascii="Times New Roman" w:hAnsi="Times New Roman" w:cs="Times New Roman"/>
          <w:sz w:val="24"/>
          <w:szCs w:val="24"/>
        </w:rPr>
        <w:t xml:space="preserve">.  </w:t>
      </w:r>
      <w:proofErr w:type="gramEnd"/>
      <w:r w:rsidRPr="00E07942">
        <w:rPr>
          <w:rFonts w:ascii="Times New Roman" w:hAnsi="Times New Roman" w:cs="Times New Roman"/>
          <w:sz w:val="24"/>
          <w:szCs w:val="24"/>
        </w:rPr>
        <w:t>Additionally, HR's ability to facilitate change may be hampered by opposition to organizational change, especially during mergers or digital transformations.</w:t>
      </w:r>
    </w:p>
    <w:p w14:paraId="569379A9" w14:textId="77777777" w:rsidR="00E07942" w:rsidRPr="00E07942" w:rsidRDefault="00E07942" w:rsidP="00E07942">
      <w:pPr>
        <w:spacing w:line="360" w:lineRule="auto"/>
        <w:ind w:left="720"/>
        <w:rPr>
          <w:rFonts w:ascii="Times New Roman" w:hAnsi="Times New Roman" w:cs="Times New Roman"/>
          <w:sz w:val="24"/>
          <w:szCs w:val="24"/>
          <w:lang w:val="en-VC"/>
        </w:rPr>
      </w:pPr>
      <w:r w:rsidRPr="00E07942">
        <w:rPr>
          <w:rFonts w:ascii="Times New Roman" w:hAnsi="Times New Roman" w:cs="Times New Roman"/>
          <w:sz w:val="24"/>
          <w:szCs w:val="24"/>
          <w:lang w:val="en-VC"/>
        </w:rPr>
        <w:t>The lack of a strong HR analytics framework is another obstacle that restricts the use of data to inform workforce planning and performance reviews. BOSVG is lagging behind its regional peers, including Republic Bank or First Citizens in Trinidad and Tobago, in terms of completely integrating HR information systems (HRIS) to enhance strategic insight and streamline procedures. BOSVG must make investments in developing internal HR capabilities, updating its data systems, and increasing leadership's participation in talent planning in order to make the shift from administrative HRM to SHRM.</w:t>
      </w:r>
    </w:p>
    <w:p w14:paraId="21B4D6FC" w14:textId="77777777" w:rsidR="00E07942" w:rsidRPr="00E07942" w:rsidRDefault="00E07942" w:rsidP="00E07942">
      <w:pPr>
        <w:spacing w:line="360" w:lineRule="auto"/>
        <w:ind w:left="720"/>
        <w:rPr>
          <w:rFonts w:ascii="Times New Roman" w:hAnsi="Times New Roman" w:cs="Times New Roman"/>
          <w:sz w:val="24"/>
          <w:szCs w:val="24"/>
          <w:lang w:val="en-VC"/>
        </w:rPr>
      </w:pPr>
      <w:r w:rsidRPr="00E07942">
        <w:rPr>
          <w:rFonts w:ascii="Times New Roman" w:hAnsi="Times New Roman" w:cs="Times New Roman"/>
          <w:sz w:val="24"/>
          <w:szCs w:val="24"/>
          <w:lang w:val="en-VC"/>
        </w:rPr>
        <w:t>With the movement in global HR trends toward digitalization, flexibility, and sustainability, BOSVG needs to evaluate its transformation readiness. For example, integrating AI and automation into the employment process can enhance applicant matching and hiring efficiency. Although BOSVG lacks a thorough digital recruitment strategy, it has taken some first actions, such as using social media sites to publicize job openings.</w:t>
      </w:r>
      <w:r w:rsidRPr="00E07942">
        <w:rPr>
          <w:rFonts w:ascii="Times New Roman" w:hAnsi="Times New Roman" w:cs="Times New Roman"/>
          <w:sz w:val="24"/>
          <w:szCs w:val="24"/>
          <w:lang w:val="en-VC"/>
        </w:rPr>
        <w:br/>
      </w:r>
      <w:r w:rsidRPr="00E07942">
        <w:rPr>
          <w:rFonts w:ascii="Times New Roman" w:hAnsi="Times New Roman" w:cs="Times New Roman"/>
          <w:sz w:val="24"/>
          <w:szCs w:val="24"/>
          <w:lang w:val="en-VC"/>
        </w:rPr>
        <w:br/>
        <w:t xml:space="preserve">Furthermore, given the growing popularity of remote and hybrid work models, flexible arrangements that meet international standards could be advantageous for BOSVG's primarily on-site work culture. There is also a chance for BOSVG to take </w:t>
      </w:r>
      <w:r w:rsidRPr="00E07942">
        <w:rPr>
          <w:rFonts w:ascii="Times New Roman" w:hAnsi="Times New Roman" w:cs="Times New Roman"/>
          <w:sz w:val="24"/>
          <w:szCs w:val="24"/>
          <w:lang w:val="en-VC"/>
        </w:rPr>
        <w:lastRenderedPageBreak/>
        <w:t>the lead among regional banks in the new sector of Green HRM, which focuses on coordinating HR procedures with environmental sustainability objectives.</w:t>
      </w:r>
    </w:p>
    <w:p w14:paraId="0B01F12A" w14:textId="517F2E10" w:rsidR="00630BAE" w:rsidRDefault="00E07942" w:rsidP="00161627">
      <w:pPr>
        <w:spacing w:line="360" w:lineRule="auto"/>
        <w:ind w:left="720"/>
        <w:rPr>
          <w:rFonts w:ascii="Times New Roman" w:hAnsi="Times New Roman" w:cs="Times New Roman"/>
          <w:sz w:val="24"/>
          <w:szCs w:val="24"/>
          <w:lang w:val="en-VC"/>
        </w:rPr>
      </w:pPr>
      <w:r w:rsidRPr="00E07942">
        <w:rPr>
          <w:rFonts w:ascii="Times New Roman" w:hAnsi="Times New Roman" w:cs="Times New Roman"/>
          <w:sz w:val="24"/>
          <w:szCs w:val="24"/>
          <w:lang w:val="en-VC"/>
        </w:rPr>
        <w:t>BOSVG needs to make proactive investments in digital HR infrastructure, revise rules to accommodate remote work, and include environmental indicators in training materials and performance appraisals in order to stay competitive</w:t>
      </w:r>
      <w:r w:rsidR="00161627">
        <w:rPr>
          <w:rFonts w:ascii="Times New Roman" w:hAnsi="Times New Roman" w:cs="Times New Roman"/>
          <w:sz w:val="24"/>
          <w:szCs w:val="24"/>
          <w:lang w:val="en-VC"/>
        </w:rPr>
        <w:t>.</w:t>
      </w:r>
    </w:p>
    <w:p w14:paraId="72340A61" w14:textId="67B54F82" w:rsidR="00E07942" w:rsidRPr="00161627" w:rsidRDefault="00630BAE" w:rsidP="00630BAE">
      <w:pPr>
        <w:rPr>
          <w:rFonts w:ascii="Times New Roman" w:hAnsi="Times New Roman" w:cs="Times New Roman"/>
          <w:sz w:val="24"/>
          <w:szCs w:val="24"/>
          <w:lang w:val="en-VC"/>
        </w:rPr>
      </w:pPr>
      <w:r>
        <w:rPr>
          <w:rFonts w:ascii="Times New Roman" w:hAnsi="Times New Roman" w:cs="Times New Roman"/>
          <w:sz w:val="24"/>
          <w:szCs w:val="24"/>
          <w:lang w:val="en-VC"/>
        </w:rPr>
        <w:br w:type="page"/>
      </w:r>
    </w:p>
    <w:p w14:paraId="1BDA0892" w14:textId="4363C514" w:rsidR="00E07942" w:rsidRDefault="00E07942" w:rsidP="00E07942">
      <w:pPr>
        <w:pStyle w:val="Heading1"/>
        <w:numPr>
          <w:ilvl w:val="0"/>
          <w:numId w:val="2"/>
        </w:numPr>
      </w:pPr>
      <w:bookmarkStart w:id="7" w:name="_Toc195269372"/>
      <w:r>
        <w:lastRenderedPageBreak/>
        <w:t>Conclusion</w:t>
      </w:r>
      <w:bookmarkEnd w:id="7"/>
    </w:p>
    <w:p w14:paraId="6D69FD80" w14:textId="74331F22" w:rsidR="00161627" w:rsidRDefault="00E07942" w:rsidP="00E07942">
      <w:pPr>
        <w:spacing w:line="360" w:lineRule="auto"/>
        <w:ind w:left="720"/>
        <w:rPr>
          <w:rFonts w:ascii="Times New Roman" w:hAnsi="Times New Roman" w:cs="Times New Roman"/>
          <w:sz w:val="24"/>
          <w:szCs w:val="24"/>
          <w:lang w:val="en-VC"/>
        </w:rPr>
      </w:pPr>
      <w:r w:rsidRPr="00E07942">
        <w:rPr>
          <w:rFonts w:ascii="Times New Roman" w:hAnsi="Times New Roman" w:cs="Times New Roman"/>
          <w:sz w:val="24"/>
          <w:szCs w:val="24"/>
          <w:lang w:val="en-VC"/>
        </w:rPr>
        <w:t xml:space="preserve">The ever-changing business environment in which BOSVG works has a big impact on how it handles human resources. A flexible and strategic HRM framework is required because </w:t>
      </w:r>
      <w:r>
        <w:rPr>
          <w:rFonts w:ascii="Times New Roman" w:hAnsi="Times New Roman" w:cs="Times New Roman"/>
          <w:sz w:val="24"/>
          <w:szCs w:val="24"/>
          <w:lang w:val="en-VC"/>
        </w:rPr>
        <w:t>of</w:t>
      </w:r>
      <w:r w:rsidRPr="00E07942">
        <w:rPr>
          <w:rFonts w:ascii="Times New Roman" w:hAnsi="Times New Roman" w:cs="Times New Roman"/>
          <w:sz w:val="24"/>
          <w:szCs w:val="24"/>
          <w:lang w:val="en-VC"/>
        </w:rPr>
        <w:t xml:space="preserve"> external pressures like social expectations, technology disruption, and regulatory changes. Internal changes like mergers and technological advancements highlight the necessity for HR to serve as a strategic partner promoting organizational resilience in addition to being a support function.</w:t>
      </w:r>
      <w:r w:rsidRPr="00E07942">
        <w:rPr>
          <w:rFonts w:ascii="Times New Roman" w:hAnsi="Times New Roman" w:cs="Times New Roman"/>
          <w:sz w:val="24"/>
          <w:szCs w:val="24"/>
          <w:lang w:val="en-VC"/>
        </w:rPr>
        <w:br/>
      </w:r>
      <w:r w:rsidRPr="00E07942">
        <w:rPr>
          <w:rFonts w:ascii="Times New Roman" w:hAnsi="Times New Roman" w:cs="Times New Roman"/>
          <w:sz w:val="24"/>
          <w:szCs w:val="24"/>
          <w:lang w:val="en-VC"/>
        </w:rPr>
        <w:br/>
        <w:t>Although BOSVG's HR department has made significant strides toward business objectives, more funding is still needed for talent development, digital capabilities, and cultural integration. BOSVG can preserve its standing as a top financial institution in the Eastern Caribbean and future-proof its workforce by embracing innovation and sustainability.</w:t>
      </w:r>
    </w:p>
    <w:p w14:paraId="1710A268" w14:textId="3A2035C9" w:rsidR="00E07942" w:rsidRDefault="00161627" w:rsidP="00161627">
      <w:pPr>
        <w:rPr>
          <w:rFonts w:ascii="Times New Roman" w:hAnsi="Times New Roman" w:cs="Times New Roman"/>
          <w:sz w:val="24"/>
          <w:szCs w:val="24"/>
          <w:lang w:val="en-VC"/>
        </w:rPr>
      </w:pPr>
      <w:r>
        <w:rPr>
          <w:rFonts w:ascii="Times New Roman" w:hAnsi="Times New Roman" w:cs="Times New Roman"/>
          <w:sz w:val="24"/>
          <w:szCs w:val="24"/>
          <w:lang w:val="en-VC"/>
        </w:rPr>
        <w:br w:type="page"/>
      </w:r>
    </w:p>
    <w:p w14:paraId="39D6FE3E" w14:textId="1234DACA" w:rsidR="00E07942" w:rsidRDefault="00E07942" w:rsidP="00013992">
      <w:pPr>
        <w:pStyle w:val="Heading1"/>
        <w:numPr>
          <w:ilvl w:val="0"/>
          <w:numId w:val="2"/>
        </w:numPr>
        <w:rPr>
          <w:lang w:val="en-VC"/>
        </w:rPr>
      </w:pPr>
      <w:bookmarkStart w:id="8" w:name="_Toc195269373"/>
      <w:r>
        <w:rPr>
          <w:lang w:val="en-VC"/>
        </w:rPr>
        <w:lastRenderedPageBreak/>
        <w:t>Recommendations</w:t>
      </w:r>
      <w:bookmarkEnd w:id="8"/>
    </w:p>
    <w:p w14:paraId="28D6736A" w14:textId="3442454C" w:rsidR="00E07942" w:rsidRDefault="00E07942" w:rsidP="00E07942">
      <w:pPr>
        <w:spacing w:line="360" w:lineRule="auto"/>
        <w:ind w:left="720"/>
        <w:rPr>
          <w:rFonts w:ascii="Times New Roman" w:hAnsi="Times New Roman" w:cs="Times New Roman"/>
          <w:sz w:val="24"/>
          <w:szCs w:val="24"/>
          <w:lang w:val="en-VC"/>
        </w:rPr>
      </w:pPr>
      <w:r>
        <w:rPr>
          <w:rFonts w:ascii="Times New Roman" w:hAnsi="Times New Roman" w:cs="Times New Roman"/>
          <w:sz w:val="24"/>
          <w:szCs w:val="24"/>
          <w:lang w:val="en-VC"/>
        </w:rPr>
        <w:t>Based on the analysis, the following strategic HR recommendations are proposed for BOSVG:</w:t>
      </w:r>
    </w:p>
    <w:p w14:paraId="1E186512" w14:textId="62AD739B" w:rsidR="00E1049A" w:rsidRPr="00E1049A" w:rsidRDefault="00E07942" w:rsidP="00E1049A">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Invest in HR Analytics:</w:t>
      </w:r>
      <w:r>
        <w:rPr>
          <w:rFonts w:ascii="Times New Roman" w:hAnsi="Times New Roman" w:cs="Times New Roman"/>
          <w:sz w:val="24"/>
          <w:szCs w:val="24"/>
          <w:lang w:val="en-VC"/>
        </w:rPr>
        <w:t xml:space="preserve"> </w:t>
      </w:r>
      <w:r w:rsidR="00E1049A" w:rsidRPr="00E1049A">
        <w:rPr>
          <w:rFonts w:ascii="Times New Roman" w:hAnsi="Times New Roman" w:cs="Times New Roman"/>
          <w:sz w:val="24"/>
          <w:szCs w:val="24"/>
          <w:lang w:val="en-VC"/>
        </w:rPr>
        <w:t xml:space="preserve">Implementing a data-driven HRIS system would improve performance management, succession planning, and hiring decisions. HR analytics offers insights that help with strategic decision-making and improve organizational effectiveness, claim </w:t>
      </w:r>
      <w:proofErr w:type="spellStart"/>
      <w:r w:rsidR="00E1049A" w:rsidRPr="00E1049A">
        <w:rPr>
          <w:rFonts w:ascii="Times New Roman" w:hAnsi="Times New Roman" w:cs="Times New Roman"/>
          <w:sz w:val="24"/>
          <w:szCs w:val="24"/>
          <w:lang w:val="en-VC"/>
        </w:rPr>
        <w:t>Okatta</w:t>
      </w:r>
      <w:proofErr w:type="spellEnd"/>
      <w:r w:rsidR="00E1049A" w:rsidRPr="00E1049A">
        <w:rPr>
          <w:rFonts w:ascii="Times New Roman" w:hAnsi="Times New Roman" w:cs="Times New Roman"/>
          <w:sz w:val="24"/>
          <w:szCs w:val="24"/>
          <w:lang w:val="en-VC"/>
        </w:rPr>
        <w:t xml:space="preserve">, Ajayi and Olawale </w:t>
      </w:r>
      <w:r w:rsidR="00E1049A">
        <w:rPr>
          <w:rFonts w:ascii="Times New Roman" w:hAnsi="Times New Roman" w:cs="Times New Roman"/>
          <w:sz w:val="24"/>
          <w:szCs w:val="24"/>
          <w:lang w:val="en-VC"/>
        </w:rPr>
        <w:t>(</w:t>
      </w:r>
      <w:r w:rsidR="00E1049A" w:rsidRPr="00E1049A">
        <w:rPr>
          <w:rFonts w:ascii="Times New Roman" w:hAnsi="Times New Roman" w:cs="Times New Roman"/>
          <w:sz w:val="24"/>
          <w:szCs w:val="24"/>
          <w:lang w:val="en-VC"/>
        </w:rPr>
        <w:t>2024)</w:t>
      </w:r>
      <w:r w:rsidR="00E1049A">
        <w:rPr>
          <w:rFonts w:ascii="Times New Roman" w:hAnsi="Times New Roman" w:cs="Times New Roman"/>
          <w:sz w:val="24"/>
          <w:szCs w:val="24"/>
          <w:lang w:val="en-VC"/>
        </w:rPr>
        <w:t>.</w:t>
      </w:r>
    </w:p>
    <w:p w14:paraId="4C4ED5F9" w14:textId="0B6592E2" w:rsidR="00E1049A" w:rsidRDefault="00E1049A" w:rsidP="00E1049A">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Expand Digital HR Capabilities</w:t>
      </w:r>
      <w:r w:rsidRPr="00E1049A">
        <w:rPr>
          <w:rFonts w:ascii="Times New Roman" w:hAnsi="Times New Roman" w:cs="Times New Roman"/>
          <w:sz w:val="24"/>
          <w:szCs w:val="24"/>
          <w:lang w:val="en-VC"/>
        </w:rPr>
        <w:t xml:space="preserve">: </w:t>
      </w:r>
      <w:r w:rsidRPr="00E1049A">
        <w:rPr>
          <w:rFonts w:ascii="Times New Roman" w:hAnsi="Times New Roman" w:cs="Times New Roman"/>
          <w:sz w:val="24"/>
          <w:szCs w:val="24"/>
          <w:lang w:val="en-VC"/>
        </w:rPr>
        <w:t>To increase HR productivity, make use of technologies like mobile-accessible learning portals, digital onboarding systems, and AI-based resume screening. Digital HRM solutions facilitate staff adaptability and expedite procedures in quickly changing situations, according to Khalid Alqarni et al. (2023)</w:t>
      </w:r>
      <w:r>
        <w:rPr>
          <w:rFonts w:ascii="Times New Roman" w:hAnsi="Times New Roman" w:cs="Times New Roman"/>
          <w:sz w:val="24"/>
          <w:szCs w:val="24"/>
          <w:lang w:val="en-VC"/>
        </w:rPr>
        <w:t>.</w:t>
      </w:r>
    </w:p>
    <w:p w14:paraId="0394430B" w14:textId="2D3F25FC" w:rsidR="00013992" w:rsidRPr="00013992" w:rsidRDefault="00013992" w:rsidP="00013992">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Establish Green HRM Initiative:</w:t>
      </w:r>
      <w:r>
        <w:rPr>
          <w:rFonts w:ascii="Times New Roman" w:hAnsi="Times New Roman" w:cs="Times New Roman"/>
          <w:sz w:val="24"/>
          <w:szCs w:val="24"/>
          <w:lang w:val="en-VC"/>
        </w:rPr>
        <w:t xml:space="preserve"> </w:t>
      </w:r>
      <w:r w:rsidRPr="00013992">
        <w:rPr>
          <w:rFonts w:ascii="Times New Roman" w:hAnsi="Times New Roman" w:cs="Times New Roman"/>
          <w:sz w:val="24"/>
          <w:szCs w:val="24"/>
          <w:lang w:val="en-VC"/>
        </w:rPr>
        <w:t xml:space="preserve">Encourage eco-friendly conduct and incorporate sustainability training to incorporate environmental awareness into HR rules. Green HRM promotes employee involvement and harmonizes HR procedures with sustainable business plans, according to </w:t>
      </w:r>
      <w:r>
        <w:rPr>
          <w:rFonts w:ascii="Times New Roman" w:hAnsi="Times New Roman" w:cs="Times New Roman"/>
          <w:sz w:val="24"/>
          <w:szCs w:val="24"/>
          <w:lang w:val="en-VC"/>
        </w:rPr>
        <w:t>Ababneh (2021).</w:t>
      </w:r>
    </w:p>
    <w:p w14:paraId="3A467F59" w14:textId="77777777" w:rsidR="00E1049A" w:rsidRPr="00E1049A" w:rsidRDefault="00E1049A" w:rsidP="00E1049A">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Formalize Hybrid Work Policies:</w:t>
      </w:r>
      <w:r w:rsidRPr="00E1049A">
        <w:rPr>
          <w:rFonts w:ascii="Times New Roman" w:hAnsi="Times New Roman" w:cs="Times New Roman"/>
          <w:sz w:val="24"/>
          <w:szCs w:val="24"/>
          <w:lang w:val="en-VC"/>
        </w:rPr>
        <w:t xml:space="preserve"> </w:t>
      </w:r>
      <w:r w:rsidRPr="00E1049A">
        <w:rPr>
          <w:rFonts w:ascii="Times New Roman" w:hAnsi="Times New Roman" w:cs="Times New Roman"/>
          <w:sz w:val="24"/>
          <w:szCs w:val="24"/>
          <w:lang w:val="en-VC"/>
        </w:rPr>
        <w:t>Where possible, create flexible work schedules with suitable performance monitoring systems. When managed well, hybrid work models can increase employee happiness and productivity (</w:t>
      </w:r>
      <w:proofErr w:type="spellStart"/>
      <w:r w:rsidRPr="00E1049A">
        <w:rPr>
          <w:rFonts w:ascii="Times New Roman" w:hAnsi="Times New Roman" w:cs="Times New Roman"/>
          <w:sz w:val="24"/>
          <w:szCs w:val="24"/>
          <w:lang w:val="en-VC"/>
        </w:rPr>
        <w:t>Aprilina</w:t>
      </w:r>
      <w:proofErr w:type="spellEnd"/>
      <w:r w:rsidRPr="00E1049A">
        <w:rPr>
          <w:rFonts w:ascii="Times New Roman" w:hAnsi="Times New Roman" w:cs="Times New Roman"/>
          <w:sz w:val="24"/>
          <w:szCs w:val="24"/>
          <w:lang w:val="en-VC"/>
        </w:rPr>
        <w:t xml:space="preserve"> and </w:t>
      </w:r>
      <w:proofErr w:type="spellStart"/>
      <w:r w:rsidRPr="00E1049A">
        <w:rPr>
          <w:rFonts w:ascii="Times New Roman" w:hAnsi="Times New Roman" w:cs="Times New Roman"/>
          <w:sz w:val="24"/>
          <w:szCs w:val="24"/>
          <w:lang w:val="en-VC"/>
        </w:rPr>
        <w:t>Martdianty</w:t>
      </w:r>
      <w:proofErr w:type="spellEnd"/>
      <w:r w:rsidRPr="00E1049A">
        <w:rPr>
          <w:rFonts w:ascii="Times New Roman" w:hAnsi="Times New Roman" w:cs="Times New Roman"/>
          <w:sz w:val="24"/>
          <w:szCs w:val="24"/>
          <w:lang w:val="en-VC"/>
        </w:rPr>
        <w:t>, 2023)</w:t>
      </w:r>
    </w:p>
    <w:p w14:paraId="2E0C4D9C" w14:textId="77777777" w:rsidR="00E1049A" w:rsidRPr="00E1049A" w:rsidRDefault="00E1049A" w:rsidP="00E1049A">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Strengthen Leadership Development</w:t>
      </w:r>
      <w:r>
        <w:rPr>
          <w:rFonts w:ascii="Times New Roman" w:hAnsi="Times New Roman" w:cs="Times New Roman"/>
          <w:sz w:val="24"/>
          <w:szCs w:val="24"/>
          <w:lang w:val="en-VC"/>
        </w:rPr>
        <w:t xml:space="preserve">: </w:t>
      </w:r>
      <w:r w:rsidRPr="00E1049A">
        <w:rPr>
          <w:rFonts w:ascii="Times New Roman" w:hAnsi="Times New Roman" w:cs="Times New Roman"/>
          <w:sz w:val="24"/>
          <w:szCs w:val="24"/>
          <w:lang w:val="en-VC"/>
        </w:rPr>
        <w:t>In accordance with corporate goals, start formal programs for mid-level managers to develop their leadership skills. Building strategic competencies and resilience requires well-designed leadership development programs, according to Maor, Park and Weddle (2022)</w:t>
      </w:r>
    </w:p>
    <w:p w14:paraId="3CD904F7" w14:textId="1D949C90" w:rsidR="00013992" w:rsidRDefault="00E1049A" w:rsidP="00013992">
      <w:pPr>
        <w:pStyle w:val="ListParagraph"/>
        <w:numPr>
          <w:ilvl w:val="0"/>
          <w:numId w:val="7"/>
        </w:numPr>
        <w:spacing w:line="360" w:lineRule="auto"/>
        <w:rPr>
          <w:rFonts w:ascii="Times New Roman" w:hAnsi="Times New Roman" w:cs="Times New Roman"/>
          <w:sz w:val="24"/>
          <w:szCs w:val="24"/>
          <w:lang w:val="en-VC"/>
        </w:rPr>
      </w:pPr>
      <w:r w:rsidRPr="00013992">
        <w:rPr>
          <w:rFonts w:ascii="Times New Roman" w:hAnsi="Times New Roman" w:cs="Times New Roman"/>
          <w:b/>
          <w:bCs/>
          <w:sz w:val="24"/>
          <w:szCs w:val="24"/>
          <w:lang w:val="en-VC"/>
        </w:rPr>
        <w:t>Enhance Diversity and Inclusion:</w:t>
      </w:r>
      <w:r>
        <w:rPr>
          <w:rFonts w:ascii="Times New Roman" w:hAnsi="Times New Roman" w:cs="Times New Roman"/>
          <w:sz w:val="24"/>
          <w:szCs w:val="24"/>
          <w:lang w:val="en-VC"/>
        </w:rPr>
        <w:t xml:space="preserve"> </w:t>
      </w:r>
      <w:r w:rsidR="00013992" w:rsidRPr="00013992">
        <w:rPr>
          <w:rFonts w:ascii="Times New Roman" w:hAnsi="Times New Roman" w:cs="Times New Roman"/>
          <w:sz w:val="24"/>
          <w:szCs w:val="24"/>
          <w:lang w:val="en-VC"/>
        </w:rPr>
        <w:t>Create policies and training that celebrate cultural diversity in the workplace, address unconscious bias, and advance equal opportunity. According to Al-</w:t>
      </w:r>
      <w:proofErr w:type="spellStart"/>
      <w:r w:rsidR="00013992" w:rsidRPr="00013992">
        <w:rPr>
          <w:rFonts w:ascii="Times New Roman" w:hAnsi="Times New Roman" w:cs="Times New Roman"/>
          <w:sz w:val="24"/>
          <w:szCs w:val="24"/>
          <w:lang w:val="en-VC"/>
        </w:rPr>
        <w:t>Monawer</w:t>
      </w:r>
      <w:proofErr w:type="spellEnd"/>
      <w:r w:rsidR="00013992" w:rsidRPr="00013992">
        <w:rPr>
          <w:rFonts w:ascii="Times New Roman" w:hAnsi="Times New Roman" w:cs="Times New Roman"/>
          <w:sz w:val="24"/>
          <w:szCs w:val="24"/>
          <w:lang w:val="en-VC"/>
        </w:rPr>
        <w:t xml:space="preserve"> (2023), inclusive workplaces are positively correlated with employee retention, innovation, and general performance.</w:t>
      </w:r>
    </w:p>
    <w:p w14:paraId="69470D1D" w14:textId="77777777" w:rsidR="00013992" w:rsidRDefault="00013992">
      <w:pPr>
        <w:rPr>
          <w:rFonts w:ascii="Times New Roman" w:hAnsi="Times New Roman" w:cs="Times New Roman"/>
          <w:sz w:val="24"/>
          <w:szCs w:val="24"/>
          <w:lang w:val="en-VC"/>
        </w:rPr>
      </w:pPr>
      <w:r>
        <w:rPr>
          <w:rFonts w:ascii="Times New Roman" w:hAnsi="Times New Roman" w:cs="Times New Roman"/>
          <w:sz w:val="24"/>
          <w:szCs w:val="24"/>
          <w:lang w:val="en-VC"/>
        </w:rPr>
        <w:br w:type="page"/>
      </w:r>
    </w:p>
    <w:p w14:paraId="583940C7" w14:textId="119CEBBE" w:rsidR="00013992" w:rsidRDefault="00013992" w:rsidP="00013992">
      <w:pPr>
        <w:pStyle w:val="Heading1"/>
        <w:rPr>
          <w:lang w:val="en-VC"/>
        </w:rPr>
      </w:pPr>
      <w:bookmarkStart w:id="9" w:name="_Toc195269374"/>
      <w:r>
        <w:rPr>
          <w:lang w:val="en-VC"/>
        </w:rPr>
        <w:lastRenderedPageBreak/>
        <w:t>References</w:t>
      </w:r>
      <w:bookmarkEnd w:id="9"/>
    </w:p>
    <w:p w14:paraId="75EE9009" w14:textId="77777777" w:rsidR="00013992" w:rsidRPr="00013992" w:rsidRDefault="00013992" w:rsidP="00013992">
      <w:pPr>
        <w:rPr>
          <w:lang w:val="en-VC"/>
        </w:rPr>
      </w:pPr>
    </w:p>
    <w:p w14:paraId="350E480A" w14:textId="73182C3B" w:rsidR="00013992" w:rsidRPr="00013992" w:rsidRDefault="00013992" w:rsidP="00013992">
      <w:pPr>
        <w:spacing w:line="360" w:lineRule="auto"/>
        <w:rPr>
          <w:rFonts w:ascii="Times New Roman" w:hAnsi="Times New Roman" w:cs="Times New Roman"/>
          <w:sz w:val="24"/>
          <w:szCs w:val="24"/>
        </w:rPr>
      </w:pPr>
      <w:r w:rsidRPr="00013992">
        <w:rPr>
          <w:rFonts w:ascii="Times New Roman" w:hAnsi="Times New Roman" w:cs="Times New Roman"/>
          <w:sz w:val="24"/>
          <w:szCs w:val="24"/>
        </w:rPr>
        <w:t xml:space="preserve">Ababneh, O. M. A. (2021) ‘How do green HRM practices affect employees’ green </w:t>
      </w:r>
      <w:proofErr w:type="spellStart"/>
      <w:r w:rsidRPr="00013992">
        <w:rPr>
          <w:rFonts w:ascii="Times New Roman" w:hAnsi="Times New Roman" w:cs="Times New Roman"/>
          <w:sz w:val="24"/>
          <w:szCs w:val="24"/>
        </w:rPr>
        <w:t>behaviors</w:t>
      </w:r>
      <w:proofErr w:type="spellEnd"/>
      <w:r w:rsidRPr="00013992">
        <w:rPr>
          <w:rFonts w:ascii="Times New Roman" w:hAnsi="Times New Roman" w:cs="Times New Roman"/>
          <w:sz w:val="24"/>
          <w:szCs w:val="24"/>
        </w:rPr>
        <w:t>? The role of employee engagement and personality attributes</w:t>
      </w:r>
      <w:proofErr w:type="gramStart"/>
      <w:r w:rsidRPr="00013992">
        <w:rPr>
          <w:rFonts w:ascii="Times New Roman" w:hAnsi="Times New Roman" w:cs="Times New Roman"/>
          <w:sz w:val="24"/>
          <w:szCs w:val="24"/>
        </w:rPr>
        <w:t>’,</w:t>
      </w:r>
      <w:proofErr w:type="gramEnd"/>
      <w:r w:rsidRPr="00013992">
        <w:rPr>
          <w:rFonts w:ascii="Times New Roman" w:hAnsi="Times New Roman" w:cs="Times New Roman"/>
          <w:sz w:val="24"/>
          <w:szCs w:val="24"/>
        </w:rPr>
        <w:t> </w:t>
      </w:r>
      <w:r w:rsidRPr="00013992">
        <w:rPr>
          <w:rFonts w:ascii="Times New Roman" w:hAnsi="Times New Roman" w:cs="Times New Roman"/>
          <w:i/>
          <w:iCs/>
          <w:sz w:val="24"/>
          <w:szCs w:val="24"/>
        </w:rPr>
        <w:t>Journal of Environmental Planning and Management</w:t>
      </w:r>
      <w:r w:rsidRPr="00013992">
        <w:rPr>
          <w:rFonts w:ascii="Times New Roman" w:hAnsi="Times New Roman" w:cs="Times New Roman"/>
          <w:sz w:val="24"/>
          <w:szCs w:val="24"/>
        </w:rPr>
        <w:t xml:space="preserve">, 64(7), pp. 1204–1226. </w:t>
      </w:r>
      <w:proofErr w:type="spellStart"/>
      <w:r w:rsidRPr="00013992">
        <w:rPr>
          <w:rFonts w:ascii="Times New Roman" w:hAnsi="Times New Roman" w:cs="Times New Roman"/>
          <w:sz w:val="24"/>
          <w:szCs w:val="24"/>
        </w:rPr>
        <w:t>doi</w:t>
      </w:r>
      <w:proofErr w:type="spellEnd"/>
      <w:r w:rsidRPr="00013992">
        <w:rPr>
          <w:rFonts w:ascii="Times New Roman" w:hAnsi="Times New Roman" w:cs="Times New Roman"/>
          <w:sz w:val="24"/>
          <w:szCs w:val="24"/>
        </w:rPr>
        <w:t>: 10.1080/09640568.2020.1814708.</w:t>
      </w:r>
    </w:p>
    <w:p w14:paraId="27770A41" w14:textId="5C188E0C"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Adewumi, N.A., </w:t>
      </w:r>
      <w:proofErr w:type="spellStart"/>
      <w:r w:rsidRPr="00013992">
        <w:rPr>
          <w:rFonts w:ascii="Times New Roman" w:hAnsi="Times New Roman" w:cs="Times New Roman"/>
          <w:sz w:val="24"/>
          <w:szCs w:val="24"/>
          <w:lang w:val="en-VC"/>
        </w:rPr>
        <w:t>Ewim</w:t>
      </w:r>
      <w:proofErr w:type="spellEnd"/>
      <w:r w:rsidRPr="00013992">
        <w:rPr>
          <w:rFonts w:ascii="Times New Roman" w:hAnsi="Times New Roman" w:cs="Times New Roman"/>
          <w:sz w:val="24"/>
          <w:szCs w:val="24"/>
          <w:lang w:val="en-VC"/>
        </w:rPr>
        <w:t>, E., Sam-</w:t>
      </w:r>
      <w:proofErr w:type="spellStart"/>
      <w:r w:rsidRPr="00013992">
        <w:rPr>
          <w:rFonts w:ascii="Times New Roman" w:hAnsi="Times New Roman" w:cs="Times New Roman"/>
          <w:sz w:val="24"/>
          <w:szCs w:val="24"/>
          <w:lang w:val="en-VC"/>
        </w:rPr>
        <w:t>Bulya</w:t>
      </w:r>
      <w:proofErr w:type="spellEnd"/>
      <w:r w:rsidRPr="00013992">
        <w:rPr>
          <w:rFonts w:ascii="Times New Roman" w:hAnsi="Times New Roman" w:cs="Times New Roman"/>
          <w:sz w:val="24"/>
          <w:szCs w:val="24"/>
          <w:lang w:val="en-VC"/>
        </w:rPr>
        <w:t xml:space="preserve">, J. and Ajani, B. (2024). Advancing business performance through data-driven process automation: A case study of digital transformation in the banking sector. </w:t>
      </w:r>
      <w:r w:rsidRPr="00013992">
        <w:rPr>
          <w:rFonts w:ascii="Times New Roman" w:hAnsi="Times New Roman" w:cs="Times New Roman"/>
          <w:i/>
          <w:iCs/>
          <w:sz w:val="24"/>
          <w:szCs w:val="24"/>
          <w:lang w:val="en-VC"/>
        </w:rPr>
        <w:t>International Journal of Multidisciplinary Research Updates</w:t>
      </w:r>
      <w:r w:rsidRPr="00013992">
        <w:rPr>
          <w:rFonts w:ascii="Times New Roman" w:hAnsi="Times New Roman" w:cs="Times New Roman"/>
          <w:sz w:val="24"/>
          <w:szCs w:val="24"/>
          <w:lang w:val="en-VC"/>
        </w:rPr>
        <w:t xml:space="preserve">, 8(2), pp.012–022.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://doi.org/10.53430/ijmru.2024.8.2.0049</w:t>
      </w:r>
      <w:proofErr w:type="gramEnd"/>
      <w:r w:rsidRPr="00013992">
        <w:rPr>
          <w:rFonts w:ascii="Times New Roman" w:hAnsi="Times New Roman" w:cs="Times New Roman"/>
          <w:sz w:val="24"/>
          <w:szCs w:val="24"/>
          <w:lang w:val="en-VC"/>
        </w:rPr>
        <w:t>.</w:t>
      </w:r>
    </w:p>
    <w:p w14:paraId="1CD13209"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Al-</w:t>
      </w:r>
      <w:proofErr w:type="spellStart"/>
      <w:r w:rsidRPr="00013992">
        <w:rPr>
          <w:rFonts w:ascii="Times New Roman" w:hAnsi="Times New Roman" w:cs="Times New Roman"/>
          <w:sz w:val="24"/>
          <w:szCs w:val="24"/>
          <w:lang w:val="en-VC"/>
        </w:rPr>
        <w:t>Monawer</w:t>
      </w:r>
      <w:proofErr w:type="spellEnd"/>
      <w:r w:rsidRPr="00013992">
        <w:rPr>
          <w:rFonts w:ascii="Times New Roman" w:hAnsi="Times New Roman" w:cs="Times New Roman"/>
          <w:sz w:val="24"/>
          <w:szCs w:val="24"/>
          <w:lang w:val="en-VC"/>
        </w:rPr>
        <w:t xml:space="preserve">, F.H. (2023). Analyzing The Relationship Between Workplace Diversity and Innovation and Its Influence on Organizational Performance. </w:t>
      </w:r>
      <w:r w:rsidRPr="00013992">
        <w:rPr>
          <w:rFonts w:ascii="Times New Roman" w:hAnsi="Times New Roman" w:cs="Times New Roman"/>
          <w:i/>
          <w:iCs/>
          <w:sz w:val="24"/>
          <w:szCs w:val="24"/>
          <w:lang w:val="en-VC"/>
        </w:rPr>
        <w:t>Journal of system and management sciences</w:t>
      </w:r>
      <w:r w:rsidRPr="00013992">
        <w:rPr>
          <w:rFonts w:ascii="Times New Roman" w:hAnsi="Times New Roman" w:cs="Times New Roman"/>
          <w:sz w:val="24"/>
          <w:szCs w:val="24"/>
          <w:lang w:val="en-VC"/>
        </w:rPr>
        <w:t>, [online] 14(1), pp.471–489. Available at: https://www.researchgate.net/publication/376834455_Analyzing_The_Relationship_Between_Workplace_Diversity_and_Innovation_and_Its_Influence_on_Organizational_Performance.</w:t>
      </w:r>
    </w:p>
    <w:p w14:paraId="2079559E" w14:textId="77777777" w:rsidR="00013992" w:rsidRPr="00013992" w:rsidRDefault="00013992" w:rsidP="00013992">
      <w:pPr>
        <w:spacing w:line="360" w:lineRule="auto"/>
        <w:rPr>
          <w:rFonts w:ascii="Times New Roman" w:hAnsi="Times New Roman" w:cs="Times New Roman"/>
          <w:sz w:val="24"/>
          <w:szCs w:val="24"/>
          <w:lang w:val="en-VC"/>
        </w:rPr>
      </w:pPr>
      <w:proofErr w:type="spellStart"/>
      <w:r w:rsidRPr="00013992">
        <w:rPr>
          <w:rFonts w:ascii="Times New Roman" w:hAnsi="Times New Roman" w:cs="Times New Roman"/>
          <w:sz w:val="24"/>
          <w:szCs w:val="24"/>
          <w:lang w:val="en-VC"/>
        </w:rPr>
        <w:t>Aprilina</w:t>
      </w:r>
      <w:proofErr w:type="spellEnd"/>
      <w:r w:rsidRPr="00013992">
        <w:rPr>
          <w:rFonts w:ascii="Times New Roman" w:hAnsi="Times New Roman" w:cs="Times New Roman"/>
          <w:sz w:val="24"/>
          <w:szCs w:val="24"/>
          <w:lang w:val="en-VC"/>
        </w:rPr>
        <w:t xml:space="preserve">, R. and </w:t>
      </w:r>
      <w:proofErr w:type="spellStart"/>
      <w:r w:rsidRPr="00013992">
        <w:rPr>
          <w:rFonts w:ascii="Times New Roman" w:hAnsi="Times New Roman" w:cs="Times New Roman"/>
          <w:sz w:val="24"/>
          <w:szCs w:val="24"/>
          <w:lang w:val="en-VC"/>
        </w:rPr>
        <w:t>Martdianty</w:t>
      </w:r>
      <w:proofErr w:type="spellEnd"/>
      <w:r w:rsidRPr="00013992">
        <w:rPr>
          <w:rFonts w:ascii="Times New Roman" w:hAnsi="Times New Roman" w:cs="Times New Roman"/>
          <w:sz w:val="24"/>
          <w:szCs w:val="24"/>
          <w:lang w:val="en-VC"/>
        </w:rPr>
        <w:t xml:space="preserve">, F. (2023). The Role of Hybrid-Working in Improving Employees’ Satisfaction, Perceived Productivity, and Organizations’ Capabilities. </w:t>
      </w:r>
      <w:r w:rsidRPr="00013992">
        <w:rPr>
          <w:rFonts w:ascii="Times New Roman" w:hAnsi="Times New Roman" w:cs="Times New Roman"/>
          <w:i/>
          <w:iCs/>
          <w:sz w:val="24"/>
          <w:szCs w:val="24"/>
          <w:lang w:val="en-VC"/>
        </w:rPr>
        <w:t>Journal of Theory and Applied Management</w:t>
      </w:r>
      <w:r w:rsidRPr="00013992">
        <w:rPr>
          <w:rFonts w:ascii="Times New Roman" w:hAnsi="Times New Roman" w:cs="Times New Roman"/>
          <w:sz w:val="24"/>
          <w:szCs w:val="24"/>
          <w:lang w:val="en-VC"/>
        </w:rPr>
        <w:t xml:space="preserve">, 16(2), pp.206–222.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://doi.org/10.20473/jmtt.v16i2.45632</w:t>
      </w:r>
      <w:proofErr w:type="gramEnd"/>
      <w:r w:rsidRPr="00013992">
        <w:rPr>
          <w:rFonts w:ascii="Times New Roman" w:hAnsi="Times New Roman" w:cs="Times New Roman"/>
          <w:sz w:val="24"/>
          <w:szCs w:val="24"/>
          <w:lang w:val="en-VC"/>
        </w:rPr>
        <w:t>.</w:t>
      </w:r>
    </w:p>
    <w:p w14:paraId="69D659C6"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Barrena-Martínez, J., López-Fernández, M. and Romero-Fernández, P.M. (2017). Socially responsible human resource policies and practices: Academic and professional validation. </w:t>
      </w:r>
      <w:r w:rsidRPr="00013992">
        <w:rPr>
          <w:rFonts w:ascii="Times New Roman" w:hAnsi="Times New Roman" w:cs="Times New Roman"/>
          <w:i/>
          <w:iCs/>
          <w:sz w:val="24"/>
          <w:szCs w:val="24"/>
          <w:lang w:val="en-VC"/>
        </w:rPr>
        <w:t>European Research on Management and Business Economics</w:t>
      </w:r>
      <w:r w:rsidRPr="00013992">
        <w:rPr>
          <w:rFonts w:ascii="Times New Roman" w:hAnsi="Times New Roman" w:cs="Times New Roman"/>
          <w:sz w:val="24"/>
          <w:szCs w:val="24"/>
          <w:lang w:val="en-VC"/>
        </w:rPr>
        <w:t xml:space="preserve">, 23(1), pp.55–61.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://doi.org/10.1016/j.iedeen.2016.05.001</w:t>
      </w:r>
      <w:proofErr w:type="gramEnd"/>
      <w:r w:rsidRPr="00013992">
        <w:rPr>
          <w:rFonts w:ascii="Times New Roman" w:hAnsi="Times New Roman" w:cs="Times New Roman"/>
          <w:sz w:val="24"/>
          <w:szCs w:val="24"/>
          <w:lang w:val="en-VC"/>
        </w:rPr>
        <w:t>.</w:t>
      </w:r>
    </w:p>
    <w:p w14:paraId="5F3EF6CA" w14:textId="382DD8B2"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BOSVG (2022). </w:t>
      </w:r>
      <w:r w:rsidRPr="00013992">
        <w:rPr>
          <w:rFonts w:ascii="Times New Roman" w:hAnsi="Times New Roman" w:cs="Times New Roman"/>
          <w:i/>
          <w:iCs/>
          <w:sz w:val="24"/>
          <w:szCs w:val="24"/>
          <w:lang w:val="en-VC"/>
        </w:rPr>
        <w:t>2021 Annual Report - Bank of Saint Vincent &amp; the Grenadines</w:t>
      </w:r>
      <w:r w:rsidRPr="00013992">
        <w:rPr>
          <w:rFonts w:ascii="Times New Roman" w:hAnsi="Times New Roman" w:cs="Times New Roman"/>
          <w:sz w:val="24"/>
          <w:szCs w:val="24"/>
          <w:lang w:val="en-VC"/>
        </w:rPr>
        <w:t xml:space="preserve">. [online] Bank of Saint Vincent &amp; the Grenadines. Available at: https://www.bosvg.com/2021-annual-report/ [Accessed </w:t>
      </w:r>
      <w:r w:rsidR="00161627">
        <w:rPr>
          <w:rFonts w:ascii="Times New Roman" w:hAnsi="Times New Roman" w:cs="Times New Roman"/>
          <w:sz w:val="24"/>
          <w:szCs w:val="24"/>
          <w:lang w:val="en-VC"/>
        </w:rPr>
        <w:t>01</w:t>
      </w:r>
      <w:r w:rsidRPr="00013992">
        <w:rPr>
          <w:rFonts w:ascii="Times New Roman" w:hAnsi="Times New Roman" w:cs="Times New Roman"/>
          <w:sz w:val="24"/>
          <w:szCs w:val="24"/>
          <w:lang w:val="en-VC"/>
        </w:rPr>
        <w:t xml:space="preserve"> Apr. 2025].</w:t>
      </w:r>
    </w:p>
    <w:p w14:paraId="0D8E98E0" w14:textId="047258D0" w:rsid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CIPD (2023). </w:t>
      </w:r>
      <w:r w:rsidRPr="00013992">
        <w:rPr>
          <w:rFonts w:ascii="Times New Roman" w:hAnsi="Times New Roman" w:cs="Times New Roman"/>
          <w:i/>
          <w:iCs/>
          <w:sz w:val="24"/>
          <w:szCs w:val="24"/>
          <w:lang w:val="en-VC"/>
        </w:rPr>
        <w:t>CIPD | People Profession 2023: International survey report</w:t>
      </w:r>
      <w:r w:rsidRPr="00013992">
        <w:rPr>
          <w:rFonts w:ascii="Times New Roman" w:hAnsi="Times New Roman" w:cs="Times New Roman"/>
          <w:sz w:val="24"/>
          <w:szCs w:val="24"/>
          <w:lang w:val="en-VC"/>
        </w:rPr>
        <w:t xml:space="preserve">. [online] CIPD. Available at: </w:t>
      </w:r>
      <w:hyperlink r:id="rId11" w:history="1">
        <w:r w:rsidRPr="00013992">
          <w:rPr>
            <w:rStyle w:val="Hyperlink"/>
            <w:rFonts w:ascii="Times New Roman" w:hAnsi="Times New Roman" w:cs="Times New Roman"/>
            <w:sz w:val="24"/>
            <w:szCs w:val="24"/>
            <w:lang w:val="en-VC"/>
          </w:rPr>
          <w:t>https://www.cipd.org/en/knowledge/reports/people-profession-survey-2023/</w:t>
        </w:r>
      </w:hyperlink>
      <w:r w:rsidRPr="00013992">
        <w:rPr>
          <w:rFonts w:ascii="Times New Roman" w:hAnsi="Times New Roman" w:cs="Times New Roman"/>
          <w:sz w:val="24"/>
          <w:szCs w:val="24"/>
          <w:lang w:val="en-VC"/>
        </w:rPr>
        <w:t>.</w:t>
      </w:r>
    </w:p>
    <w:p w14:paraId="2641060D" w14:textId="34490E0C"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Collings, D.G. and </w:t>
      </w:r>
      <w:proofErr w:type="spellStart"/>
      <w:r w:rsidRPr="00013992">
        <w:rPr>
          <w:rFonts w:ascii="Times New Roman" w:hAnsi="Times New Roman" w:cs="Times New Roman"/>
          <w:sz w:val="24"/>
          <w:szCs w:val="24"/>
          <w:lang w:val="en-VC"/>
        </w:rPr>
        <w:t>Mellahi</w:t>
      </w:r>
      <w:proofErr w:type="spellEnd"/>
      <w:r w:rsidRPr="00013992">
        <w:rPr>
          <w:rFonts w:ascii="Times New Roman" w:hAnsi="Times New Roman" w:cs="Times New Roman"/>
          <w:sz w:val="24"/>
          <w:szCs w:val="24"/>
          <w:lang w:val="en-VC"/>
        </w:rPr>
        <w:t xml:space="preserve">, K. (2009) ‘Strategic talent management: A review and research agenda’, </w:t>
      </w:r>
      <w:r w:rsidRPr="00013992">
        <w:rPr>
          <w:rFonts w:ascii="Times New Roman" w:hAnsi="Times New Roman" w:cs="Times New Roman"/>
          <w:i/>
          <w:iCs/>
          <w:sz w:val="24"/>
          <w:szCs w:val="24"/>
          <w:lang w:val="en-VC"/>
        </w:rPr>
        <w:t>Human resource management review</w:t>
      </w:r>
      <w:r w:rsidRPr="00013992">
        <w:rPr>
          <w:rFonts w:ascii="Times New Roman" w:hAnsi="Times New Roman" w:cs="Times New Roman"/>
          <w:sz w:val="24"/>
          <w:szCs w:val="24"/>
          <w:lang w:val="en-VC"/>
        </w:rPr>
        <w:t>, 19(4), pp. 304–313. Available at: https://doi.org/10.1016/j.hrmr.2009.04.001.</w:t>
      </w:r>
    </w:p>
    <w:p w14:paraId="328B75A9" w14:textId="19E71F54" w:rsid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lastRenderedPageBreak/>
        <w:t xml:space="preserve">Easter Caribbean Central Bank (2023). </w:t>
      </w:r>
      <w:r w:rsidRPr="00013992">
        <w:rPr>
          <w:rFonts w:ascii="Times New Roman" w:hAnsi="Times New Roman" w:cs="Times New Roman"/>
          <w:i/>
          <w:iCs/>
          <w:sz w:val="24"/>
          <w:szCs w:val="24"/>
          <w:lang w:val="en-VC"/>
        </w:rPr>
        <w:t>Bank of St Vincent and the Grenadines Limited (BOSVG) Acquires First Caribbean International Bank Limited (FCIB), Saint Vincent and the Grenadines Branch</w:t>
      </w:r>
      <w:r w:rsidRPr="00013992">
        <w:rPr>
          <w:rFonts w:ascii="Times New Roman" w:hAnsi="Times New Roman" w:cs="Times New Roman"/>
          <w:sz w:val="24"/>
          <w:szCs w:val="24"/>
          <w:lang w:val="en-VC"/>
        </w:rPr>
        <w:t xml:space="preserve">. [online] www.eccb-centralbank.org. Available at: </w:t>
      </w:r>
      <w:hyperlink r:id="rId12" w:history="1">
        <w:r w:rsidRPr="00013992">
          <w:rPr>
            <w:rStyle w:val="Hyperlink"/>
            <w:rFonts w:ascii="Times New Roman" w:hAnsi="Times New Roman" w:cs="Times New Roman"/>
            <w:sz w:val="24"/>
            <w:szCs w:val="24"/>
            <w:lang w:val="en-VC"/>
          </w:rPr>
          <w:t>https://www.eccb-centralbank.org/news/bank-of-st-vincent-and-the-grenadines-limited-bosvg-acquires-firstcaribbean-international-bank-barbados-limited-fcib-saint-vincent-and-the-grenadines-branch</w:t>
        </w:r>
      </w:hyperlink>
      <w:r w:rsidRPr="00013992">
        <w:rPr>
          <w:rFonts w:ascii="Times New Roman" w:hAnsi="Times New Roman" w:cs="Times New Roman"/>
          <w:sz w:val="24"/>
          <w:szCs w:val="24"/>
          <w:lang w:val="en-VC"/>
        </w:rPr>
        <w:t>.</w:t>
      </w:r>
    </w:p>
    <w:p w14:paraId="050A2900" w14:textId="5A820422" w:rsidR="00013992" w:rsidRDefault="00013992" w:rsidP="00013992">
      <w:pPr>
        <w:spacing w:line="360" w:lineRule="auto"/>
        <w:rPr>
          <w:rFonts w:ascii="Times New Roman" w:hAnsi="Times New Roman" w:cs="Times New Roman"/>
          <w:sz w:val="24"/>
          <w:szCs w:val="24"/>
        </w:rPr>
      </w:pPr>
      <w:r w:rsidRPr="00013992">
        <w:rPr>
          <w:rFonts w:ascii="Times New Roman" w:hAnsi="Times New Roman" w:cs="Times New Roman"/>
          <w:sz w:val="24"/>
          <w:szCs w:val="24"/>
        </w:rPr>
        <w:t xml:space="preserve">Graham ME and Tarbell LM (2006) ‘The importance of the employee perspective in the competency development of human resource professionals’, </w:t>
      </w:r>
      <w:r w:rsidRPr="00013992">
        <w:rPr>
          <w:rFonts w:ascii="Times New Roman" w:hAnsi="Times New Roman" w:cs="Times New Roman"/>
          <w:i/>
          <w:iCs/>
          <w:sz w:val="24"/>
          <w:szCs w:val="24"/>
        </w:rPr>
        <w:t>Human Resource Management</w:t>
      </w:r>
      <w:r w:rsidRPr="00013992">
        <w:rPr>
          <w:rFonts w:ascii="Times New Roman" w:hAnsi="Times New Roman" w:cs="Times New Roman"/>
          <w:sz w:val="24"/>
          <w:szCs w:val="24"/>
        </w:rPr>
        <w:t>, 45(3), pp. 337–355. doi:10.1002/hrm.20116.</w:t>
      </w:r>
      <w:r>
        <w:rPr>
          <w:rFonts w:ascii="Times New Roman" w:hAnsi="Times New Roman" w:cs="Times New Roman"/>
          <w:sz w:val="24"/>
          <w:szCs w:val="24"/>
        </w:rPr>
        <w:t xml:space="preserve"> </w:t>
      </w:r>
    </w:p>
    <w:p w14:paraId="406CB0AA" w14:textId="6BED9070" w:rsidR="00013992" w:rsidRPr="00013992" w:rsidRDefault="00013992" w:rsidP="00013992">
      <w:pPr>
        <w:spacing w:line="360" w:lineRule="auto"/>
        <w:rPr>
          <w:rFonts w:ascii="Times New Roman" w:hAnsi="Times New Roman" w:cs="Times New Roman"/>
          <w:sz w:val="24"/>
          <w:szCs w:val="24"/>
        </w:rPr>
      </w:pPr>
      <w:r w:rsidRPr="00013992">
        <w:rPr>
          <w:rFonts w:ascii="Times New Roman" w:hAnsi="Times New Roman" w:cs="Times New Roman"/>
          <w:sz w:val="24"/>
          <w:szCs w:val="24"/>
        </w:rPr>
        <w:t>GROVES, K.S., 2007. Integrating leadership development and succession planning best practices. </w:t>
      </w:r>
      <w:r w:rsidRPr="00013992">
        <w:rPr>
          <w:rFonts w:ascii="Times New Roman" w:hAnsi="Times New Roman" w:cs="Times New Roman"/>
          <w:i/>
          <w:iCs/>
          <w:sz w:val="24"/>
          <w:szCs w:val="24"/>
        </w:rPr>
        <w:t>The Journal of Management Development, </w:t>
      </w:r>
      <w:r w:rsidRPr="00013992">
        <w:rPr>
          <w:rFonts w:ascii="Times New Roman" w:hAnsi="Times New Roman" w:cs="Times New Roman"/>
          <w:b/>
          <w:bCs/>
          <w:sz w:val="24"/>
          <w:szCs w:val="24"/>
        </w:rPr>
        <w:t>26</w:t>
      </w:r>
      <w:r w:rsidRPr="00013992">
        <w:rPr>
          <w:rFonts w:ascii="Times New Roman" w:hAnsi="Times New Roman" w:cs="Times New Roman"/>
          <w:sz w:val="24"/>
          <w:szCs w:val="24"/>
        </w:rPr>
        <w:t>(3), pp. 239-260.</w:t>
      </w:r>
    </w:p>
    <w:p w14:paraId="2B2D9549" w14:textId="48AED205"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Hogan, S. and Coote, L. (2025). </w:t>
      </w:r>
      <w:r w:rsidRPr="00013992">
        <w:rPr>
          <w:rFonts w:ascii="Times New Roman" w:hAnsi="Times New Roman" w:cs="Times New Roman"/>
          <w:i/>
          <w:iCs/>
          <w:sz w:val="24"/>
          <w:szCs w:val="24"/>
          <w:lang w:val="en-VC"/>
        </w:rPr>
        <w:t>Organizational culture, innovation, and performance: a Test of Schein’s Model</w:t>
      </w:r>
      <w:r w:rsidRPr="00013992">
        <w:rPr>
          <w:rFonts w:ascii="Times New Roman" w:hAnsi="Times New Roman" w:cs="Times New Roman"/>
          <w:sz w:val="24"/>
          <w:szCs w:val="24"/>
          <w:lang w:val="en-VC"/>
        </w:rPr>
        <w:t xml:space="preserve">. [online] Uwtsd.ac.uk. Available at: https://www-sciencedirect-com.ezproxy.uwtsd.ac.uk/science/article/pii/S0148296313003342 [Accessed </w:t>
      </w:r>
      <w:r w:rsidR="00161627">
        <w:rPr>
          <w:rFonts w:ascii="Times New Roman" w:hAnsi="Times New Roman" w:cs="Times New Roman"/>
          <w:sz w:val="24"/>
          <w:szCs w:val="24"/>
          <w:lang w:val="en-VC"/>
        </w:rPr>
        <w:t>02</w:t>
      </w:r>
      <w:r w:rsidRPr="00013992">
        <w:rPr>
          <w:rFonts w:ascii="Times New Roman" w:hAnsi="Times New Roman" w:cs="Times New Roman"/>
          <w:sz w:val="24"/>
          <w:szCs w:val="24"/>
          <w:lang w:val="en-VC"/>
        </w:rPr>
        <w:t xml:space="preserve"> Apr. 2025].</w:t>
      </w:r>
    </w:p>
    <w:p w14:paraId="0EC4D08A"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Khalid Alqarni, Mohamed Fathy </w:t>
      </w:r>
      <w:proofErr w:type="spellStart"/>
      <w:r w:rsidRPr="00013992">
        <w:rPr>
          <w:rFonts w:ascii="Times New Roman" w:hAnsi="Times New Roman" w:cs="Times New Roman"/>
          <w:sz w:val="24"/>
          <w:szCs w:val="24"/>
          <w:lang w:val="en-VC"/>
        </w:rPr>
        <w:t>Agina</w:t>
      </w:r>
      <w:proofErr w:type="spellEnd"/>
      <w:r w:rsidRPr="00013992">
        <w:rPr>
          <w:rFonts w:ascii="Times New Roman" w:hAnsi="Times New Roman" w:cs="Times New Roman"/>
          <w:sz w:val="24"/>
          <w:szCs w:val="24"/>
          <w:lang w:val="en-VC"/>
        </w:rPr>
        <w:t>, Hazem Ahmed Khairy, Bassam Samir Al-</w:t>
      </w:r>
      <w:proofErr w:type="spellStart"/>
      <w:r w:rsidRPr="00013992">
        <w:rPr>
          <w:rFonts w:ascii="Times New Roman" w:hAnsi="Times New Roman" w:cs="Times New Roman"/>
          <w:sz w:val="24"/>
          <w:szCs w:val="24"/>
          <w:lang w:val="en-VC"/>
        </w:rPr>
        <w:t>Romeedy</w:t>
      </w:r>
      <w:proofErr w:type="spellEnd"/>
      <w:r w:rsidRPr="00013992">
        <w:rPr>
          <w:rFonts w:ascii="Times New Roman" w:hAnsi="Times New Roman" w:cs="Times New Roman"/>
          <w:sz w:val="24"/>
          <w:szCs w:val="24"/>
          <w:lang w:val="en-VC"/>
        </w:rPr>
        <w:t xml:space="preserve">, Dalia Abdelrahman Farrag and Rabab Mahmoud Abdallah (2023). The Effect of Electronic Human Resource Management Systems on Sustainable Competitive Advantages: The Roles of Sustainable Innovation and Organizational Agility. </w:t>
      </w:r>
      <w:r w:rsidRPr="00013992">
        <w:rPr>
          <w:rFonts w:ascii="Times New Roman" w:hAnsi="Times New Roman" w:cs="Times New Roman"/>
          <w:i/>
          <w:iCs/>
          <w:sz w:val="24"/>
          <w:szCs w:val="24"/>
          <w:lang w:val="en-VC"/>
        </w:rPr>
        <w:t>Sustainability</w:t>
      </w:r>
      <w:r w:rsidRPr="00013992">
        <w:rPr>
          <w:rFonts w:ascii="Times New Roman" w:hAnsi="Times New Roman" w:cs="Times New Roman"/>
          <w:sz w:val="24"/>
          <w:szCs w:val="24"/>
          <w:lang w:val="en-VC"/>
        </w:rPr>
        <w:t xml:space="preserve">, 15(23), pp.16382–16382.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://doi.org/10.3390/su152316382</w:t>
      </w:r>
      <w:proofErr w:type="gramEnd"/>
      <w:r w:rsidRPr="00013992">
        <w:rPr>
          <w:rFonts w:ascii="Times New Roman" w:hAnsi="Times New Roman" w:cs="Times New Roman"/>
          <w:sz w:val="24"/>
          <w:szCs w:val="24"/>
          <w:lang w:val="en-VC"/>
        </w:rPr>
        <w:t>.</w:t>
      </w:r>
    </w:p>
    <w:p w14:paraId="2F80E865"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Malik, S.Y., Hayat Mughal, Y., Azam, T., Cao, Y., WAN, Z., ZHU, H. and </w:t>
      </w:r>
      <w:proofErr w:type="spellStart"/>
      <w:r w:rsidRPr="00013992">
        <w:rPr>
          <w:rFonts w:ascii="Times New Roman" w:hAnsi="Times New Roman" w:cs="Times New Roman"/>
          <w:sz w:val="24"/>
          <w:szCs w:val="24"/>
          <w:lang w:val="en-VC"/>
        </w:rPr>
        <w:t>Thurasamy</w:t>
      </w:r>
      <w:proofErr w:type="spellEnd"/>
      <w:r w:rsidRPr="00013992">
        <w:rPr>
          <w:rFonts w:ascii="Times New Roman" w:hAnsi="Times New Roman" w:cs="Times New Roman"/>
          <w:sz w:val="24"/>
          <w:szCs w:val="24"/>
          <w:lang w:val="en-VC"/>
        </w:rPr>
        <w:t xml:space="preserve">, R. (2021). Corporate Social Responsibility, Green Human Resources Management, and Sustainable Performance: Is Organizational Citizenship </w:t>
      </w:r>
      <w:proofErr w:type="spellStart"/>
      <w:r w:rsidRPr="00013992">
        <w:rPr>
          <w:rFonts w:ascii="Times New Roman" w:hAnsi="Times New Roman" w:cs="Times New Roman"/>
          <w:sz w:val="24"/>
          <w:szCs w:val="24"/>
          <w:lang w:val="en-VC"/>
        </w:rPr>
        <w:t>Behavior</w:t>
      </w:r>
      <w:proofErr w:type="spellEnd"/>
      <w:r w:rsidRPr="00013992">
        <w:rPr>
          <w:rFonts w:ascii="Times New Roman" w:hAnsi="Times New Roman" w:cs="Times New Roman"/>
          <w:sz w:val="24"/>
          <w:szCs w:val="24"/>
          <w:lang w:val="en-VC"/>
        </w:rPr>
        <w:t xml:space="preserve"> towards Environment the Missing Link? </w:t>
      </w:r>
      <w:r w:rsidRPr="00013992">
        <w:rPr>
          <w:rFonts w:ascii="Times New Roman" w:hAnsi="Times New Roman" w:cs="Times New Roman"/>
          <w:i/>
          <w:iCs/>
          <w:sz w:val="24"/>
          <w:szCs w:val="24"/>
          <w:lang w:val="en-VC"/>
        </w:rPr>
        <w:t>Sustainability</w:t>
      </w:r>
      <w:r w:rsidRPr="00013992">
        <w:rPr>
          <w:rFonts w:ascii="Times New Roman" w:hAnsi="Times New Roman" w:cs="Times New Roman"/>
          <w:sz w:val="24"/>
          <w:szCs w:val="24"/>
          <w:lang w:val="en-VC"/>
        </w:rPr>
        <w:t>, [online] 13(3), p.1044. Available at: https://www.mdpi.com/2071-1050/13/3/1044.</w:t>
      </w:r>
    </w:p>
    <w:p w14:paraId="7F602F3F"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Maor, D., Park, M. and Weddle, B. (2022). </w:t>
      </w:r>
      <w:r w:rsidRPr="00013992">
        <w:rPr>
          <w:rFonts w:ascii="Times New Roman" w:hAnsi="Times New Roman" w:cs="Times New Roman"/>
          <w:i/>
          <w:iCs/>
          <w:sz w:val="24"/>
          <w:szCs w:val="24"/>
          <w:lang w:val="en-VC"/>
        </w:rPr>
        <w:t>Raising the resilience of your organization</w:t>
      </w:r>
      <w:r w:rsidRPr="00013992">
        <w:rPr>
          <w:rFonts w:ascii="Times New Roman" w:hAnsi="Times New Roman" w:cs="Times New Roman"/>
          <w:sz w:val="24"/>
          <w:szCs w:val="24"/>
          <w:lang w:val="en-VC"/>
        </w:rPr>
        <w:t>. [online] McKinsey &amp; Company. Available at: https://www.mckinsey.com/capabilities/people-and-organizational-performance/our-insights/raising-the-resilience-of-your-organization.</w:t>
      </w:r>
    </w:p>
    <w:p w14:paraId="28018BCF" w14:textId="77777777"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Nascimento, R.G.D.C.B.D., Marcon, G.B. and Neto, J.M.F.A. (2024). The Strategic Recruitment Process </w:t>
      </w:r>
      <w:proofErr w:type="gramStart"/>
      <w:r w:rsidRPr="00013992">
        <w:rPr>
          <w:rFonts w:ascii="Times New Roman" w:hAnsi="Times New Roman" w:cs="Times New Roman"/>
          <w:sz w:val="24"/>
          <w:szCs w:val="24"/>
          <w:lang w:val="en-VC"/>
        </w:rPr>
        <w:t>And</w:t>
      </w:r>
      <w:proofErr w:type="gramEnd"/>
      <w:r w:rsidRPr="00013992">
        <w:rPr>
          <w:rFonts w:ascii="Times New Roman" w:hAnsi="Times New Roman" w:cs="Times New Roman"/>
          <w:sz w:val="24"/>
          <w:szCs w:val="24"/>
          <w:lang w:val="en-VC"/>
        </w:rPr>
        <w:t xml:space="preserve"> Its Impacts </w:t>
      </w:r>
      <w:proofErr w:type="gramStart"/>
      <w:r w:rsidRPr="00013992">
        <w:rPr>
          <w:rFonts w:ascii="Times New Roman" w:hAnsi="Times New Roman" w:cs="Times New Roman"/>
          <w:sz w:val="24"/>
          <w:szCs w:val="24"/>
          <w:lang w:val="en-VC"/>
        </w:rPr>
        <w:t>On</w:t>
      </w:r>
      <w:proofErr w:type="gramEnd"/>
      <w:r w:rsidRPr="00013992">
        <w:rPr>
          <w:rFonts w:ascii="Times New Roman" w:hAnsi="Times New Roman" w:cs="Times New Roman"/>
          <w:sz w:val="24"/>
          <w:szCs w:val="24"/>
          <w:lang w:val="en-VC"/>
        </w:rPr>
        <w:t xml:space="preserve"> Achieving Organizational Objectives: Bibliographic Review. </w:t>
      </w:r>
      <w:r w:rsidRPr="00013992">
        <w:rPr>
          <w:rFonts w:ascii="Times New Roman" w:hAnsi="Times New Roman" w:cs="Times New Roman"/>
          <w:i/>
          <w:iCs/>
          <w:sz w:val="24"/>
          <w:szCs w:val="24"/>
          <w:lang w:val="en-VC"/>
        </w:rPr>
        <w:t>IOSR Journal of Business and Management</w:t>
      </w:r>
      <w:r w:rsidRPr="00013992">
        <w:rPr>
          <w:rFonts w:ascii="Times New Roman" w:hAnsi="Times New Roman" w:cs="Times New Roman"/>
          <w:sz w:val="24"/>
          <w:szCs w:val="24"/>
          <w:lang w:val="en-VC"/>
        </w:rPr>
        <w:t xml:space="preserve">, [online] 26(10), pp.01-14.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://doi.org/10.9790/487x-2610160114</w:t>
      </w:r>
      <w:proofErr w:type="gramEnd"/>
      <w:r w:rsidRPr="00013992">
        <w:rPr>
          <w:rFonts w:ascii="Times New Roman" w:hAnsi="Times New Roman" w:cs="Times New Roman"/>
          <w:sz w:val="24"/>
          <w:szCs w:val="24"/>
          <w:lang w:val="en-VC"/>
        </w:rPr>
        <w:t>.</w:t>
      </w:r>
    </w:p>
    <w:p w14:paraId="5E5D4ADB" w14:textId="77777777" w:rsidR="00013992" w:rsidRDefault="00013992" w:rsidP="00013992">
      <w:pPr>
        <w:spacing w:line="360" w:lineRule="auto"/>
        <w:rPr>
          <w:rFonts w:ascii="Times New Roman" w:hAnsi="Times New Roman" w:cs="Times New Roman"/>
          <w:sz w:val="24"/>
          <w:szCs w:val="24"/>
          <w:lang w:val="en-VC"/>
        </w:rPr>
      </w:pPr>
      <w:proofErr w:type="spellStart"/>
      <w:r w:rsidRPr="00013992">
        <w:rPr>
          <w:rFonts w:ascii="Times New Roman" w:hAnsi="Times New Roman" w:cs="Times New Roman"/>
          <w:sz w:val="24"/>
          <w:szCs w:val="24"/>
          <w:lang w:val="en-VC"/>
        </w:rPr>
        <w:lastRenderedPageBreak/>
        <w:t>Okatta</w:t>
      </w:r>
      <w:proofErr w:type="spellEnd"/>
      <w:r w:rsidRPr="00013992">
        <w:rPr>
          <w:rFonts w:ascii="Times New Roman" w:hAnsi="Times New Roman" w:cs="Times New Roman"/>
          <w:sz w:val="24"/>
          <w:szCs w:val="24"/>
          <w:lang w:val="en-VC"/>
        </w:rPr>
        <w:t xml:space="preserve">, C.G., Ajayi, F.A. and Olawale, O. (2024). LEVERAGING HR ANALYTICS FOR STRATEGIC DECISION MAKING: OPPORTUNITIES AND CHALLENGES. </w:t>
      </w:r>
      <w:r w:rsidRPr="00013992">
        <w:rPr>
          <w:rFonts w:ascii="Times New Roman" w:hAnsi="Times New Roman" w:cs="Times New Roman"/>
          <w:i/>
          <w:iCs/>
          <w:sz w:val="24"/>
          <w:szCs w:val="24"/>
          <w:lang w:val="en-VC"/>
        </w:rPr>
        <w:t>International Journal of Management &amp; Entrepreneurship Research</w:t>
      </w:r>
      <w:r w:rsidRPr="00013992">
        <w:rPr>
          <w:rFonts w:ascii="Times New Roman" w:hAnsi="Times New Roman" w:cs="Times New Roman"/>
          <w:sz w:val="24"/>
          <w:szCs w:val="24"/>
          <w:lang w:val="en-VC"/>
        </w:rPr>
        <w:t xml:space="preserve">, 6(4), pp.1304–1325.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://doi.org/10.51594/ijmer.v6i4.1060</w:t>
      </w:r>
      <w:proofErr w:type="gramEnd"/>
      <w:r w:rsidRPr="00013992">
        <w:rPr>
          <w:rFonts w:ascii="Times New Roman" w:hAnsi="Times New Roman" w:cs="Times New Roman"/>
          <w:sz w:val="24"/>
          <w:szCs w:val="24"/>
          <w:lang w:val="en-VC"/>
        </w:rPr>
        <w:t>.</w:t>
      </w:r>
    </w:p>
    <w:p w14:paraId="2843932F" w14:textId="7703D120" w:rsidR="00013992" w:rsidRPr="00013992" w:rsidRDefault="00013992" w:rsidP="00013992">
      <w:pPr>
        <w:spacing w:line="360" w:lineRule="auto"/>
        <w:rPr>
          <w:rFonts w:ascii="Times New Roman" w:hAnsi="Times New Roman" w:cs="Times New Roman"/>
          <w:sz w:val="24"/>
          <w:szCs w:val="24"/>
        </w:rPr>
      </w:pPr>
      <w:r w:rsidRPr="00013992">
        <w:rPr>
          <w:rFonts w:ascii="Times New Roman" w:hAnsi="Times New Roman" w:cs="Times New Roman"/>
          <w:sz w:val="24"/>
          <w:szCs w:val="24"/>
        </w:rPr>
        <w:t>RAHMAN, M., AYDIN, E., HAFFAR, M. and NWAGBARA, U., 2022. The role of social media in e-recruitment process: empirical evidence from developing countries in social network theory. </w:t>
      </w:r>
      <w:r w:rsidRPr="00013992">
        <w:rPr>
          <w:rFonts w:ascii="Times New Roman" w:hAnsi="Times New Roman" w:cs="Times New Roman"/>
          <w:i/>
          <w:iCs/>
          <w:sz w:val="24"/>
          <w:szCs w:val="24"/>
        </w:rPr>
        <w:t>Journal of Enterprise Information Management, </w:t>
      </w:r>
      <w:r w:rsidRPr="00013992">
        <w:rPr>
          <w:rFonts w:ascii="Times New Roman" w:hAnsi="Times New Roman" w:cs="Times New Roman"/>
          <w:b/>
          <w:bCs/>
          <w:sz w:val="24"/>
          <w:szCs w:val="24"/>
        </w:rPr>
        <w:t>35</w:t>
      </w:r>
      <w:r w:rsidRPr="00013992">
        <w:rPr>
          <w:rFonts w:ascii="Times New Roman" w:hAnsi="Times New Roman" w:cs="Times New Roman"/>
          <w:sz w:val="24"/>
          <w:szCs w:val="24"/>
        </w:rPr>
        <w:t>(6), pp. 1697-1718.</w:t>
      </w:r>
    </w:p>
    <w:p w14:paraId="3C0D986A" w14:textId="77777777" w:rsidR="00013992" w:rsidRPr="00013992" w:rsidRDefault="00013992" w:rsidP="00013992">
      <w:pPr>
        <w:spacing w:line="360" w:lineRule="auto"/>
        <w:rPr>
          <w:rFonts w:ascii="Times New Roman" w:hAnsi="Times New Roman" w:cs="Times New Roman"/>
          <w:sz w:val="24"/>
          <w:szCs w:val="24"/>
          <w:lang w:val="en-VC"/>
        </w:rPr>
      </w:pPr>
      <w:proofErr w:type="spellStart"/>
      <w:r w:rsidRPr="00013992">
        <w:rPr>
          <w:rFonts w:ascii="Times New Roman" w:hAnsi="Times New Roman" w:cs="Times New Roman"/>
          <w:sz w:val="24"/>
          <w:szCs w:val="24"/>
          <w:lang w:val="en-VC"/>
        </w:rPr>
        <w:t>Revutska</w:t>
      </w:r>
      <w:proofErr w:type="spellEnd"/>
      <w:r w:rsidRPr="00013992">
        <w:rPr>
          <w:rFonts w:ascii="Times New Roman" w:hAnsi="Times New Roman" w:cs="Times New Roman"/>
          <w:sz w:val="24"/>
          <w:szCs w:val="24"/>
          <w:lang w:val="en-VC"/>
        </w:rPr>
        <w:t xml:space="preserve">, O. and </w:t>
      </w:r>
      <w:proofErr w:type="spellStart"/>
      <w:r w:rsidRPr="00013992">
        <w:rPr>
          <w:rFonts w:ascii="Times New Roman" w:hAnsi="Times New Roman" w:cs="Times New Roman"/>
          <w:sz w:val="24"/>
          <w:szCs w:val="24"/>
          <w:lang w:val="en-VC"/>
        </w:rPr>
        <w:t>Maršíková</w:t>
      </w:r>
      <w:proofErr w:type="spellEnd"/>
      <w:r w:rsidRPr="00013992">
        <w:rPr>
          <w:rFonts w:ascii="Times New Roman" w:hAnsi="Times New Roman" w:cs="Times New Roman"/>
          <w:sz w:val="24"/>
          <w:szCs w:val="24"/>
          <w:lang w:val="en-VC"/>
        </w:rPr>
        <w:t xml:space="preserve">, K. (2021). Agile Approach in Human Resource Management: Focus on Generation Y. </w:t>
      </w:r>
      <w:r w:rsidRPr="00013992">
        <w:rPr>
          <w:rFonts w:ascii="Times New Roman" w:hAnsi="Times New Roman" w:cs="Times New Roman"/>
          <w:i/>
          <w:iCs/>
          <w:sz w:val="24"/>
          <w:szCs w:val="24"/>
          <w:lang w:val="en-VC"/>
        </w:rPr>
        <w:t xml:space="preserve">E+M </w:t>
      </w:r>
      <w:proofErr w:type="spellStart"/>
      <w:r w:rsidRPr="00013992">
        <w:rPr>
          <w:rFonts w:ascii="Times New Roman" w:hAnsi="Times New Roman" w:cs="Times New Roman"/>
          <w:i/>
          <w:iCs/>
          <w:sz w:val="24"/>
          <w:szCs w:val="24"/>
          <w:lang w:val="en-VC"/>
        </w:rPr>
        <w:t>Ekonomie</w:t>
      </w:r>
      <w:proofErr w:type="spellEnd"/>
      <w:r w:rsidRPr="00013992">
        <w:rPr>
          <w:rFonts w:ascii="Times New Roman" w:hAnsi="Times New Roman" w:cs="Times New Roman"/>
          <w:i/>
          <w:iCs/>
          <w:sz w:val="24"/>
          <w:szCs w:val="24"/>
          <w:lang w:val="en-VC"/>
        </w:rPr>
        <w:t xml:space="preserve"> a Management</w:t>
      </w:r>
      <w:r w:rsidRPr="00013992">
        <w:rPr>
          <w:rFonts w:ascii="Times New Roman" w:hAnsi="Times New Roman" w:cs="Times New Roman"/>
          <w:sz w:val="24"/>
          <w:szCs w:val="24"/>
          <w:lang w:val="en-VC"/>
        </w:rPr>
        <w:t xml:space="preserve">, 24(2), pp.65–83. </w:t>
      </w:r>
      <w:proofErr w:type="spellStart"/>
      <w:proofErr w:type="gramStart"/>
      <w:r w:rsidRPr="00013992">
        <w:rPr>
          <w:rFonts w:ascii="Times New Roman" w:hAnsi="Times New Roman" w:cs="Times New Roman"/>
          <w:sz w:val="24"/>
          <w:szCs w:val="24"/>
          <w:lang w:val="en-VC"/>
        </w:rPr>
        <w:t>doi:https</w:t>
      </w:r>
      <w:proofErr w:type="spellEnd"/>
      <w:r w:rsidRPr="00013992">
        <w:rPr>
          <w:rFonts w:ascii="Times New Roman" w:hAnsi="Times New Roman" w:cs="Times New Roman"/>
          <w:sz w:val="24"/>
          <w:szCs w:val="24"/>
          <w:lang w:val="en-VC"/>
        </w:rPr>
        <w:t>://doi.org/10.15240/</w:t>
      </w:r>
      <w:proofErr w:type="spellStart"/>
      <w:r w:rsidRPr="00013992">
        <w:rPr>
          <w:rFonts w:ascii="Times New Roman" w:hAnsi="Times New Roman" w:cs="Times New Roman"/>
          <w:sz w:val="24"/>
          <w:szCs w:val="24"/>
          <w:lang w:val="en-VC"/>
        </w:rPr>
        <w:t>tul</w:t>
      </w:r>
      <w:proofErr w:type="spellEnd"/>
      <w:r w:rsidRPr="00013992">
        <w:rPr>
          <w:rFonts w:ascii="Times New Roman" w:hAnsi="Times New Roman" w:cs="Times New Roman"/>
          <w:sz w:val="24"/>
          <w:szCs w:val="24"/>
          <w:lang w:val="en-VC"/>
        </w:rPr>
        <w:t>/001/2021-2-005</w:t>
      </w:r>
      <w:proofErr w:type="gramEnd"/>
      <w:r w:rsidRPr="00013992">
        <w:rPr>
          <w:rFonts w:ascii="Times New Roman" w:hAnsi="Times New Roman" w:cs="Times New Roman"/>
          <w:sz w:val="24"/>
          <w:szCs w:val="24"/>
          <w:lang w:val="en-VC"/>
        </w:rPr>
        <w:t>.</w:t>
      </w:r>
    </w:p>
    <w:p w14:paraId="53F339CC" w14:textId="14E33FAA" w:rsidR="00013992" w:rsidRPr="00013992" w:rsidRDefault="00013992" w:rsidP="00013992">
      <w:pPr>
        <w:spacing w:line="360" w:lineRule="auto"/>
        <w:rPr>
          <w:rFonts w:ascii="Times New Roman" w:hAnsi="Times New Roman" w:cs="Times New Roman"/>
          <w:sz w:val="24"/>
          <w:szCs w:val="24"/>
          <w:lang w:val="en-VC"/>
        </w:rPr>
      </w:pPr>
      <w:r w:rsidRPr="00013992">
        <w:rPr>
          <w:rFonts w:ascii="Times New Roman" w:hAnsi="Times New Roman" w:cs="Times New Roman"/>
          <w:sz w:val="24"/>
          <w:szCs w:val="24"/>
          <w:lang w:val="en-VC"/>
        </w:rPr>
        <w:t xml:space="preserve">Training Industry (2014). </w:t>
      </w:r>
      <w:r w:rsidRPr="00013992">
        <w:rPr>
          <w:rFonts w:ascii="Times New Roman" w:hAnsi="Times New Roman" w:cs="Times New Roman"/>
          <w:i/>
          <w:iCs/>
          <w:sz w:val="24"/>
          <w:szCs w:val="24"/>
          <w:lang w:val="en-VC"/>
        </w:rPr>
        <w:t>The 70-20-10 Model for Learning and Development - Training Industry</w:t>
      </w:r>
      <w:r w:rsidRPr="00013992">
        <w:rPr>
          <w:rFonts w:ascii="Times New Roman" w:hAnsi="Times New Roman" w:cs="Times New Roman"/>
          <w:sz w:val="24"/>
          <w:szCs w:val="24"/>
          <w:lang w:val="en-VC"/>
        </w:rPr>
        <w:t>. [online] Training Industry. Available at: https://trainingindustry.com/wiki/content-development/the-702010-model-for-learning-and-development/.</w:t>
      </w:r>
    </w:p>
    <w:sectPr w:rsidR="00013992" w:rsidRPr="00013992" w:rsidSect="0016162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949EB" w14:textId="77777777" w:rsidR="00B10E9C" w:rsidRDefault="00B10E9C" w:rsidP="00161627">
      <w:pPr>
        <w:spacing w:after="0" w:line="240" w:lineRule="auto"/>
      </w:pPr>
      <w:r>
        <w:separator/>
      </w:r>
    </w:p>
  </w:endnote>
  <w:endnote w:type="continuationSeparator" w:id="0">
    <w:p w14:paraId="76D7C36C" w14:textId="77777777" w:rsidR="00B10E9C" w:rsidRDefault="00B10E9C" w:rsidP="00161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817517"/>
      <w:docPartObj>
        <w:docPartGallery w:val="Page Numbers (Bottom of Page)"/>
        <w:docPartUnique/>
      </w:docPartObj>
    </w:sdtPr>
    <w:sdtEndPr>
      <w:rPr>
        <w:noProof/>
      </w:rPr>
    </w:sdtEndPr>
    <w:sdtContent>
      <w:p w14:paraId="7FEB4197" w14:textId="6EADBC66" w:rsidR="00161627" w:rsidRDefault="001616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983FB5" w14:textId="77777777" w:rsidR="00161627" w:rsidRDefault="00161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AFD52" w14:textId="77777777" w:rsidR="00B10E9C" w:rsidRDefault="00B10E9C" w:rsidP="00161627">
      <w:pPr>
        <w:spacing w:after="0" w:line="240" w:lineRule="auto"/>
      </w:pPr>
      <w:r>
        <w:separator/>
      </w:r>
    </w:p>
  </w:footnote>
  <w:footnote w:type="continuationSeparator" w:id="0">
    <w:p w14:paraId="04943107" w14:textId="77777777" w:rsidR="00B10E9C" w:rsidRDefault="00B10E9C" w:rsidP="001616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C410E6"/>
    <w:multiLevelType w:val="hybridMultilevel"/>
    <w:tmpl w:val="8B0AA980"/>
    <w:lvl w:ilvl="0" w:tplc="20000015">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5D942FB9"/>
    <w:multiLevelType w:val="hybridMultilevel"/>
    <w:tmpl w:val="E17E52CC"/>
    <w:lvl w:ilvl="0" w:tplc="20000015">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4677FE9"/>
    <w:multiLevelType w:val="hybridMultilevel"/>
    <w:tmpl w:val="0E9264E2"/>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6B2D65EF"/>
    <w:multiLevelType w:val="hybridMultilevel"/>
    <w:tmpl w:val="796A7762"/>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6BBC678D"/>
    <w:multiLevelType w:val="hybridMultilevel"/>
    <w:tmpl w:val="17E64230"/>
    <w:lvl w:ilvl="0" w:tplc="5BFC2B78">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5" w15:restartNumberingAfterBreak="0">
    <w:nsid w:val="6DC8617D"/>
    <w:multiLevelType w:val="hybridMultilevel"/>
    <w:tmpl w:val="846A5EF8"/>
    <w:lvl w:ilvl="0" w:tplc="4FD4D46A">
      <w:start w:val="1"/>
      <w:numFmt w:val="upperLetter"/>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780A729D"/>
    <w:multiLevelType w:val="hybridMultilevel"/>
    <w:tmpl w:val="163418DC"/>
    <w:lvl w:ilvl="0" w:tplc="9AD0BE4C">
      <w:start w:val="1"/>
      <w:numFmt w:val="upperLetter"/>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num w:numId="1" w16cid:durableId="864096899">
    <w:abstractNumId w:val="3"/>
  </w:num>
  <w:num w:numId="2" w16cid:durableId="270095040">
    <w:abstractNumId w:val="2"/>
  </w:num>
  <w:num w:numId="3" w16cid:durableId="2008708759">
    <w:abstractNumId w:val="0"/>
  </w:num>
  <w:num w:numId="4" w16cid:durableId="296837093">
    <w:abstractNumId w:val="1"/>
  </w:num>
  <w:num w:numId="5" w16cid:durableId="341662306">
    <w:abstractNumId w:val="5"/>
  </w:num>
  <w:num w:numId="6" w16cid:durableId="706683384">
    <w:abstractNumId w:val="6"/>
  </w:num>
  <w:num w:numId="7" w16cid:durableId="5839545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FEE"/>
    <w:rsid w:val="00013992"/>
    <w:rsid w:val="00046ED8"/>
    <w:rsid w:val="00052E90"/>
    <w:rsid w:val="00085444"/>
    <w:rsid w:val="000E2D25"/>
    <w:rsid w:val="000F3A7B"/>
    <w:rsid w:val="00161627"/>
    <w:rsid w:val="0017307E"/>
    <w:rsid w:val="0017597F"/>
    <w:rsid w:val="001F1FEE"/>
    <w:rsid w:val="001F6B3E"/>
    <w:rsid w:val="00207714"/>
    <w:rsid w:val="0028399D"/>
    <w:rsid w:val="002B5150"/>
    <w:rsid w:val="00356051"/>
    <w:rsid w:val="00546D41"/>
    <w:rsid w:val="005E7F1D"/>
    <w:rsid w:val="00630BAE"/>
    <w:rsid w:val="007C7F3F"/>
    <w:rsid w:val="007E2113"/>
    <w:rsid w:val="007F5F31"/>
    <w:rsid w:val="00814882"/>
    <w:rsid w:val="009F178C"/>
    <w:rsid w:val="00A86A90"/>
    <w:rsid w:val="00AC1D3F"/>
    <w:rsid w:val="00B10E9C"/>
    <w:rsid w:val="00B65187"/>
    <w:rsid w:val="00C17F8D"/>
    <w:rsid w:val="00CE2B01"/>
    <w:rsid w:val="00D22026"/>
    <w:rsid w:val="00D44107"/>
    <w:rsid w:val="00D6536F"/>
    <w:rsid w:val="00DD3653"/>
    <w:rsid w:val="00DE36BD"/>
    <w:rsid w:val="00E07942"/>
    <w:rsid w:val="00E1049A"/>
    <w:rsid w:val="00EB3447"/>
    <w:rsid w:val="00ED3E97"/>
    <w:rsid w:val="00ED7F24"/>
    <w:rsid w:val="00EF45BE"/>
    <w:rsid w:val="00F239A8"/>
    <w:rsid w:val="00F27C5C"/>
    <w:rsid w:val="00F842A0"/>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130B05"/>
  <w15:chartTrackingRefBased/>
  <w15:docId w15:val="{3E5D088B-85A9-4ADD-80FD-EB22E6593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1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1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FEE"/>
    <w:rPr>
      <w:rFonts w:eastAsiaTheme="majorEastAsia" w:cstheme="majorBidi"/>
      <w:color w:val="272727" w:themeColor="text1" w:themeTint="D8"/>
    </w:rPr>
  </w:style>
  <w:style w:type="paragraph" w:styleId="Title">
    <w:name w:val="Title"/>
    <w:basedOn w:val="Normal"/>
    <w:next w:val="Normal"/>
    <w:link w:val="TitleChar"/>
    <w:uiPriority w:val="10"/>
    <w:qFormat/>
    <w:rsid w:val="001F1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FEE"/>
    <w:pPr>
      <w:spacing w:before="160"/>
      <w:jc w:val="center"/>
    </w:pPr>
    <w:rPr>
      <w:i/>
      <w:iCs/>
      <w:color w:val="404040" w:themeColor="text1" w:themeTint="BF"/>
    </w:rPr>
  </w:style>
  <w:style w:type="character" w:customStyle="1" w:styleId="QuoteChar">
    <w:name w:val="Quote Char"/>
    <w:basedOn w:val="DefaultParagraphFont"/>
    <w:link w:val="Quote"/>
    <w:uiPriority w:val="29"/>
    <w:rsid w:val="001F1FEE"/>
    <w:rPr>
      <w:i/>
      <w:iCs/>
      <w:color w:val="404040" w:themeColor="text1" w:themeTint="BF"/>
    </w:rPr>
  </w:style>
  <w:style w:type="paragraph" w:styleId="ListParagraph">
    <w:name w:val="List Paragraph"/>
    <w:basedOn w:val="Normal"/>
    <w:uiPriority w:val="34"/>
    <w:qFormat/>
    <w:rsid w:val="001F1FEE"/>
    <w:pPr>
      <w:ind w:left="720"/>
      <w:contextualSpacing/>
    </w:pPr>
  </w:style>
  <w:style w:type="character" w:styleId="IntenseEmphasis">
    <w:name w:val="Intense Emphasis"/>
    <w:basedOn w:val="DefaultParagraphFont"/>
    <w:uiPriority w:val="21"/>
    <w:qFormat/>
    <w:rsid w:val="001F1FEE"/>
    <w:rPr>
      <w:i/>
      <w:iCs/>
      <w:color w:val="0F4761" w:themeColor="accent1" w:themeShade="BF"/>
    </w:rPr>
  </w:style>
  <w:style w:type="paragraph" w:styleId="IntenseQuote">
    <w:name w:val="Intense Quote"/>
    <w:basedOn w:val="Normal"/>
    <w:next w:val="Normal"/>
    <w:link w:val="IntenseQuoteChar"/>
    <w:uiPriority w:val="30"/>
    <w:qFormat/>
    <w:rsid w:val="001F1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FEE"/>
    <w:rPr>
      <w:i/>
      <w:iCs/>
      <w:color w:val="0F4761" w:themeColor="accent1" w:themeShade="BF"/>
    </w:rPr>
  </w:style>
  <w:style w:type="character" w:styleId="IntenseReference">
    <w:name w:val="Intense Reference"/>
    <w:basedOn w:val="DefaultParagraphFont"/>
    <w:uiPriority w:val="32"/>
    <w:qFormat/>
    <w:rsid w:val="001F1FEE"/>
    <w:rPr>
      <w:b/>
      <w:bCs/>
      <w:smallCaps/>
      <w:color w:val="0F4761" w:themeColor="accent1" w:themeShade="BF"/>
      <w:spacing w:val="5"/>
    </w:rPr>
  </w:style>
  <w:style w:type="character" w:styleId="Hyperlink">
    <w:name w:val="Hyperlink"/>
    <w:basedOn w:val="DefaultParagraphFont"/>
    <w:uiPriority w:val="99"/>
    <w:unhideWhenUsed/>
    <w:rsid w:val="00013992"/>
    <w:rPr>
      <w:color w:val="467886" w:themeColor="hyperlink"/>
      <w:u w:val="single"/>
    </w:rPr>
  </w:style>
  <w:style w:type="character" w:styleId="UnresolvedMention">
    <w:name w:val="Unresolved Mention"/>
    <w:basedOn w:val="DefaultParagraphFont"/>
    <w:uiPriority w:val="99"/>
    <w:semiHidden/>
    <w:unhideWhenUsed/>
    <w:rsid w:val="00013992"/>
    <w:rPr>
      <w:color w:val="605E5C"/>
      <w:shd w:val="clear" w:color="auto" w:fill="E1DFDD"/>
    </w:rPr>
  </w:style>
  <w:style w:type="paragraph" w:styleId="NoSpacing">
    <w:name w:val="No Spacing"/>
    <w:link w:val="NoSpacingChar"/>
    <w:uiPriority w:val="1"/>
    <w:qFormat/>
    <w:rsid w:val="001616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1627"/>
    <w:rPr>
      <w:rFonts w:eastAsiaTheme="minorEastAsia"/>
      <w:kern w:val="0"/>
      <w:lang w:val="en-US"/>
      <w14:ligatures w14:val="none"/>
    </w:rPr>
  </w:style>
  <w:style w:type="paragraph" w:styleId="Header">
    <w:name w:val="header"/>
    <w:basedOn w:val="Normal"/>
    <w:link w:val="HeaderChar"/>
    <w:uiPriority w:val="99"/>
    <w:unhideWhenUsed/>
    <w:rsid w:val="00161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27"/>
  </w:style>
  <w:style w:type="paragraph" w:styleId="Footer">
    <w:name w:val="footer"/>
    <w:basedOn w:val="Normal"/>
    <w:link w:val="FooterChar"/>
    <w:uiPriority w:val="99"/>
    <w:unhideWhenUsed/>
    <w:rsid w:val="00161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27"/>
  </w:style>
  <w:style w:type="paragraph" w:styleId="TOCHeading">
    <w:name w:val="TOC Heading"/>
    <w:basedOn w:val="Heading1"/>
    <w:next w:val="Normal"/>
    <w:uiPriority w:val="39"/>
    <w:unhideWhenUsed/>
    <w:qFormat/>
    <w:rsid w:val="0016162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1627"/>
    <w:pPr>
      <w:spacing w:after="100"/>
    </w:pPr>
  </w:style>
  <w:style w:type="paragraph" w:styleId="TOC2">
    <w:name w:val="toc 2"/>
    <w:basedOn w:val="Normal"/>
    <w:next w:val="Normal"/>
    <w:autoRedefine/>
    <w:uiPriority w:val="39"/>
    <w:unhideWhenUsed/>
    <w:rsid w:val="001616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9995">
      <w:bodyDiv w:val="1"/>
      <w:marLeft w:val="0"/>
      <w:marRight w:val="0"/>
      <w:marTop w:val="0"/>
      <w:marBottom w:val="0"/>
      <w:divBdr>
        <w:top w:val="none" w:sz="0" w:space="0" w:color="auto"/>
        <w:left w:val="none" w:sz="0" w:space="0" w:color="auto"/>
        <w:bottom w:val="none" w:sz="0" w:space="0" w:color="auto"/>
        <w:right w:val="none" w:sz="0" w:space="0" w:color="auto"/>
      </w:divBdr>
    </w:div>
    <w:div w:id="30037074">
      <w:bodyDiv w:val="1"/>
      <w:marLeft w:val="0"/>
      <w:marRight w:val="0"/>
      <w:marTop w:val="0"/>
      <w:marBottom w:val="0"/>
      <w:divBdr>
        <w:top w:val="none" w:sz="0" w:space="0" w:color="auto"/>
        <w:left w:val="none" w:sz="0" w:space="0" w:color="auto"/>
        <w:bottom w:val="none" w:sz="0" w:space="0" w:color="auto"/>
        <w:right w:val="none" w:sz="0" w:space="0" w:color="auto"/>
      </w:divBdr>
    </w:div>
    <w:div w:id="38365403">
      <w:bodyDiv w:val="1"/>
      <w:marLeft w:val="0"/>
      <w:marRight w:val="0"/>
      <w:marTop w:val="0"/>
      <w:marBottom w:val="0"/>
      <w:divBdr>
        <w:top w:val="none" w:sz="0" w:space="0" w:color="auto"/>
        <w:left w:val="none" w:sz="0" w:space="0" w:color="auto"/>
        <w:bottom w:val="none" w:sz="0" w:space="0" w:color="auto"/>
        <w:right w:val="none" w:sz="0" w:space="0" w:color="auto"/>
      </w:divBdr>
    </w:div>
    <w:div w:id="63257477">
      <w:bodyDiv w:val="1"/>
      <w:marLeft w:val="0"/>
      <w:marRight w:val="0"/>
      <w:marTop w:val="0"/>
      <w:marBottom w:val="0"/>
      <w:divBdr>
        <w:top w:val="none" w:sz="0" w:space="0" w:color="auto"/>
        <w:left w:val="none" w:sz="0" w:space="0" w:color="auto"/>
        <w:bottom w:val="none" w:sz="0" w:space="0" w:color="auto"/>
        <w:right w:val="none" w:sz="0" w:space="0" w:color="auto"/>
      </w:divBdr>
    </w:div>
    <w:div w:id="119687783">
      <w:bodyDiv w:val="1"/>
      <w:marLeft w:val="0"/>
      <w:marRight w:val="0"/>
      <w:marTop w:val="0"/>
      <w:marBottom w:val="0"/>
      <w:divBdr>
        <w:top w:val="none" w:sz="0" w:space="0" w:color="auto"/>
        <w:left w:val="none" w:sz="0" w:space="0" w:color="auto"/>
        <w:bottom w:val="none" w:sz="0" w:space="0" w:color="auto"/>
        <w:right w:val="none" w:sz="0" w:space="0" w:color="auto"/>
      </w:divBdr>
    </w:div>
    <w:div w:id="139229228">
      <w:bodyDiv w:val="1"/>
      <w:marLeft w:val="0"/>
      <w:marRight w:val="0"/>
      <w:marTop w:val="0"/>
      <w:marBottom w:val="0"/>
      <w:divBdr>
        <w:top w:val="none" w:sz="0" w:space="0" w:color="auto"/>
        <w:left w:val="none" w:sz="0" w:space="0" w:color="auto"/>
        <w:bottom w:val="none" w:sz="0" w:space="0" w:color="auto"/>
        <w:right w:val="none" w:sz="0" w:space="0" w:color="auto"/>
      </w:divBdr>
    </w:div>
    <w:div w:id="143087579">
      <w:bodyDiv w:val="1"/>
      <w:marLeft w:val="0"/>
      <w:marRight w:val="0"/>
      <w:marTop w:val="0"/>
      <w:marBottom w:val="0"/>
      <w:divBdr>
        <w:top w:val="none" w:sz="0" w:space="0" w:color="auto"/>
        <w:left w:val="none" w:sz="0" w:space="0" w:color="auto"/>
        <w:bottom w:val="none" w:sz="0" w:space="0" w:color="auto"/>
        <w:right w:val="none" w:sz="0" w:space="0" w:color="auto"/>
      </w:divBdr>
    </w:div>
    <w:div w:id="153181388">
      <w:bodyDiv w:val="1"/>
      <w:marLeft w:val="0"/>
      <w:marRight w:val="0"/>
      <w:marTop w:val="0"/>
      <w:marBottom w:val="0"/>
      <w:divBdr>
        <w:top w:val="none" w:sz="0" w:space="0" w:color="auto"/>
        <w:left w:val="none" w:sz="0" w:space="0" w:color="auto"/>
        <w:bottom w:val="none" w:sz="0" w:space="0" w:color="auto"/>
        <w:right w:val="none" w:sz="0" w:space="0" w:color="auto"/>
      </w:divBdr>
    </w:div>
    <w:div w:id="248737722">
      <w:bodyDiv w:val="1"/>
      <w:marLeft w:val="0"/>
      <w:marRight w:val="0"/>
      <w:marTop w:val="0"/>
      <w:marBottom w:val="0"/>
      <w:divBdr>
        <w:top w:val="none" w:sz="0" w:space="0" w:color="auto"/>
        <w:left w:val="none" w:sz="0" w:space="0" w:color="auto"/>
        <w:bottom w:val="none" w:sz="0" w:space="0" w:color="auto"/>
        <w:right w:val="none" w:sz="0" w:space="0" w:color="auto"/>
      </w:divBdr>
    </w:div>
    <w:div w:id="282351047">
      <w:bodyDiv w:val="1"/>
      <w:marLeft w:val="0"/>
      <w:marRight w:val="0"/>
      <w:marTop w:val="0"/>
      <w:marBottom w:val="0"/>
      <w:divBdr>
        <w:top w:val="none" w:sz="0" w:space="0" w:color="auto"/>
        <w:left w:val="none" w:sz="0" w:space="0" w:color="auto"/>
        <w:bottom w:val="none" w:sz="0" w:space="0" w:color="auto"/>
        <w:right w:val="none" w:sz="0" w:space="0" w:color="auto"/>
      </w:divBdr>
    </w:div>
    <w:div w:id="289627449">
      <w:bodyDiv w:val="1"/>
      <w:marLeft w:val="0"/>
      <w:marRight w:val="0"/>
      <w:marTop w:val="0"/>
      <w:marBottom w:val="0"/>
      <w:divBdr>
        <w:top w:val="none" w:sz="0" w:space="0" w:color="auto"/>
        <w:left w:val="none" w:sz="0" w:space="0" w:color="auto"/>
        <w:bottom w:val="none" w:sz="0" w:space="0" w:color="auto"/>
        <w:right w:val="none" w:sz="0" w:space="0" w:color="auto"/>
      </w:divBdr>
    </w:div>
    <w:div w:id="300159140">
      <w:bodyDiv w:val="1"/>
      <w:marLeft w:val="0"/>
      <w:marRight w:val="0"/>
      <w:marTop w:val="0"/>
      <w:marBottom w:val="0"/>
      <w:divBdr>
        <w:top w:val="none" w:sz="0" w:space="0" w:color="auto"/>
        <w:left w:val="none" w:sz="0" w:space="0" w:color="auto"/>
        <w:bottom w:val="none" w:sz="0" w:space="0" w:color="auto"/>
        <w:right w:val="none" w:sz="0" w:space="0" w:color="auto"/>
      </w:divBdr>
    </w:div>
    <w:div w:id="334919565">
      <w:bodyDiv w:val="1"/>
      <w:marLeft w:val="0"/>
      <w:marRight w:val="0"/>
      <w:marTop w:val="0"/>
      <w:marBottom w:val="0"/>
      <w:divBdr>
        <w:top w:val="none" w:sz="0" w:space="0" w:color="auto"/>
        <w:left w:val="none" w:sz="0" w:space="0" w:color="auto"/>
        <w:bottom w:val="none" w:sz="0" w:space="0" w:color="auto"/>
        <w:right w:val="none" w:sz="0" w:space="0" w:color="auto"/>
      </w:divBdr>
    </w:div>
    <w:div w:id="420444282">
      <w:bodyDiv w:val="1"/>
      <w:marLeft w:val="0"/>
      <w:marRight w:val="0"/>
      <w:marTop w:val="0"/>
      <w:marBottom w:val="0"/>
      <w:divBdr>
        <w:top w:val="none" w:sz="0" w:space="0" w:color="auto"/>
        <w:left w:val="none" w:sz="0" w:space="0" w:color="auto"/>
        <w:bottom w:val="none" w:sz="0" w:space="0" w:color="auto"/>
        <w:right w:val="none" w:sz="0" w:space="0" w:color="auto"/>
      </w:divBdr>
    </w:div>
    <w:div w:id="438523430">
      <w:bodyDiv w:val="1"/>
      <w:marLeft w:val="0"/>
      <w:marRight w:val="0"/>
      <w:marTop w:val="0"/>
      <w:marBottom w:val="0"/>
      <w:divBdr>
        <w:top w:val="none" w:sz="0" w:space="0" w:color="auto"/>
        <w:left w:val="none" w:sz="0" w:space="0" w:color="auto"/>
        <w:bottom w:val="none" w:sz="0" w:space="0" w:color="auto"/>
        <w:right w:val="none" w:sz="0" w:space="0" w:color="auto"/>
      </w:divBdr>
    </w:div>
    <w:div w:id="551889764">
      <w:bodyDiv w:val="1"/>
      <w:marLeft w:val="0"/>
      <w:marRight w:val="0"/>
      <w:marTop w:val="0"/>
      <w:marBottom w:val="0"/>
      <w:divBdr>
        <w:top w:val="none" w:sz="0" w:space="0" w:color="auto"/>
        <w:left w:val="none" w:sz="0" w:space="0" w:color="auto"/>
        <w:bottom w:val="none" w:sz="0" w:space="0" w:color="auto"/>
        <w:right w:val="none" w:sz="0" w:space="0" w:color="auto"/>
      </w:divBdr>
    </w:div>
    <w:div w:id="572357677">
      <w:bodyDiv w:val="1"/>
      <w:marLeft w:val="0"/>
      <w:marRight w:val="0"/>
      <w:marTop w:val="0"/>
      <w:marBottom w:val="0"/>
      <w:divBdr>
        <w:top w:val="none" w:sz="0" w:space="0" w:color="auto"/>
        <w:left w:val="none" w:sz="0" w:space="0" w:color="auto"/>
        <w:bottom w:val="none" w:sz="0" w:space="0" w:color="auto"/>
        <w:right w:val="none" w:sz="0" w:space="0" w:color="auto"/>
      </w:divBdr>
    </w:div>
    <w:div w:id="573514482">
      <w:bodyDiv w:val="1"/>
      <w:marLeft w:val="0"/>
      <w:marRight w:val="0"/>
      <w:marTop w:val="0"/>
      <w:marBottom w:val="0"/>
      <w:divBdr>
        <w:top w:val="none" w:sz="0" w:space="0" w:color="auto"/>
        <w:left w:val="none" w:sz="0" w:space="0" w:color="auto"/>
        <w:bottom w:val="none" w:sz="0" w:space="0" w:color="auto"/>
        <w:right w:val="none" w:sz="0" w:space="0" w:color="auto"/>
      </w:divBdr>
    </w:div>
    <w:div w:id="640228304">
      <w:bodyDiv w:val="1"/>
      <w:marLeft w:val="0"/>
      <w:marRight w:val="0"/>
      <w:marTop w:val="0"/>
      <w:marBottom w:val="0"/>
      <w:divBdr>
        <w:top w:val="none" w:sz="0" w:space="0" w:color="auto"/>
        <w:left w:val="none" w:sz="0" w:space="0" w:color="auto"/>
        <w:bottom w:val="none" w:sz="0" w:space="0" w:color="auto"/>
        <w:right w:val="none" w:sz="0" w:space="0" w:color="auto"/>
      </w:divBdr>
    </w:div>
    <w:div w:id="643386250">
      <w:bodyDiv w:val="1"/>
      <w:marLeft w:val="0"/>
      <w:marRight w:val="0"/>
      <w:marTop w:val="0"/>
      <w:marBottom w:val="0"/>
      <w:divBdr>
        <w:top w:val="none" w:sz="0" w:space="0" w:color="auto"/>
        <w:left w:val="none" w:sz="0" w:space="0" w:color="auto"/>
        <w:bottom w:val="none" w:sz="0" w:space="0" w:color="auto"/>
        <w:right w:val="none" w:sz="0" w:space="0" w:color="auto"/>
      </w:divBdr>
    </w:div>
    <w:div w:id="663169428">
      <w:bodyDiv w:val="1"/>
      <w:marLeft w:val="0"/>
      <w:marRight w:val="0"/>
      <w:marTop w:val="0"/>
      <w:marBottom w:val="0"/>
      <w:divBdr>
        <w:top w:val="none" w:sz="0" w:space="0" w:color="auto"/>
        <w:left w:val="none" w:sz="0" w:space="0" w:color="auto"/>
        <w:bottom w:val="none" w:sz="0" w:space="0" w:color="auto"/>
        <w:right w:val="none" w:sz="0" w:space="0" w:color="auto"/>
      </w:divBdr>
    </w:div>
    <w:div w:id="682318486">
      <w:bodyDiv w:val="1"/>
      <w:marLeft w:val="0"/>
      <w:marRight w:val="0"/>
      <w:marTop w:val="0"/>
      <w:marBottom w:val="0"/>
      <w:divBdr>
        <w:top w:val="none" w:sz="0" w:space="0" w:color="auto"/>
        <w:left w:val="none" w:sz="0" w:space="0" w:color="auto"/>
        <w:bottom w:val="none" w:sz="0" w:space="0" w:color="auto"/>
        <w:right w:val="none" w:sz="0" w:space="0" w:color="auto"/>
      </w:divBdr>
    </w:div>
    <w:div w:id="737678179">
      <w:bodyDiv w:val="1"/>
      <w:marLeft w:val="0"/>
      <w:marRight w:val="0"/>
      <w:marTop w:val="0"/>
      <w:marBottom w:val="0"/>
      <w:divBdr>
        <w:top w:val="none" w:sz="0" w:space="0" w:color="auto"/>
        <w:left w:val="none" w:sz="0" w:space="0" w:color="auto"/>
        <w:bottom w:val="none" w:sz="0" w:space="0" w:color="auto"/>
        <w:right w:val="none" w:sz="0" w:space="0" w:color="auto"/>
      </w:divBdr>
    </w:div>
    <w:div w:id="753165320">
      <w:bodyDiv w:val="1"/>
      <w:marLeft w:val="0"/>
      <w:marRight w:val="0"/>
      <w:marTop w:val="0"/>
      <w:marBottom w:val="0"/>
      <w:divBdr>
        <w:top w:val="none" w:sz="0" w:space="0" w:color="auto"/>
        <w:left w:val="none" w:sz="0" w:space="0" w:color="auto"/>
        <w:bottom w:val="none" w:sz="0" w:space="0" w:color="auto"/>
        <w:right w:val="none" w:sz="0" w:space="0" w:color="auto"/>
      </w:divBdr>
    </w:div>
    <w:div w:id="758257072">
      <w:bodyDiv w:val="1"/>
      <w:marLeft w:val="0"/>
      <w:marRight w:val="0"/>
      <w:marTop w:val="0"/>
      <w:marBottom w:val="0"/>
      <w:divBdr>
        <w:top w:val="none" w:sz="0" w:space="0" w:color="auto"/>
        <w:left w:val="none" w:sz="0" w:space="0" w:color="auto"/>
        <w:bottom w:val="none" w:sz="0" w:space="0" w:color="auto"/>
        <w:right w:val="none" w:sz="0" w:space="0" w:color="auto"/>
      </w:divBdr>
    </w:div>
    <w:div w:id="762148035">
      <w:bodyDiv w:val="1"/>
      <w:marLeft w:val="0"/>
      <w:marRight w:val="0"/>
      <w:marTop w:val="0"/>
      <w:marBottom w:val="0"/>
      <w:divBdr>
        <w:top w:val="none" w:sz="0" w:space="0" w:color="auto"/>
        <w:left w:val="none" w:sz="0" w:space="0" w:color="auto"/>
        <w:bottom w:val="none" w:sz="0" w:space="0" w:color="auto"/>
        <w:right w:val="none" w:sz="0" w:space="0" w:color="auto"/>
      </w:divBdr>
    </w:div>
    <w:div w:id="780803992">
      <w:bodyDiv w:val="1"/>
      <w:marLeft w:val="0"/>
      <w:marRight w:val="0"/>
      <w:marTop w:val="0"/>
      <w:marBottom w:val="0"/>
      <w:divBdr>
        <w:top w:val="none" w:sz="0" w:space="0" w:color="auto"/>
        <w:left w:val="none" w:sz="0" w:space="0" w:color="auto"/>
        <w:bottom w:val="none" w:sz="0" w:space="0" w:color="auto"/>
        <w:right w:val="none" w:sz="0" w:space="0" w:color="auto"/>
      </w:divBdr>
    </w:div>
    <w:div w:id="802961008">
      <w:bodyDiv w:val="1"/>
      <w:marLeft w:val="0"/>
      <w:marRight w:val="0"/>
      <w:marTop w:val="0"/>
      <w:marBottom w:val="0"/>
      <w:divBdr>
        <w:top w:val="none" w:sz="0" w:space="0" w:color="auto"/>
        <w:left w:val="none" w:sz="0" w:space="0" w:color="auto"/>
        <w:bottom w:val="none" w:sz="0" w:space="0" w:color="auto"/>
        <w:right w:val="none" w:sz="0" w:space="0" w:color="auto"/>
      </w:divBdr>
      <w:divsChild>
        <w:div w:id="1887257649">
          <w:marLeft w:val="0"/>
          <w:marRight w:val="0"/>
          <w:marTop w:val="0"/>
          <w:marBottom w:val="0"/>
          <w:divBdr>
            <w:top w:val="none" w:sz="0" w:space="0" w:color="auto"/>
            <w:left w:val="none" w:sz="0" w:space="0" w:color="auto"/>
            <w:bottom w:val="none" w:sz="0" w:space="0" w:color="auto"/>
            <w:right w:val="none" w:sz="0" w:space="0" w:color="auto"/>
          </w:divBdr>
        </w:div>
      </w:divsChild>
    </w:div>
    <w:div w:id="823279907">
      <w:bodyDiv w:val="1"/>
      <w:marLeft w:val="0"/>
      <w:marRight w:val="0"/>
      <w:marTop w:val="0"/>
      <w:marBottom w:val="0"/>
      <w:divBdr>
        <w:top w:val="none" w:sz="0" w:space="0" w:color="auto"/>
        <w:left w:val="none" w:sz="0" w:space="0" w:color="auto"/>
        <w:bottom w:val="none" w:sz="0" w:space="0" w:color="auto"/>
        <w:right w:val="none" w:sz="0" w:space="0" w:color="auto"/>
      </w:divBdr>
    </w:div>
    <w:div w:id="860433407">
      <w:bodyDiv w:val="1"/>
      <w:marLeft w:val="0"/>
      <w:marRight w:val="0"/>
      <w:marTop w:val="0"/>
      <w:marBottom w:val="0"/>
      <w:divBdr>
        <w:top w:val="none" w:sz="0" w:space="0" w:color="auto"/>
        <w:left w:val="none" w:sz="0" w:space="0" w:color="auto"/>
        <w:bottom w:val="none" w:sz="0" w:space="0" w:color="auto"/>
        <w:right w:val="none" w:sz="0" w:space="0" w:color="auto"/>
      </w:divBdr>
    </w:div>
    <w:div w:id="916018997">
      <w:bodyDiv w:val="1"/>
      <w:marLeft w:val="0"/>
      <w:marRight w:val="0"/>
      <w:marTop w:val="0"/>
      <w:marBottom w:val="0"/>
      <w:divBdr>
        <w:top w:val="none" w:sz="0" w:space="0" w:color="auto"/>
        <w:left w:val="none" w:sz="0" w:space="0" w:color="auto"/>
        <w:bottom w:val="none" w:sz="0" w:space="0" w:color="auto"/>
        <w:right w:val="none" w:sz="0" w:space="0" w:color="auto"/>
      </w:divBdr>
    </w:div>
    <w:div w:id="991324152">
      <w:bodyDiv w:val="1"/>
      <w:marLeft w:val="0"/>
      <w:marRight w:val="0"/>
      <w:marTop w:val="0"/>
      <w:marBottom w:val="0"/>
      <w:divBdr>
        <w:top w:val="none" w:sz="0" w:space="0" w:color="auto"/>
        <w:left w:val="none" w:sz="0" w:space="0" w:color="auto"/>
        <w:bottom w:val="none" w:sz="0" w:space="0" w:color="auto"/>
        <w:right w:val="none" w:sz="0" w:space="0" w:color="auto"/>
      </w:divBdr>
    </w:div>
    <w:div w:id="999699181">
      <w:bodyDiv w:val="1"/>
      <w:marLeft w:val="0"/>
      <w:marRight w:val="0"/>
      <w:marTop w:val="0"/>
      <w:marBottom w:val="0"/>
      <w:divBdr>
        <w:top w:val="none" w:sz="0" w:space="0" w:color="auto"/>
        <w:left w:val="none" w:sz="0" w:space="0" w:color="auto"/>
        <w:bottom w:val="none" w:sz="0" w:space="0" w:color="auto"/>
        <w:right w:val="none" w:sz="0" w:space="0" w:color="auto"/>
      </w:divBdr>
    </w:div>
    <w:div w:id="1100881314">
      <w:bodyDiv w:val="1"/>
      <w:marLeft w:val="0"/>
      <w:marRight w:val="0"/>
      <w:marTop w:val="0"/>
      <w:marBottom w:val="0"/>
      <w:divBdr>
        <w:top w:val="none" w:sz="0" w:space="0" w:color="auto"/>
        <w:left w:val="none" w:sz="0" w:space="0" w:color="auto"/>
        <w:bottom w:val="none" w:sz="0" w:space="0" w:color="auto"/>
        <w:right w:val="none" w:sz="0" w:space="0" w:color="auto"/>
      </w:divBdr>
      <w:divsChild>
        <w:div w:id="1474366209">
          <w:marLeft w:val="0"/>
          <w:marRight w:val="0"/>
          <w:marTop w:val="0"/>
          <w:marBottom w:val="0"/>
          <w:divBdr>
            <w:top w:val="none" w:sz="0" w:space="0" w:color="auto"/>
            <w:left w:val="none" w:sz="0" w:space="0" w:color="auto"/>
            <w:bottom w:val="none" w:sz="0" w:space="0" w:color="auto"/>
            <w:right w:val="none" w:sz="0" w:space="0" w:color="auto"/>
          </w:divBdr>
        </w:div>
      </w:divsChild>
    </w:div>
    <w:div w:id="1131678338">
      <w:bodyDiv w:val="1"/>
      <w:marLeft w:val="0"/>
      <w:marRight w:val="0"/>
      <w:marTop w:val="0"/>
      <w:marBottom w:val="0"/>
      <w:divBdr>
        <w:top w:val="none" w:sz="0" w:space="0" w:color="auto"/>
        <w:left w:val="none" w:sz="0" w:space="0" w:color="auto"/>
        <w:bottom w:val="none" w:sz="0" w:space="0" w:color="auto"/>
        <w:right w:val="none" w:sz="0" w:space="0" w:color="auto"/>
      </w:divBdr>
    </w:div>
    <w:div w:id="1167093031">
      <w:bodyDiv w:val="1"/>
      <w:marLeft w:val="0"/>
      <w:marRight w:val="0"/>
      <w:marTop w:val="0"/>
      <w:marBottom w:val="0"/>
      <w:divBdr>
        <w:top w:val="none" w:sz="0" w:space="0" w:color="auto"/>
        <w:left w:val="none" w:sz="0" w:space="0" w:color="auto"/>
        <w:bottom w:val="none" w:sz="0" w:space="0" w:color="auto"/>
        <w:right w:val="none" w:sz="0" w:space="0" w:color="auto"/>
      </w:divBdr>
    </w:div>
    <w:div w:id="1181971271">
      <w:bodyDiv w:val="1"/>
      <w:marLeft w:val="0"/>
      <w:marRight w:val="0"/>
      <w:marTop w:val="0"/>
      <w:marBottom w:val="0"/>
      <w:divBdr>
        <w:top w:val="none" w:sz="0" w:space="0" w:color="auto"/>
        <w:left w:val="none" w:sz="0" w:space="0" w:color="auto"/>
        <w:bottom w:val="none" w:sz="0" w:space="0" w:color="auto"/>
        <w:right w:val="none" w:sz="0" w:space="0" w:color="auto"/>
      </w:divBdr>
    </w:div>
    <w:div w:id="1182937759">
      <w:bodyDiv w:val="1"/>
      <w:marLeft w:val="0"/>
      <w:marRight w:val="0"/>
      <w:marTop w:val="0"/>
      <w:marBottom w:val="0"/>
      <w:divBdr>
        <w:top w:val="none" w:sz="0" w:space="0" w:color="auto"/>
        <w:left w:val="none" w:sz="0" w:space="0" w:color="auto"/>
        <w:bottom w:val="none" w:sz="0" w:space="0" w:color="auto"/>
        <w:right w:val="none" w:sz="0" w:space="0" w:color="auto"/>
      </w:divBdr>
    </w:div>
    <w:div w:id="1199899142">
      <w:bodyDiv w:val="1"/>
      <w:marLeft w:val="0"/>
      <w:marRight w:val="0"/>
      <w:marTop w:val="0"/>
      <w:marBottom w:val="0"/>
      <w:divBdr>
        <w:top w:val="none" w:sz="0" w:space="0" w:color="auto"/>
        <w:left w:val="none" w:sz="0" w:space="0" w:color="auto"/>
        <w:bottom w:val="none" w:sz="0" w:space="0" w:color="auto"/>
        <w:right w:val="none" w:sz="0" w:space="0" w:color="auto"/>
      </w:divBdr>
    </w:div>
    <w:div w:id="1264067545">
      <w:bodyDiv w:val="1"/>
      <w:marLeft w:val="0"/>
      <w:marRight w:val="0"/>
      <w:marTop w:val="0"/>
      <w:marBottom w:val="0"/>
      <w:divBdr>
        <w:top w:val="none" w:sz="0" w:space="0" w:color="auto"/>
        <w:left w:val="none" w:sz="0" w:space="0" w:color="auto"/>
        <w:bottom w:val="none" w:sz="0" w:space="0" w:color="auto"/>
        <w:right w:val="none" w:sz="0" w:space="0" w:color="auto"/>
      </w:divBdr>
    </w:div>
    <w:div w:id="1295672784">
      <w:bodyDiv w:val="1"/>
      <w:marLeft w:val="0"/>
      <w:marRight w:val="0"/>
      <w:marTop w:val="0"/>
      <w:marBottom w:val="0"/>
      <w:divBdr>
        <w:top w:val="none" w:sz="0" w:space="0" w:color="auto"/>
        <w:left w:val="none" w:sz="0" w:space="0" w:color="auto"/>
        <w:bottom w:val="none" w:sz="0" w:space="0" w:color="auto"/>
        <w:right w:val="none" w:sz="0" w:space="0" w:color="auto"/>
      </w:divBdr>
    </w:div>
    <w:div w:id="1343509338">
      <w:bodyDiv w:val="1"/>
      <w:marLeft w:val="0"/>
      <w:marRight w:val="0"/>
      <w:marTop w:val="0"/>
      <w:marBottom w:val="0"/>
      <w:divBdr>
        <w:top w:val="none" w:sz="0" w:space="0" w:color="auto"/>
        <w:left w:val="none" w:sz="0" w:space="0" w:color="auto"/>
        <w:bottom w:val="none" w:sz="0" w:space="0" w:color="auto"/>
        <w:right w:val="none" w:sz="0" w:space="0" w:color="auto"/>
      </w:divBdr>
    </w:div>
    <w:div w:id="1474104749">
      <w:bodyDiv w:val="1"/>
      <w:marLeft w:val="0"/>
      <w:marRight w:val="0"/>
      <w:marTop w:val="0"/>
      <w:marBottom w:val="0"/>
      <w:divBdr>
        <w:top w:val="none" w:sz="0" w:space="0" w:color="auto"/>
        <w:left w:val="none" w:sz="0" w:space="0" w:color="auto"/>
        <w:bottom w:val="none" w:sz="0" w:space="0" w:color="auto"/>
        <w:right w:val="none" w:sz="0" w:space="0" w:color="auto"/>
      </w:divBdr>
    </w:div>
    <w:div w:id="1507205890">
      <w:bodyDiv w:val="1"/>
      <w:marLeft w:val="0"/>
      <w:marRight w:val="0"/>
      <w:marTop w:val="0"/>
      <w:marBottom w:val="0"/>
      <w:divBdr>
        <w:top w:val="none" w:sz="0" w:space="0" w:color="auto"/>
        <w:left w:val="none" w:sz="0" w:space="0" w:color="auto"/>
        <w:bottom w:val="none" w:sz="0" w:space="0" w:color="auto"/>
        <w:right w:val="none" w:sz="0" w:space="0" w:color="auto"/>
      </w:divBdr>
    </w:div>
    <w:div w:id="1510367490">
      <w:bodyDiv w:val="1"/>
      <w:marLeft w:val="0"/>
      <w:marRight w:val="0"/>
      <w:marTop w:val="0"/>
      <w:marBottom w:val="0"/>
      <w:divBdr>
        <w:top w:val="none" w:sz="0" w:space="0" w:color="auto"/>
        <w:left w:val="none" w:sz="0" w:space="0" w:color="auto"/>
        <w:bottom w:val="none" w:sz="0" w:space="0" w:color="auto"/>
        <w:right w:val="none" w:sz="0" w:space="0" w:color="auto"/>
      </w:divBdr>
    </w:div>
    <w:div w:id="1692687278">
      <w:bodyDiv w:val="1"/>
      <w:marLeft w:val="0"/>
      <w:marRight w:val="0"/>
      <w:marTop w:val="0"/>
      <w:marBottom w:val="0"/>
      <w:divBdr>
        <w:top w:val="none" w:sz="0" w:space="0" w:color="auto"/>
        <w:left w:val="none" w:sz="0" w:space="0" w:color="auto"/>
        <w:bottom w:val="none" w:sz="0" w:space="0" w:color="auto"/>
        <w:right w:val="none" w:sz="0" w:space="0" w:color="auto"/>
      </w:divBdr>
    </w:div>
    <w:div w:id="1706834747">
      <w:bodyDiv w:val="1"/>
      <w:marLeft w:val="0"/>
      <w:marRight w:val="0"/>
      <w:marTop w:val="0"/>
      <w:marBottom w:val="0"/>
      <w:divBdr>
        <w:top w:val="none" w:sz="0" w:space="0" w:color="auto"/>
        <w:left w:val="none" w:sz="0" w:space="0" w:color="auto"/>
        <w:bottom w:val="none" w:sz="0" w:space="0" w:color="auto"/>
        <w:right w:val="none" w:sz="0" w:space="0" w:color="auto"/>
      </w:divBdr>
    </w:div>
    <w:div w:id="1710260194">
      <w:bodyDiv w:val="1"/>
      <w:marLeft w:val="0"/>
      <w:marRight w:val="0"/>
      <w:marTop w:val="0"/>
      <w:marBottom w:val="0"/>
      <w:divBdr>
        <w:top w:val="none" w:sz="0" w:space="0" w:color="auto"/>
        <w:left w:val="none" w:sz="0" w:space="0" w:color="auto"/>
        <w:bottom w:val="none" w:sz="0" w:space="0" w:color="auto"/>
        <w:right w:val="none" w:sz="0" w:space="0" w:color="auto"/>
      </w:divBdr>
    </w:div>
    <w:div w:id="1721517580">
      <w:bodyDiv w:val="1"/>
      <w:marLeft w:val="0"/>
      <w:marRight w:val="0"/>
      <w:marTop w:val="0"/>
      <w:marBottom w:val="0"/>
      <w:divBdr>
        <w:top w:val="none" w:sz="0" w:space="0" w:color="auto"/>
        <w:left w:val="none" w:sz="0" w:space="0" w:color="auto"/>
        <w:bottom w:val="none" w:sz="0" w:space="0" w:color="auto"/>
        <w:right w:val="none" w:sz="0" w:space="0" w:color="auto"/>
      </w:divBdr>
    </w:div>
    <w:div w:id="1730961254">
      <w:bodyDiv w:val="1"/>
      <w:marLeft w:val="0"/>
      <w:marRight w:val="0"/>
      <w:marTop w:val="0"/>
      <w:marBottom w:val="0"/>
      <w:divBdr>
        <w:top w:val="none" w:sz="0" w:space="0" w:color="auto"/>
        <w:left w:val="none" w:sz="0" w:space="0" w:color="auto"/>
        <w:bottom w:val="none" w:sz="0" w:space="0" w:color="auto"/>
        <w:right w:val="none" w:sz="0" w:space="0" w:color="auto"/>
      </w:divBdr>
    </w:div>
    <w:div w:id="1768841584">
      <w:bodyDiv w:val="1"/>
      <w:marLeft w:val="0"/>
      <w:marRight w:val="0"/>
      <w:marTop w:val="0"/>
      <w:marBottom w:val="0"/>
      <w:divBdr>
        <w:top w:val="none" w:sz="0" w:space="0" w:color="auto"/>
        <w:left w:val="none" w:sz="0" w:space="0" w:color="auto"/>
        <w:bottom w:val="none" w:sz="0" w:space="0" w:color="auto"/>
        <w:right w:val="none" w:sz="0" w:space="0" w:color="auto"/>
      </w:divBdr>
    </w:div>
    <w:div w:id="1839270686">
      <w:bodyDiv w:val="1"/>
      <w:marLeft w:val="0"/>
      <w:marRight w:val="0"/>
      <w:marTop w:val="0"/>
      <w:marBottom w:val="0"/>
      <w:divBdr>
        <w:top w:val="none" w:sz="0" w:space="0" w:color="auto"/>
        <w:left w:val="none" w:sz="0" w:space="0" w:color="auto"/>
        <w:bottom w:val="none" w:sz="0" w:space="0" w:color="auto"/>
        <w:right w:val="none" w:sz="0" w:space="0" w:color="auto"/>
      </w:divBdr>
    </w:div>
    <w:div w:id="1844278906">
      <w:bodyDiv w:val="1"/>
      <w:marLeft w:val="0"/>
      <w:marRight w:val="0"/>
      <w:marTop w:val="0"/>
      <w:marBottom w:val="0"/>
      <w:divBdr>
        <w:top w:val="none" w:sz="0" w:space="0" w:color="auto"/>
        <w:left w:val="none" w:sz="0" w:space="0" w:color="auto"/>
        <w:bottom w:val="none" w:sz="0" w:space="0" w:color="auto"/>
        <w:right w:val="none" w:sz="0" w:space="0" w:color="auto"/>
      </w:divBdr>
    </w:div>
    <w:div w:id="1879471046">
      <w:bodyDiv w:val="1"/>
      <w:marLeft w:val="0"/>
      <w:marRight w:val="0"/>
      <w:marTop w:val="0"/>
      <w:marBottom w:val="0"/>
      <w:divBdr>
        <w:top w:val="none" w:sz="0" w:space="0" w:color="auto"/>
        <w:left w:val="none" w:sz="0" w:space="0" w:color="auto"/>
        <w:bottom w:val="none" w:sz="0" w:space="0" w:color="auto"/>
        <w:right w:val="none" w:sz="0" w:space="0" w:color="auto"/>
      </w:divBdr>
    </w:div>
    <w:div w:id="1931037916">
      <w:bodyDiv w:val="1"/>
      <w:marLeft w:val="0"/>
      <w:marRight w:val="0"/>
      <w:marTop w:val="0"/>
      <w:marBottom w:val="0"/>
      <w:divBdr>
        <w:top w:val="none" w:sz="0" w:space="0" w:color="auto"/>
        <w:left w:val="none" w:sz="0" w:space="0" w:color="auto"/>
        <w:bottom w:val="none" w:sz="0" w:space="0" w:color="auto"/>
        <w:right w:val="none" w:sz="0" w:space="0" w:color="auto"/>
      </w:divBdr>
    </w:div>
    <w:div w:id="2012945226">
      <w:bodyDiv w:val="1"/>
      <w:marLeft w:val="0"/>
      <w:marRight w:val="0"/>
      <w:marTop w:val="0"/>
      <w:marBottom w:val="0"/>
      <w:divBdr>
        <w:top w:val="none" w:sz="0" w:space="0" w:color="auto"/>
        <w:left w:val="none" w:sz="0" w:space="0" w:color="auto"/>
        <w:bottom w:val="none" w:sz="0" w:space="0" w:color="auto"/>
        <w:right w:val="none" w:sz="0" w:space="0" w:color="auto"/>
      </w:divBdr>
    </w:div>
    <w:div w:id="2047679108">
      <w:bodyDiv w:val="1"/>
      <w:marLeft w:val="0"/>
      <w:marRight w:val="0"/>
      <w:marTop w:val="0"/>
      <w:marBottom w:val="0"/>
      <w:divBdr>
        <w:top w:val="none" w:sz="0" w:space="0" w:color="auto"/>
        <w:left w:val="none" w:sz="0" w:space="0" w:color="auto"/>
        <w:bottom w:val="none" w:sz="0" w:space="0" w:color="auto"/>
        <w:right w:val="none" w:sz="0" w:space="0" w:color="auto"/>
      </w:divBdr>
    </w:div>
    <w:div w:id="2095739145">
      <w:bodyDiv w:val="1"/>
      <w:marLeft w:val="0"/>
      <w:marRight w:val="0"/>
      <w:marTop w:val="0"/>
      <w:marBottom w:val="0"/>
      <w:divBdr>
        <w:top w:val="none" w:sz="0" w:space="0" w:color="auto"/>
        <w:left w:val="none" w:sz="0" w:space="0" w:color="auto"/>
        <w:bottom w:val="none" w:sz="0" w:space="0" w:color="auto"/>
        <w:right w:val="none" w:sz="0" w:space="0" w:color="auto"/>
      </w:divBdr>
    </w:div>
    <w:div w:id="2129617799">
      <w:bodyDiv w:val="1"/>
      <w:marLeft w:val="0"/>
      <w:marRight w:val="0"/>
      <w:marTop w:val="0"/>
      <w:marBottom w:val="0"/>
      <w:divBdr>
        <w:top w:val="none" w:sz="0" w:space="0" w:color="auto"/>
        <w:left w:val="none" w:sz="0" w:space="0" w:color="auto"/>
        <w:bottom w:val="none" w:sz="0" w:space="0" w:color="auto"/>
        <w:right w:val="none" w:sz="0" w:space="0" w:color="auto"/>
      </w:divBdr>
    </w:div>
    <w:div w:id="2144156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ccb-centralbank.org/news/bank-of-st-vincent-and-the-grenadines-limited-bosvg-acquires-firstcaribbean-international-bank-barbados-limited-fcib-saint-vincent-and-the-grenadines-branch"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org/en/knowledge/reports/people-profession-survey-2023/"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4353C23C3134F4CA7A86091FE7C6A6B"/>
        <w:category>
          <w:name w:val="General"/>
          <w:gallery w:val="placeholder"/>
        </w:category>
        <w:types>
          <w:type w:val="bbPlcHdr"/>
        </w:types>
        <w:behaviors>
          <w:behavior w:val="content"/>
        </w:behaviors>
        <w:guid w:val="{2F3CC879-1F7C-4C32-A3BC-822DA7C92CD2}"/>
      </w:docPartPr>
      <w:docPartBody>
        <w:p w:rsidR="00000000" w:rsidRDefault="00B1777B" w:rsidP="00B1777B">
          <w:pPr>
            <w:pStyle w:val="64353C23C3134F4CA7A86091FE7C6A6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77B"/>
    <w:rsid w:val="0028399D"/>
    <w:rsid w:val="005C537B"/>
    <w:rsid w:val="00B1777B"/>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VC" w:eastAsia="en-VC"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353C23C3134F4CA7A86091FE7C6A6B">
    <w:name w:val="64353C23C3134F4CA7A86091FE7C6A6B"/>
    <w:rsid w:val="00B1777B"/>
  </w:style>
  <w:style w:type="paragraph" w:customStyle="1" w:styleId="1B8AA1A671404E3DBE5B0C7834689D3A">
    <w:name w:val="1B8AA1A671404E3DBE5B0C7834689D3A"/>
    <w:rsid w:val="00B1777B"/>
  </w:style>
  <w:style w:type="paragraph" w:customStyle="1" w:styleId="BF22A77AFACF4CE292AC19463DB5673B">
    <w:name w:val="BF22A77AFACF4CE292AC19463DB5673B"/>
    <w:rsid w:val="00B177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3D8636-853E-488C-B98F-BB69D421C03E}">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April 11, 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31EF6E-F961-487E-8455-ED9EE11A1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3123</Words>
  <Characters>20768</Characters>
  <Application>Microsoft Office Word</Application>
  <DocSecurity>0</DocSecurity>
  <Lines>352</Lines>
  <Paragraphs>90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Critical Evaluation of the Business Environment and Its Influence on Human Resource Management at the Bank of St. Vincent and the Grenadines</dc:title>
  <dc:subject/>
  <dc:creator>Reah Edwards (2413570)</dc:creator>
  <cp:keywords/>
  <dc:description/>
  <cp:lastModifiedBy>Reah Edwards (2413570)</cp:lastModifiedBy>
  <cp:revision>2</cp:revision>
  <dcterms:created xsi:type="dcterms:W3CDTF">2025-04-11T17:09:00Z</dcterms:created>
  <dcterms:modified xsi:type="dcterms:W3CDTF">2025-04-11T17:09:00Z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bf51d6f9-dbb9-4fe6-b7dd-6ed244951747</vt:lpwstr>
  </property>
</Properties>
</file>