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3168D" w14:textId="4062600B" w:rsidR="00DF27A7" w:rsidRDefault="00DF27A7" w:rsidP="003F69C2">
      <w:pPr>
        <w:jc w:val="both"/>
        <w:rPr>
          <w:rFonts w:cs="Arial"/>
          <w:b/>
          <w:sz w:val="32"/>
          <w:szCs w:val="32"/>
        </w:rPr>
      </w:pPr>
    </w:p>
    <w:p w14:paraId="190B63A9" w14:textId="77777777" w:rsidR="009C72A7" w:rsidRDefault="009C72A7" w:rsidP="00CA12DC">
      <w:pPr>
        <w:jc w:val="center"/>
        <w:rPr>
          <w:rFonts w:cs="Arial"/>
          <w:b/>
          <w:sz w:val="32"/>
          <w:szCs w:val="32"/>
        </w:rPr>
      </w:pPr>
    </w:p>
    <w:p w14:paraId="5F44E594" w14:textId="77777777" w:rsidR="00CA12DC" w:rsidRPr="00463655" w:rsidRDefault="000F325D" w:rsidP="00CA12DC">
      <w:pPr>
        <w:jc w:val="center"/>
        <w:rPr>
          <w:rFonts w:cs="Arial"/>
          <w:bCs/>
          <w:sz w:val="32"/>
          <w:szCs w:val="32"/>
        </w:rPr>
      </w:pPr>
      <w:r w:rsidRPr="00463655">
        <w:rPr>
          <w:rFonts w:cs="Arial"/>
          <w:bCs/>
          <w:sz w:val="32"/>
          <w:szCs w:val="32"/>
        </w:rPr>
        <w:t>UNIVERSITY OF WALES TRINITY SAINT DAVID</w:t>
      </w:r>
    </w:p>
    <w:p w14:paraId="71284E1B"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168138B2" w14:textId="77777777" w:rsidR="00CA12DC" w:rsidRPr="00C22A3A" w:rsidRDefault="00CA12DC" w:rsidP="00CA12DC">
      <w:pPr>
        <w:jc w:val="center"/>
        <w:rPr>
          <w:rFonts w:cs="Arial"/>
          <w:b/>
          <w:sz w:val="32"/>
          <w:szCs w:val="32"/>
        </w:rPr>
      </w:pPr>
    </w:p>
    <w:p w14:paraId="7668BF08" w14:textId="77777777" w:rsidR="00F109C7" w:rsidRPr="00C22A3A" w:rsidRDefault="00CA12DC" w:rsidP="00CA12DC">
      <w:pPr>
        <w:jc w:val="center"/>
        <w:rPr>
          <w:rFonts w:cs="Arial"/>
          <w:b/>
          <w:sz w:val="32"/>
          <w:szCs w:val="32"/>
        </w:rPr>
      </w:pPr>
      <w:r w:rsidRPr="18891B72">
        <w:rPr>
          <w:rFonts w:cs="Arial"/>
          <w:b/>
          <w:bCs/>
          <w:sz w:val="32"/>
          <w:szCs w:val="32"/>
        </w:rPr>
        <w:t xml:space="preserve">APPLICATION </w:t>
      </w:r>
      <w:r w:rsidR="00F109C7" w:rsidRPr="18891B72">
        <w:rPr>
          <w:rFonts w:cs="Arial"/>
          <w:b/>
          <w:bCs/>
          <w:sz w:val="32"/>
          <w:szCs w:val="32"/>
        </w:rPr>
        <w:t>FOR SENIOR FELLOW</w:t>
      </w:r>
    </w:p>
    <w:p w14:paraId="18A3C5B3" w14:textId="27F9F437" w:rsidR="18891B72" w:rsidRDefault="18891B72" w:rsidP="4F7FBBAB">
      <w:pPr>
        <w:jc w:val="center"/>
        <w:rPr>
          <w:rFonts w:eastAsia="Arial" w:cs="Arial"/>
          <w:b/>
          <w:bCs/>
          <w:sz w:val="24"/>
          <w:szCs w:val="24"/>
        </w:rPr>
      </w:pPr>
    </w:p>
    <w:p w14:paraId="5CCC5805" w14:textId="387C94DB" w:rsidR="4B1959FE" w:rsidRDefault="4B1959FE" w:rsidP="12B5ADD9">
      <w:pPr>
        <w:ind w:right="384"/>
        <w:jc w:val="both"/>
        <w:rPr>
          <w:rFonts w:eastAsia="Arial" w:cs="Arial"/>
          <w:color w:val="000000" w:themeColor="text1"/>
          <w:sz w:val="24"/>
          <w:szCs w:val="24"/>
        </w:rPr>
      </w:pPr>
      <w:r w:rsidRPr="12B5ADD9">
        <w:rPr>
          <w:rFonts w:eastAsia="Arial" w:cs="Arial"/>
          <w:b/>
          <w:bCs/>
          <w:color w:val="000000" w:themeColor="text1"/>
          <w:sz w:val="24"/>
          <w:szCs w:val="24"/>
        </w:rPr>
        <w:t xml:space="preserve">Before you start, </w:t>
      </w:r>
      <w:r w:rsidRPr="12B5ADD9">
        <w:rPr>
          <w:rFonts w:eastAsia="Arial" w:cs="Arial"/>
          <w:color w:val="000000" w:themeColor="text1"/>
          <w:sz w:val="24"/>
          <w:szCs w:val="24"/>
        </w:rPr>
        <w:t>you will need to refer to the following documents/guidance:</w:t>
      </w:r>
    </w:p>
    <w:p w14:paraId="49A683D1" w14:textId="10C8E216" w:rsidR="4B1959FE" w:rsidRPr="001B1557" w:rsidRDefault="4B1959FE" w:rsidP="12B5ADD9">
      <w:pPr>
        <w:pStyle w:val="Bullet"/>
        <w:numPr>
          <w:ilvl w:val="0"/>
          <w:numId w:val="0"/>
        </w:numPr>
        <w:ind w:left="567" w:right="384" w:hanging="567"/>
        <w:jc w:val="both"/>
        <w:rPr>
          <w:rFonts w:ascii="Arial" w:eastAsia="Arial" w:hAnsi="Arial" w:cs="Arial"/>
          <w:color w:val="auto"/>
        </w:rPr>
      </w:pPr>
      <w:r w:rsidRPr="12B5ADD9">
        <w:rPr>
          <w:rFonts w:ascii="Arial" w:eastAsia="Arial" w:hAnsi="Arial" w:cs="Arial"/>
          <w:color w:val="auto"/>
        </w:rPr>
        <w:t xml:space="preserve">The Advance HE </w:t>
      </w:r>
      <w:hyperlink r:id="rId10">
        <w:r w:rsidRPr="12B5ADD9">
          <w:rPr>
            <w:rStyle w:val="Hyperlink"/>
            <w:rFonts w:ascii="Arial" w:eastAsia="Arial" w:hAnsi="Arial" w:cs="Arial"/>
            <w:b/>
            <w:bCs/>
            <w:color w:val="auto"/>
            <w:u w:val="none"/>
          </w:rPr>
          <w:t>Fellowship Category Tool</w:t>
        </w:r>
      </w:hyperlink>
      <w:r w:rsidRPr="12B5ADD9">
        <w:rPr>
          <w:rFonts w:ascii="Arial" w:eastAsia="Arial" w:hAnsi="Arial" w:cs="Arial"/>
          <w:color w:val="auto"/>
        </w:rPr>
        <w:t xml:space="preserve"> will help you to determine whether Senior Fellowship is the most appropriate category of Fellowship for you at this point;</w:t>
      </w:r>
    </w:p>
    <w:p w14:paraId="2ABC17BE" w14:textId="443F7BFA" w:rsidR="4B1959FE" w:rsidRDefault="4B1959FE" w:rsidP="12B5ADD9">
      <w:pPr>
        <w:pStyle w:val="ListParagraph"/>
        <w:numPr>
          <w:ilvl w:val="0"/>
          <w:numId w:val="4"/>
        </w:numPr>
        <w:spacing w:before="120" w:after="120"/>
        <w:ind w:left="567" w:right="384" w:hanging="567"/>
        <w:jc w:val="both"/>
        <w:rPr>
          <w:rFonts w:ascii="Arial" w:eastAsia="Arial" w:hAnsi="Arial" w:cs="Arial"/>
          <w:color w:val="000000" w:themeColor="text1"/>
          <w:sz w:val="24"/>
          <w:szCs w:val="24"/>
        </w:rPr>
      </w:pPr>
      <w:r w:rsidRPr="12B5ADD9">
        <w:rPr>
          <w:rFonts w:ascii="Arial" w:eastAsia="Arial" w:hAnsi="Arial" w:cs="Arial"/>
          <w:color w:val="000000" w:themeColor="text1"/>
          <w:sz w:val="24"/>
          <w:szCs w:val="24"/>
        </w:rPr>
        <w:t xml:space="preserve">The </w:t>
      </w:r>
      <w:hyperlink r:id="rId11">
        <w:r w:rsidRPr="12B5ADD9">
          <w:rPr>
            <w:rStyle w:val="Hyperlink"/>
            <w:rFonts w:ascii="Arial" w:eastAsia="Arial" w:hAnsi="Arial" w:cs="Arial"/>
            <w:b/>
            <w:bCs/>
            <w:color w:val="0087B5"/>
            <w:sz w:val="24"/>
            <w:szCs w:val="24"/>
            <w:u w:val="none"/>
          </w:rPr>
          <w:t>Professional Standards Framework for teaching and supporting learning in higher education</w:t>
        </w:r>
      </w:hyperlink>
      <w:r w:rsidRPr="12B5ADD9">
        <w:rPr>
          <w:rStyle w:val="hyperlink1Char"/>
          <w:rFonts w:ascii="Arial" w:eastAsia="Arial" w:hAnsi="Arial" w:cs="Arial"/>
        </w:rPr>
        <w:t xml:space="preserve"> </w:t>
      </w:r>
      <w:r w:rsidRPr="12B5ADD9">
        <w:rPr>
          <w:rFonts w:ascii="Arial" w:eastAsia="Arial" w:hAnsi="Arial" w:cs="Arial"/>
          <w:color w:val="000000" w:themeColor="text1"/>
          <w:sz w:val="24"/>
          <w:szCs w:val="24"/>
        </w:rPr>
        <w:t>(PSF 2023) – the award of Senior Fellowship is based on the criteria of Descriptor 3 (PSF 2023) being evidenced;</w:t>
      </w:r>
    </w:p>
    <w:p w14:paraId="640E3254" w14:textId="7C3EAB09" w:rsidR="4B1959FE" w:rsidRDefault="4B1959FE" w:rsidP="12B5ADD9">
      <w:pPr>
        <w:pStyle w:val="ListParagraph"/>
        <w:numPr>
          <w:ilvl w:val="0"/>
          <w:numId w:val="4"/>
        </w:numPr>
        <w:spacing w:before="120" w:after="120"/>
        <w:ind w:left="567" w:right="384" w:hanging="567"/>
        <w:jc w:val="both"/>
        <w:rPr>
          <w:rFonts w:ascii="Arial" w:eastAsia="Arial" w:hAnsi="Arial" w:cs="Arial"/>
          <w:color w:val="A6A402"/>
          <w:sz w:val="24"/>
          <w:szCs w:val="24"/>
        </w:rPr>
      </w:pPr>
      <w:hyperlink r:id="rId12">
        <w:r w:rsidRPr="12B5ADD9">
          <w:rPr>
            <w:rStyle w:val="Hyperlink"/>
            <w:rFonts w:ascii="Arial" w:eastAsia="Arial" w:hAnsi="Arial" w:cs="Arial"/>
            <w:b/>
            <w:bCs/>
            <w:color w:val="0087B5"/>
            <w:sz w:val="24"/>
            <w:szCs w:val="24"/>
            <w:u w:val="none"/>
          </w:rPr>
          <w:t>Senior Fellowship Applicant Guidance</w:t>
        </w:r>
      </w:hyperlink>
      <w:r w:rsidRPr="12B5ADD9">
        <w:rPr>
          <w:rStyle w:val="hyperlink1Char"/>
          <w:rFonts w:ascii="Arial" w:eastAsia="Arial" w:hAnsi="Arial" w:cs="Arial"/>
          <w:b/>
          <w:bCs/>
        </w:rPr>
        <w:t xml:space="preserve"> </w:t>
      </w:r>
      <w:r w:rsidRPr="12B5ADD9">
        <w:rPr>
          <w:rFonts w:ascii="Arial" w:eastAsia="Arial" w:hAnsi="Arial" w:cs="Arial"/>
          <w:color w:val="A6A402"/>
          <w:sz w:val="24"/>
          <w:szCs w:val="24"/>
        </w:rPr>
        <w:t xml:space="preserve">and </w:t>
      </w:r>
      <w:hyperlink r:id="rId13">
        <w:r w:rsidRPr="12B5ADD9">
          <w:rPr>
            <w:rStyle w:val="Hyperlink"/>
            <w:rFonts w:ascii="Arial" w:eastAsia="Arial" w:hAnsi="Arial" w:cs="Arial"/>
            <w:b/>
            <w:bCs/>
            <w:color w:val="0087B5"/>
            <w:sz w:val="24"/>
            <w:szCs w:val="24"/>
            <w:u w:val="none"/>
          </w:rPr>
          <w:t>Guide to the PSF 2023 Dimensions - Senior Fellowship (D3</w:t>
        </w:r>
      </w:hyperlink>
      <w:r w:rsidRPr="12B5ADD9">
        <w:rPr>
          <w:rStyle w:val="hyperlink1Char"/>
          <w:rFonts w:ascii="Arial" w:eastAsia="Arial" w:hAnsi="Arial" w:cs="Arial"/>
          <w:b/>
          <w:bCs/>
        </w:rPr>
        <w:t xml:space="preserve">) </w:t>
      </w:r>
    </w:p>
    <w:tbl>
      <w:tblPr>
        <w:tblStyle w:val="TableGrid"/>
        <w:tblW w:w="0" w:type="auto"/>
        <w:tblLayout w:type="fixed"/>
        <w:tblLook w:val="06A0" w:firstRow="1" w:lastRow="0" w:firstColumn="1" w:lastColumn="0" w:noHBand="1" w:noVBand="1"/>
      </w:tblPr>
      <w:tblGrid>
        <w:gridCol w:w="10455"/>
      </w:tblGrid>
      <w:tr w:rsidR="4F7FBBAB" w14:paraId="089BC376" w14:textId="77777777" w:rsidTr="12B5ADD9">
        <w:trPr>
          <w:trHeight w:val="300"/>
        </w:trPr>
        <w:tc>
          <w:tcPr>
            <w:tcW w:w="10455" w:type="dxa"/>
          </w:tcPr>
          <w:p w14:paraId="13A0649A" w14:textId="344DD81A" w:rsidR="2B2B2DAE" w:rsidRDefault="3BF4B95A" w:rsidP="4F7FBBAB">
            <w:pPr>
              <w:widowControl w:val="0"/>
              <w:spacing w:before="145"/>
              <w:jc w:val="both"/>
              <w:rPr>
                <w:rFonts w:eastAsia="Arial" w:cs="Arial"/>
                <w:color w:val="000000" w:themeColor="text1"/>
                <w:sz w:val="24"/>
                <w:szCs w:val="24"/>
              </w:rPr>
            </w:pPr>
            <w:r w:rsidRPr="12B5ADD9">
              <w:rPr>
                <w:rFonts w:eastAsia="Arial" w:cs="Arial"/>
                <w:color w:val="000000" w:themeColor="text1"/>
                <w:sz w:val="24"/>
                <w:szCs w:val="24"/>
                <w:lang w:val="en-US"/>
              </w:rPr>
              <w:t xml:space="preserve">Senior Fellowship is based on meeting </w:t>
            </w:r>
            <w:r w:rsidRPr="12B5ADD9">
              <w:rPr>
                <w:rFonts w:eastAsia="Arial" w:cs="Arial"/>
                <w:b/>
                <w:bCs/>
                <w:color w:val="000000" w:themeColor="text1"/>
                <w:sz w:val="24"/>
                <w:szCs w:val="24"/>
                <w:lang w:val="en-US"/>
              </w:rPr>
              <w:t>Descriptor 3 (D3) of the PSF 2023</w:t>
            </w:r>
            <w:r w:rsidRPr="12B5ADD9">
              <w:rPr>
                <w:rFonts w:eastAsia="Arial" w:cs="Arial"/>
                <w:color w:val="000000" w:themeColor="text1"/>
                <w:sz w:val="24"/>
                <w:szCs w:val="24"/>
                <w:lang w:val="en-US"/>
              </w:rPr>
              <w:t xml:space="preserve"> and your </w:t>
            </w:r>
            <w:r w:rsidRPr="12B5ADD9">
              <w:rPr>
                <w:rFonts w:eastAsia="Arial" w:cs="Arial"/>
                <w:b/>
                <w:bCs/>
                <w:color w:val="000000" w:themeColor="text1"/>
                <w:sz w:val="24"/>
                <w:szCs w:val="24"/>
                <w:lang w:val="en-US"/>
              </w:rPr>
              <w:t>Account of Professional Practice</w:t>
            </w:r>
            <w:r w:rsidRPr="12B5ADD9">
              <w:rPr>
                <w:rFonts w:eastAsia="Arial" w:cs="Arial"/>
                <w:color w:val="000000" w:themeColor="text1"/>
                <w:sz w:val="24"/>
                <w:szCs w:val="24"/>
                <w:lang w:val="en-US"/>
              </w:rPr>
              <w:t xml:space="preserve"> is the core of your application.</w:t>
            </w:r>
          </w:p>
          <w:p w14:paraId="199C4939" w14:textId="2C06DC82" w:rsidR="4F7FBBAB" w:rsidRDefault="4F7FBBAB" w:rsidP="12B5ADD9">
            <w:pPr>
              <w:widowControl w:val="0"/>
              <w:spacing w:before="145"/>
              <w:jc w:val="both"/>
              <w:rPr>
                <w:rFonts w:eastAsia="Arial" w:cs="Arial"/>
                <w:color w:val="000000" w:themeColor="text1"/>
                <w:sz w:val="24"/>
                <w:szCs w:val="24"/>
                <w:lang w:val="en-US"/>
              </w:rPr>
            </w:pPr>
          </w:p>
          <w:p w14:paraId="20C91B1D" w14:textId="3BC373C9" w:rsidR="2B2B2DAE" w:rsidRDefault="3BF4B95A" w:rsidP="4F7FBBAB">
            <w:pPr>
              <w:ind w:right="384"/>
              <w:jc w:val="both"/>
              <w:rPr>
                <w:rFonts w:eastAsia="Arial" w:cs="Arial"/>
                <w:color w:val="000000" w:themeColor="text1"/>
                <w:sz w:val="24"/>
                <w:szCs w:val="24"/>
              </w:rPr>
            </w:pPr>
            <w:r w:rsidRPr="12B5ADD9">
              <w:rPr>
                <w:rFonts w:eastAsia="Arial" w:cs="Arial"/>
                <w:color w:val="000000" w:themeColor="text1"/>
                <w:sz w:val="24"/>
                <w:szCs w:val="24"/>
                <w:lang w:val="en-US"/>
              </w:rPr>
              <w:t xml:space="preserve">The </w:t>
            </w:r>
            <w:r w:rsidRPr="12B5ADD9">
              <w:rPr>
                <w:rFonts w:eastAsia="Arial" w:cs="Arial"/>
                <w:b/>
                <w:bCs/>
                <w:color w:val="000000" w:themeColor="text1"/>
                <w:sz w:val="24"/>
                <w:szCs w:val="24"/>
                <w:lang w:val="en-US"/>
              </w:rPr>
              <w:t>Account of Professional Practice consists of</w:t>
            </w:r>
            <w:r w:rsidR="70FFF977" w:rsidRPr="12B5ADD9">
              <w:rPr>
                <w:rFonts w:eastAsia="Arial" w:cs="Arial"/>
                <w:b/>
                <w:bCs/>
                <w:color w:val="000000" w:themeColor="text1"/>
                <w:sz w:val="24"/>
                <w:szCs w:val="24"/>
                <w:lang w:val="en-US"/>
              </w:rPr>
              <w:t>:</w:t>
            </w:r>
          </w:p>
          <w:p w14:paraId="263A998B" w14:textId="1DBDDDC6" w:rsidR="2B2B2DAE" w:rsidRDefault="3BF4B95A" w:rsidP="4F7FBBAB">
            <w:pPr>
              <w:pStyle w:val="ListParagraph"/>
              <w:numPr>
                <w:ilvl w:val="0"/>
                <w:numId w:val="1"/>
              </w:numPr>
              <w:ind w:right="384"/>
              <w:jc w:val="both"/>
              <w:rPr>
                <w:rFonts w:ascii="Arial" w:eastAsia="Arial" w:hAnsi="Arial" w:cs="Arial"/>
                <w:color w:val="000000" w:themeColor="text1"/>
                <w:sz w:val="24"/>
                <w:szCs w:val="24"/>
              </w:rPr>
            </w:pPr>
            <w:r w:rsidRPr="12B5ADD9">
              <w:rPr>
                <w:rFonts w:ascii="Arial" w:eastAsia="Arial" w:hAnsi="Arial" w:cs="Arial"/>
                <w:b/>
                <w:bCs/>
                <w:color w:val="000000" w:themeColor="text1"/>
                <w:sz w:val="24"/>
                <w:szCs w:val="24"/>
                <w:lang w:val="en-US"/>
              </w:rPr>
              <w:t xml:space="preserve"> a Context Statement</w:t>
            </w:r>
            <w:r w:rsidRPr="12B5ADD9">
              <w:rPr>
                <w:rFonts w:ascii="Arial" w:eastAsia="Arial" w:hAnsi="Arial" w:cs="Arial"/>
                <w:color w:val="000000" w:themeColor="text1"/>
                <w:sz w:val="24"/>
                <w:szCs w:val="24"/>
                <w:lang w:val="en-US"/>
              </w:rPr>
              <w:t xml:space="preserve"> (see Applicant Guidance</w:t>
            </w:r>
            <w:r w:rsidR="5F860126" w:rsidRPr="12B5ADD9">
              <w:rPr>
                <w:rFonts w:ascii="Arial" w:eastAsia="Arial" w:hAnsi="Arial" w:cs="Arial"/>
                <w:color w:val="000000" w:themeColor="text1"/>
                <w:sz w:val="24"/>
                <w:szCs w:val="24"/>
                <w:lang w:val="en-US"/>
              </w:rPr>
              <w:t>:</w:t>
            </w:r>
            <w:r w:rsidRPr="12B5ADD9">
              <w:rPr>
                <w:rFonts w:ascii="Arial" w:eastAsia="Arial" w:hAnsi="Arial" w:cs="Arial"/>
                <w:color w:val="000000" w:themeColor="text1"/>
                <w:sz w:val="24"/>
                <w:szCs w:val="24"/>
                <w:lang w:val="en-US"/>
              </w:rPr>
              <w:t xml:space="preserve"> Section 4.2)</w:t>
            </w:r>
          </w:p>
          <w:p w14:paraId="0F3D2913" w14:textId="1B7AC894" w:rsidR="2B2B2DAE" w:rsidRDefault="3BF4B95A" w:rsidP="12B5ADD9">
            <w:pPr>
              <w:pStyle w:val="ListParagraph"/>
              <w:numPr>
                <w:ilvl w:val="0"/>
                <w:numId w:val="1"/>
              </w:numPr>
              <w:ind w:right="384"/>
              <w:jc w:val="both"/>
              <w:rPr>
                <w:rFonts w:ascii="Arial" w:eastAsia="Arial" w:hAnsi="Arial" w:cs="Arial"/>
                <w:color w:val="000000" w:themeColor="text1"/>
                <w:sz w:val="24"/>
                <w:szCs w:val="24"/>
                <w:lang w:val="en-US"/>
              </w:rPr>
            </w:pPr>
            <w:r w:rsidRPr="12B5ADD9">
              <w:rPr>
                <w:rFonts w:ascii="Arial" w:eastAsia="Arial" w:hAnsi="Arial" w:cs="Arial"/>
                <w:b/>
                <w:bCs/>
                <w:color w:val="000000" w:themeColor="text1"/>
                <w:sz w:val="24"/>
                <w:szCs w:val="24"/>
                <w:lang w:val="en-US"/>
              </w:rPr>
              <w:t>a</w:t>
            </w:r>
            <w:r w:rsidRPr="12B5ADD9">
              <w:rPr>
                <w:rFonts w:ascii="Arial" w:eastAsia="Arial" w:hAnsi="Arial" w:cs="Arial"/>
                <w:color w:val="000000" w:themeColor="text1"/>
                <w:sz w:val="24"/>
                <w:szCs w:val="24"/>
                <w:lang w:val="en-US"/>
              </w:rPr>
              <w:t xml:space="preserve"> </w:t>
            </w:r>
            <w:r w:rsidRPr="12B5ADD9">
              <w:rPr>
                <w:rFonts w:ascii="Arial" w:eastAsia="Arial" w:hAnsi="Arial" w:cs="Arial"/>
                <w:b/>
                <w:bCs/>
                <w:color w:val="000000" w:themeColor="text1"/>
                <w:sz w:val="24"/>
                <w:szCs w:val="24"/>
                <w:lang w:val="en-US"/>
              </w:rPr>
              <w:t>Reflective Narrative</w:t>
            </w:r>
            <w:r w:rsidRPr="12B5ADD9">
              <w:rPr>
                <w:rFonts w:ascii="Arial" w:eastAsia="Arial" w:hAnsi="Arial" w:cs="Arial"/>
                <w:color w:val="000000" w:themeColor="text1"/>
                <w:sz w:val="24"/>
                <w:szCs w:val="24"/>
                <w:lang w:val="en-US"/>
              </w:rPr>
              <w:t xml:space="preserve"> </w:t>
            </w:r>
            <w:r w:rsidR="34DCAB11" w:rsidRPr="12B5ADD9">
              <w:rPr>
                <w:rFonts w:ascii="Arial" w:eastAsia="Arial" w:hAnsi="Arial" w:cs="Arial"/>
                <w:color w:val="000000" w:themeColor="text1"/>
                <w:sz w:val="24"/>
                <w:szCs w:val="24"/>
                <w:lang w:val="en-US"/>
              </w:rPr>
              <w:t xml:space="preserve">(see Applicant Guidance: Section </w:t>
            </w:r>
            <w:r w:rsidR="44F0C1FD" w:rsidRPr="12B5ADD9">
              <w:rPr>
                <w:rFonts w:ascii="Arial" w:eastAsia="Arial" w:hAnsi="Arial" w:cs="Arial"/>
                <w:color w:val="000000" w:themeColor="text1"/>
                <w:sz w:val="24"/>
                <w:szCs w:val="24"/>
                <w:lang w:val="en-US"/>
              </w:rPr>
              <w:t>6.2)</w:t>
            </w:r>
          </w:p>
          <w:p w14:paraId="3B557F73" w14:textId="290F7D32" w:rsidR="29385D6E" w:rsidRDefault="34DCAB11" w:rsidP="12B5ADD9">
            <w:pPr>
              <w:pStyle w:val="ListParagraph"/>
              <w:numPr>
                <w:ilvl w:val="0"/>
                <w:numId w:val="1"/>
              </w:numPr>
              <w:ind w:right="384"/>
              <w:jc w:val="both"/>
              <w:rPr>
                <w:rFonts w:ascii="Arial" w:eastAsia="Arial" w:hAnsi="Arial" w:cs="Arial"/>
                <w:b/>
                <w:bCs/>
                <w:color w:val="000000" w:themeColor="text1"/>
                <w:sz w:val="24"/>
                <w:szCs w:val="24"/>
                <w:lang w:val="en-US"/>
              </w:rPr>
            </w:pPr>
            <w:r w:rsidRPr="12B5ADD9">
              <w:rPr>
                <w:rFonts w:ascii="Arial" w:eastAsia="Arial" w:hAnsi="Arial" w:cs="Arial"/>
                <w:b/>
                <w:bCs/>
                <w:color w:val="000000" w:themeColor="text1"/>
                <w:sz w:val="24"/>
                <w:szCs w:val="24"/>
                <w:lang w:val="en-US"/>
              </w:rPr>
              <w:t>t</w:t>
            </w:r>
            <w:r w:rsidR="3BF4B95A" w:rsidRPr="12B5ADD9">
              <w:rPr>
                <w:rFonts w:ascii="Arial" w:eastAsia="Arial" w:hAnsi="Arial" w:cs="Arial"/>
                <w:b/>
                <w:bCs/>
                <w:color w:val="000000" w:themeColor="text1"/>
                <w:sz w:val="24"/>
                <w:szCs w:val="24"/>
                <w:lang w:val="en-US"/>
              </w:rPr>
              <w:t>wo Case Studies</w:t>
            </w:r>
            <w:r w:rsidR="776C430F" w:rsidRPr="12B5ADD9">
              <w:rPr>
                <w:rFonts w:ascii="Arial" w:eastAsia="Arial" w:hAnsi="Arial" w:cs="Arial"/>
                <w:b/>
                <w:bCs/>
                <w:color w:val="000000" w:themeColor="text1"/>
                <w:sz w:val="24"/>
                <w:szCs w:val="24"/>
                <w:lang w:val="en-US"/>
              </w:rPr>
              <w:t xml:space="preserve"> </w:t>
            </w:r>
            <w:r w:rsidR="776C430F" w:rsidRPr="12B5ADD9">
              <w:rPr>
                <w:rFonts w:ascii="Arial" w:eastAsia="Arial" w:hAnsi="Arial" w:cs="Arial"/>
                <w:color w:val="000000" w:themeColor="text1"/>
                <w:sz w:val="24"/>
                <w:szCs w:val="24"/>
                <w:lang w:val="en-US"/>
              </w:rPr>
              <w:t>(see Applicant Guidance: Section</w:t>
            </w:r>
            <w:r w:rsidR="3A566091" w:rsidRPr="12B5ADD9">
              <w:rPr>
                <w:rFonts w:ascii="Arial" w:eastAsia="Arial" w:hAnsi="Arial" w:cs="Arial"/>
                <w:color w:val="000000" w:themeColor="text1"/>
                <w:sz w:val="24"/>
                <w:szCs w:val="24"/>
                <w:lang w:val="en-US"/>
              </w:rPr>
              <w:t xml:space="preserve"> 6.3)</w:t>
            </w:r>
          </w:p>
          <w:p w14:paraId="57F1EE2F" w14:textId="1C17D22C" w:rsidR="4F7FBBAB" w:rsidRDefault="4F7FBBAB" w:rsidP="12B5ADD9">
            <w:pPr>
              <w:widowControl w:val="0"/>
              <w:spacing w:before="60"/>
              <w:ind w:left="114"/>
              <w:jc w:val="both"/>
              <w:rPr>
                <w:rFonts w:eastAsia="Arial" w:cs="Arial"/>
                <w:color w:val="000000" w:themeColor="text1"/>
                <w:sz w:val="24"/>
                <w:szCs w:val="24"/>
              </w:rPr>
            </w:pPr>
          </w:p>
          <w:p w14:paraId="411319E8" w14:textId="1E3DFC1D" w:rsidR="113B842B" w:rsidRDefault="4E6A601E" w:rsidP="4F7FBBAB">
            <w:pPr>
              <w:widowControl w:val="0"/>
              <w:spacing w:before="60"/>
              <w:ind w:left="114"/>
              <w:jc w:val="both"/>
              <w:rPr>
                <w:rFonts w:eastAsia="Arial" w:cs="Arial"/>
                <w:color w:val="000000" w:themeColor="text1"/>
                <w:sz w:val="24"/>
                <w:szCs w:val="24"/>
              </w:rPr>
            </w:pPr>
            <w:r w:rsidRPr="12B5ADD9">
              <w:rPr>
                <w:rFonts w:eastAsia="Arial" w:cs="Arial"/>
                <w:color w:val="000000" w:themeColor="text1"/>
                <w:sz w:val="24"/>
                <w:szCs w:val="24"/>
              </w:rPr>
              <w:t xml:space="preserve">There is a </w:t>
            </w:r>
            <w:r w:rsidR="4E56C503" w:rsidRPr="12B5ADD9">
              <w:rPr>
                <w:rFonts w:eastAsia="Arial" w:cs="Arial"/>
                <w:b/>
                <w:bCs/>
                <w:color w:val="000000" w:themeColor="text1"/>
                <w:sz w:val="24"/>
                <w:szCs w:val="24"/>
              </w:rPr>
              <w:t xml:space="preserve">6,000-word limit shared across all three elements </w:t>
            </w:r>
            <w:r w:rsidR="4E56C503" w:rsidRPr="12B5ADD9">
              <w:rPr>
                <w:rFonts w:eastAsia="Arial" w:cs="Arial"/>
                <w:color w:val="000000" w:themeColor="text1"/>
                <w:sz w:val="24"/>
                <w:szCs w:val="24"/>
              </w:rPr>
              <w:t>plus citations (overall maximum of 6,500 words</w:t>
            </w:r>
            <w:r w:rsidR="50BBF7BD" w:rsidRPr="12B5ADD9">
              <w:rPr>
                <w:rFonts w:eastAsia="Arial" w:cs="Arial"/>
                <w:color w:val="000000" w:themeColor="text1"/>
                <w:sz w:val="24"/>
                <w:szCs w:val="24"/>
              </w:rPr>
              <w:t xml:space="preserve">). </w:t>
            </w:r>
            <w:r w:rsidR="624BAA75" w:rsidRPr="12B5ADD9">
              <w:rPr>
                <w:rFonts w:eastAsia="Arial" w:cs="Arial"/>
                <w:color w:val="000000" w:themeColor="text1"/>
                <w:sz w:val="24"/>
                <w:szCs w:val="24"/>
              </w:rPr>
              <w:t>Please note that the Academic Office checks the word count as part of the submission process</w:t>
            </w:r>
            <w:r w:rsidR="4E56C503" w:rsidRPr="12B5ADD9">
              <w:rPr>
                <w:rFonts w:eastAsia="Arial" w:cs="Arial"/>
                <w:color w:val="000000" w:themeColor="text1"/>
                <w:sz w:val="24"/>
                <w:szCs w:val="24"/>
              </w:rPr>
              <w:t>)</w:t>
            </w:r>
          </w:p>
          <w:p w14:paraId="2D928819" w14:textId="39BAD335" w:rsidR="01B821C6" w:rsidRDefault="426771F5" w:rsidP="4F7FBBAB">
            <w:pPr>
              <w:widowControl w:val="0"/>
              <w:spacing w:before="60"/>
              <w:ind w:left="114"/>
              <w:jc w:val="both"/>
              <w:rPr>
                <w:rFonts w:eastAsia="Arial" w:cs="Arial"/>
                <w:color w:val="000000" w:themeColor="text1"/>
                <w:sz w:val="24"/>
                <w:szCs w:val="24"/>
              </w:rPr>
            </w:pPr>
            <w:r w:rsidRPr="12B5ADD9">
              <w:rPr>
                <w:rFonts w:eastAsia="Arial" w:cs="Arial"/>
                <w:color w:val="000000" w:themeColor="text1"/>
                <w:sz w:val="24"/>
                <w:szCs w:val="24"/>
              </w:rPr>
              <w:t xml:space="preserve">In addition, </w:t>
            </w:r>
            <w:r w:rsidRPr="12B5ADD9">
              <w:rPr>
                <w:rFonts w:eastAsia="Arial" w:cs="Arial"/>
                <w:b/>
                <w:bCs/>
                <w:color w:val="000000" w:themeColor="text1"/>
                <w:sz w:val="24"/>
                <w:szCs w:val="24"/>
              </w:rPr>
              <w:t>Supporting Statements from two referees</w:t>
            </w:r>
            <w:r w:rsidR="652F1C34" w:rsidRPr="12B5ADD9">
              <w:rPr>
                <w:rFonts w:eastAsia="Arial" w:cs="Arial"/>
                <w:b/>
                <w:bCs/>
                <w:color w:val="000000" w:themeColor="text1"/>
                <w:sz w:val="24"/>
                <w:szCs w:val="24"/>
              </w:rPr>
              <w:t xml:space="preserve"> </w:t>
            </w:r>
            <w:r w:rsidR="652F1C34" w:rsidRPr="12B5ADD9">
              <w:rPr>
                <w:rFonts w:eastAsia="Arial" w:cs="Arial"/>
                <w:color w:val="000000" w:themeColor="text1"/>
                <w:sz w:val="24"/>
                <w:szCs w:val="24"/>
              </w:rPr>
              <w:t>(see Applicant Guidance 7)</w:t>
            </w:r>
            <w:r w:rsidRPr="12B5ADD9">
              <w:rPr>
                <w:rFonts w:eastAsia="Arial" w:cs="Arial"/>
                <w:color w:val="000000" w:themeColor="text1"/>
                <w:sz w:val="24"/>
                <w:szCs w:val="24"/>
              </w:rPr>
              <w:t xml:space="preserve"> will need to be submitted with your application.</w:t>
            </w:r>
            <w:r w:rsidR="0E9DE293" w:rsidRPr="12B5ADD9">
              <w:rPr>
                <w:rFonts w:eastAsia="Arial" w:cs="Arial"/>
                <w:b/>
                <w:bCs/>
                <w:color w:val="000000" w:themeColor="text1"/>
                <w:sz w:val="24"/>
                <w:szCs w:val="24"/>
                <w:lang w:val="en-US"/>
              </w:rPr>
              <w:t xml:space="preserve"> The Supporting Statements </w:t>
            </w:r>
            <w:r w:rsidR="0E9DE293" w:rsidRPr="12B5ADD9">
              <w:rPr>
                <w:rFonts w:eastAsia="Arial" w:cs="Arial"/>
                <w:color w:val="000000" w:themeColor="text1"/>
                <w:sz w:val="24"/>
                <w:szCs w:val="24"/>
                <w:lang w:val="en-US"/>
              </w:rPr>
              <w:t>will verify and endorse that what you write about in your Account of Professional Practice represents your practice in a genuine way.</w:t>
            </w:r>
          </w:p>
          <w:p w14:paraId="46F57DE7" w14:textId="644FB60B" w:rsidR="4F7FBBAB" w:rsidRDefault="4F7FBBAB" w:rsidP="4F7FBBAB">
            <w:pPr>
              <w:widowControl w:val="0"/>
              <w:spacing w:before="60"/>
              <w:ind w:left="114"/>
              <w:jc w:val="both"/>
              <w:rPr>
                <w:rFonts w:eastAsia="Arial" w:cs="Arial"/>
                <w:color w:val="000000" w:themeColor="text1"/>
                <w:sz w:val="24"/>
                <w:szCs w:val="24"/>
              </w:rPr>
            </w:pPr>
          </w:p>
          <w:p w14:paraId="0BD756D1" w14:textId="752E09CD" w:rsidR="7C55BF97" w:rsidRDefault="4E56C503" w:rsidP="12B5ADD9">
            <w:pPr>
              <w:ind w:right="384"/>
              <w:jc w:val="both"/>
              <w:rPr>
                <w:rFonts w:eastAsia="Arial" w:cs="Arial"/>
                <w:color w:val="000000" w:themeColor="text1"/>
                <w:sz w:val="24"/>
                <w:szCs w:val="24"/>
              </w:rPr>
            </w:pPr>
            <w:r w:rsidRPr="12B5ADD9">
              <w:rPr>
                <w:rFonts w:eastAsia="Arial" w:cs="Arial"/>
                <w:color w:val="000000" w:themeColor="text1"/>
                <w:sz w:val="24"/>
                <w:szCs w:val="24"/>
              </w:rPr>
              <w:t xml:space="preserve">You will need to </w:t>
            </w:r>
            <w:r w:rsidRPr="12B5ADD9">
              <w:rPr>
                <w:rFonts w:eastAsia="Arial" w:cs="Arial"/>
                <w:b/>
                <w:bCs/>
                <w:color w:val="000000" w:themeColor="text1"/>
                <w:sz w:val="24"/>
                <w:szCs w:val="24"/>
              </w:rPr>
              <w:t>continue to refer to the applicant guidance and Descriptor 3 of the PSF 2023</w:t>
            </w:r>
            <w:r w:rsidRPr="12B5ADD9">
              <w:rPr>
                <w:rFonts w:eastAsia="Arial" w:cs="Arial"/>
                <w:color w:val="000000" w:themeColor="text1"/>
                <w:sz w:val="24"/>
                <w:szCs w:val="24"/>
              </w:rPr>
              <w:t xml:space="preserve"> as you draft your application to ensure that you are writing to meet the requirements.</w:t>
            </w:r>
          </w:p>
          <w:p w14:paraId="09945D8F" w14:textId="1558D1A4" w:rsidR="2E438D29" w:rsidRDefault="1028719D" w:rsidP="4F7FBBAB">
            <w:pPr>
              <w:widowControl w:val="0"/>
              <w:spacing w:before="161"/>
              <w:ind w:left="134" w:right="256"/>
              <w:jc w:val="both"/>
              <w:rPr>
                <w:rFonts w:eastAsia="Arial" w:cs="Arial"/>
                <w:color w:val="000000" w:themeColor="text1"/>
                <w:sz w:val="24"/>
                <w:szCs w:val="24"/>
              </w:rPr>
            </w:pPr>
            <w:r w:rsidRPr="12B5ADD9">
              <w:rPr>
                <w:rFonts w:eastAsia="Arial" w:cs="Arial"/>
                <w:color w:val="000000" w:themeColor="text1"/>
                <w:sz w:val="24"/>
                <w:szCs w:val="24"/>
                <w:lang w:val="en-US"/>
              </w:rPr>
              <w:t xml:space="preserve">The award of Senior Fellowship is based on </w:t>
            </w:r>
            <w:r w:rsidRPr="12B5ADD9">
              <w:rPr>
                <w:rFonts w:eastAsia="Arial" w:cs="Arial"/>
                <w:b/>
                <w:bCs/>
                <w:color w:val="000000" w:themeColor="text1"/>
                <w:sz w:val="24"/>
                <w:szCs w:val="24"/>
                <w:lang w:val="en-US"/>
              </w:rPr>
              <w:t>evidence of your effective and inclusive practice</w:t>
            </w:r>
            <w:r w:rsidRPr="12B5ADD9">
              <w:rPr>
                <w:rFonts w:eastAsia="Arial" w:cs="Arial"/>
                <w:color w:val="000000" w:themeColor="text1"/>
                <w:sz w:val="24"/>
                <w:szCs w:val="24"/>
                <w:lang w:val="en-US"/>
              </w:rPr>
              <w:t>; you might briefly mention future plans as part of identifying what has worked well and any changes you plan to make in future, however, your application will be judged on whether your evidence of recent practice (typically over the last 3-5 years) meets the requirements of Descriptor 3.</w:t>
            </w:r>
          </w:p>
          <w:p w14:paraId="09CD7C54" w14:textId="145C1737" w:rsidR="2E438D29" w:rsidRDefault="1028719D" w:rsidP="4F7FBBAB">
            <w:pPr>
              <w:widowControl w:val="0"/>
              <w:spacing w:before="159"/>
              <w:ind w:left="134" w:right="331"/>
              <w:jc w:val="both"/>
              <w:rPr>
                <w:rFonts w:eastAsia="Arial" w:cs="Arial"/>
                <w:color w:val="000000" w:themeColor="text1"/>
                <w:sz w:val="24"/>
                <w:szCs w:val="24"/>
              </w:rPr>
            </w:pPr>
            <w:r w:rsidRPr="12B5ADD9">
              <w:rPr>
                <w:rFonts w:eastAsia="Arial" w:cs="Arial"/>
                <w:color w:val="000000" w:themeColor="text1"/>
                <w:sz w:val="24"/>
                <w:szCs w:val="24"/>
                <w:lang w:val="en-US"/>
              </w:rPr>
              <w:t xml:space="preserve">Your evidence against Descriptor 3 will be written into your </w:t>
            </w:r>
            <w:r w:rsidRPr="12B5ADD9">
              <w:rPr>
                <w:rFonts w:eastAsia="Arial" w:cs="Arial"/>
                <w:b/>
                <w:bCs/>
                <w:color w:val="000000" w:themeColor="text1"/>
                <w:sz w:val="24"/>
                <w:szCs w:val="24"/>
                <w:lang w:val="en-US"/>
              </w:rPr>
              <w:t>Reflective Narrative and two Case Studies.</w:t>
            </w:r>
          </w:p>
          <w:p w14:paraId="137C7C77" w14:textId="4916ACD3" w:rsidR="2E438D29" w:rsidRDefault="1028719D" w:rsidP="4F7FBBAB">
            <w:pPr>
              <w:widowControl w:val="0"/>
              <w:spacing w:before="160" w:line="252" w:lineRule="auto"/>
              <w:ind w:left="134"/>
              <w:jc w:val="both"/>
              <w:rPr>
                <w:rFonts w:eastAsia="Arial" w:cs="Arial"/>
                <w:color w:val="000000" w:themeColor="text1"/>
                <w:sz w:val="24"/>
                <w:szCs w:val="24"/>
              </w:rPr>
            </w:pPr>
            <w:r w:rsidRPr="12B5ADD9">
              <w:rPr>
                <w:rFonts w:eastAsia="Arial" w:cs="Arial"/>
                <w:color w:val="000000" w:themeColor="text1"/>
                <w:sz w:val="24"/>
                <w:szCs w:val="24"/>
                <w:lang w:val="en-US"/>
              </w:rPr>
              <w:t xml:space="preserve">For Descriptor 3, the examples you select to write about need to demonstrate how your practice supports high quality learning </w:t>
            </w:r>
            <w:r w:rsidRPr="12B5ADD9">
              <w:rPr>
                <w:rFonts w:eastAsia="Arial" w:cs="Arial"/>
                <w:b/>
                <w:bCs/>
                <w:color w:val="000000" w:themeColor="text1"/>
                <w:sz w:val="24"/>
                <w:szCs w:val="24"/>
                <w:lang w:val="en-US"/>
              </w:rPr>
              <w:t xml:space="preserve">through leading/ influencing </w:t>
            </w:r>
            <w:r w:rsidRPr="12B5ADD9">
              <w:rPr>
                <w:rFonts w:eastAsia="Arial" w:cs="Arial"/>
                <w:color w:val="000000" w:themeColor="text1"/>
                <w:sz w:val="24"/>
                <w:szCs w:val="24"/>
                <w:lang w:val="en-US"/>
              </w:rPr>
              <w:t xml:space="preserve">the teaching and/or learning </w:t>
            </w:r>
            <w:r w:rsidRPr="12B5ADD9">
              <w:rPr>
                <w:rFonts w:eastAsia="Arial" w:cs="Arial"/>
                <w:color w:val="000000" w:themeColor="text1"/>
                <w:sz w:val="24"/>
                <w:szCs w:val="24"/>
                <w:lang w:val="en-US"/>
              </w:rPr>
              <w:lastRenderedPageBreak/>
              <w:t>support practices of others (colleagues, peers, mentees, internal/external, etc.</w:t>
            </w:r>
          </w:p>
          <w:p w14:paraId="3FF762F1" w14:textId="524737C6" w:rsidR="4F7FBBAB" w:rsidRDefault="4F7FBBAB" w:rsidP="12B5ADD9">
            <w:pPr>
              <w:ind w:right="384"/>
              <w:jc w:val="both"/>
              <w:rPr>
                <w:rFonts w:eastAsia="Arial" w:cs="Arial"/>
                <w:color w:val="000000" w:themeColor="text1"/>
                <w:sz w:val="24"/>
                <w:szCs w:val="24"/>
              </w:rPr>
            </w:pPr>
          </w:p>
          <w:p w14:paraId="1072BA92" w14:textId="3B2A6408" w:rsidR="4F7FBBAB" w:rsidRDefault="4F7FBBAB" w:rsidP="12B5ADD9">
            <w:pPr>
              <w:ind w:right="384"/>
              <w:jc w:val="both"/>
              <w:rPr>
                <w:rFonts w:eastAsia="Arial" w:cs="Arial"/>
                <w:color w:val="000000" w:themeColor="text1"/>
                <w:sz w:val="24"/>
                <w:szCs w:val="24"/>
              </w:rPr>
            </w:pPr>
          </w:p>
          <w:p w14:paraId="0570CEBB" w14:textId="53BD2E88" w:rsidR="7C55BF97" w:rsidRDefault="4E56C503" w:rsidP="4F7FBBAB">
            <w:pPr>
              <w:tabs>
                <w:tab w:val="left" w:pos="9356"/>
              </w:tabs>
              <w:ind w:right="384"/>
              <w:jc w:val="both"/>
              <w:rPr>
                <w:rFonts w:eastAsia="Arial" w:cs="Arial"/>
                <w:color w:val="000000" w:themeColor="text1"/>
                <w:sz w:val="24"/>
                <w:szCs w:val="24"/>
              </w:rPr>
            </w:pPr>
            <w:r w:rsidRPr="12B5ADD9">
              <w:rPr>
                <w:rFonts w:eastAsia="Arial" w:cs="Arial"/>
                <w:color w:val="000000" w:themeColor="text1"/>
                <w:sz w:val="24"/>
                <w:szCs w:val="24"/>
              </w:rPr>
              <w:t xml:space="preserve">When you have finalised your application you will need to send the completed </w:t>
            </w:r>
            <w:r w:rsidR="0E1114D7" w:rsidRPr="12B5ADD9">
              <w:rPr>
                <w:rFonts w:eastAsia="Arial" w:cs="Arial"/>
                <w:color w:val="000000" w:themeColor="text1"/>
                <w:sz w:val="24"/>
                <w:szCs w:val="24"/>
              </w:rPr>
              <w:t>form</w:t>
            </w:r>
            <w:r w:rsidRPr="12B5ADD9">
              <w:rPr>
                <w:rFonts w:eastAsia="Arial" w:cs="Arial"/>
                <w:color w:val="000000" w:themeColor="text1"/>
                <w:sz w:val="24"/>
                <w:szCs w:val="24"/>
              </w:rPr>
              <w:t xml:space="preserve"> to your referees so that they can write their Supporting Statements. Please direct your referees to the </w:t>
            </w:r>
            <w:hyperlink r:id="rId14">
              <w:r w:rsidRPr="12B5ADD9">
                <w:rPr>
                  <w:rStyle w:val="Hyperlink"/>
                  <w:b/>
                  <w:bCs/>
                  <w:color w:val="0087B5"/>
                  <w:u w:val="none"/>
                </w:rPr>
                <w:t>Senior Fellowship Guidance for Referees writing a Supporting Statement.</w:t>
              </w:r>
            </w:hyperlink>
            <w:r w:rsidRPr="12B5ADD9">
              <w:rPr>
                <w:rFonts w:eastAsia="Arial" w:cs="Arial"/>
                <w:color w:val="000000" w:themeColor="text1"/>
                <w:sz w:val="24"/>
                <w:szCs w:val="24"/>
              </w:rPr>
              <w:t xml:space="preserve"> The referees need to return their Supporting Statements for you to upload </w:t>
            </w:r>
            <w:r w:rsidR="3EBE4066" w:rsidRPr="12B5ADD9">
              <w:rPr>
                <w:rFonts w:eastAsia="Arial" w:cs="Arial"/>
                <w:color w:val="000000" w:themeColor="text1"/>
                <w:sz w:val="24"/>
                <w:szCs w:val="24"/>
              </w:rPr>
              <w:t xml:space="preserve">with your application. </w:t>
            </w:r>
          </w:p>
          <w:p w14:paraId="66244DDC" w14:textId="7983FAD3" w:rsidR="4F7FBBAB" w:rsidRDefault="4F7FBBAB" w:rsidP="12B5ADD9">
            <w:pPr>
              <w:ind w:right="384"/>
              <w:jc w:val="both"/>
              <w:rPr>
                <w:rFonts w:eastAsia="Arial" w:cs="Arial"/>
                <w:color w:val="000000" w:themeColor="text1"/>
                <w:sz w:val="24"/>
                <w:szCs w:val="24"/>
              </w:rPr>
            </w:pPr>
          </w:p>
          <w:p w14:paraId="2F4EBDB9" w14:textId="5886BDEC" w:rsidR="015E6B71" w:rsidRDefault="299623B4" w:rsidP="12B5ADD9">
            <w:pPr>
              <w:pStyle w:val="BodyText"/>
              <w:jc w:val="both"/>
              <w:rPr>
                <w:b/>
                <w:bCs/>
                <w:color w:val="000000" w:themeColor="text1"/>
              </w:rPr>
            </w:pPr>
            <w:r w:rsidRPr="12B5ADD9">
              <w:rPr>
                <w:color w:val="000000" w:themeColor="text1"/>
              </w:rPr>
              <w:t xml:space="preserve">Your application is submitted first to the Academic Office </w:t>
            </w:r>
            <w:r w:rsidRPr="12B5ADD9">
              <w:rPr>
                <w:b/>
                <w:bCs/>
                <w:color w:val="000000" w:themeColor="text1"/>
              </w:rPr>
              <w:t xml:space="preserve">via the appropriate submission link on Moodle (Advance HE Fellowship module). </w:t>
            </w:r>
          </w:p>
          <w:p w14:paraId="49B7BD45" w14:textId="0A4AC873" w:rsidR="4F7FBBAB" w:rsidRDefault="4F7FBBAB" w:rsidP="4F7FBBAB">
            <w:pPr>
              <w:widowControl w:val="0"/>
              <w:jc w:val="both"/>
              <w:rPr>
                <w:rFonts w:eastAsia="Arial" w:cs="Arial"/>
                <w:b/>
                <w:bCs/>
                <w:color w:val="000000" w:themeColor="text1"/>
                <w:sz w:val="24"/>
                <w:szCs w:val="24"/>
              </w:rPr>
            </w:pPr>
          </w:p>
        </w:tc>
      </w:tr>
    </w:tbl>
    <w:p w14:paraId="2B7582DB" w14:textId="40A8CD4D" w:rsidR="00CA12DC" w:rsidRPr="00C22A3A" w:rsidRDefault="00CA12DC" w:rsidP="00F109C7">
      <w:pPr>
        <w:jc w:val="center"/>
        <w:rPr>
          <w:rFonts w:cs="Arial"/>
          <w:sz w:val="24"/>
          <w:szCs w:val="24"/>
        </w:rPr>
      </w:pPr>
    </w:p>
    <w:p w14:paraId="65BA348B" w14:textId="50EB6E93" w:rsidR="00CA12DC" w:rsidRPr="00C22A3A" w:rsidRDefault="00CA12DC" w:rsidP="4F7FBBAB">
      <w:pPr>
        <w:rPr>
          <w:rFonts w:cs="Arial"/>
          <w:b/>
          <w:bCs/>
          <w:sz w:val="32"/>
          <w:szCs w:val="32"/>
          <w:u w:val="single"/>
        </w:rPr>
      </w:pPr>
    </w:p>
    <w:p w14:paraId="22C359D2" w14:textId="79725130" w:rsidR="00CA12DC" w:rsidRPr="00C22A3A" w:rsidRDefault="00CA12DC" w:rsidP="4F7FBBAB">
      <w:pPr>
        <w:rPr>
          <w:rFonts w:cs="Arial"/>
          <w:b/>
          <w:bCs/>
          <w:sz w:val="32"/>
          <w:szCs w:val="32"/>
          <w:u w:val="single"/>
        </w:rPr>
      </w:pPr>
      <w:r w:rsidRPr="4F7FBBAB">
        <w:rPr>
          <w:rFonts w:cs="Arial"/>
          <w:b/>
          <w:bCs/>
          <w:sz w:val="32"/>
          <w:szCs w:val="32"/>
          <w:u w:val="single"/>
        </w:rPr>
        <w:t>SECTION ONE:</w:t>
      </w:r>
    </w:p>
    <w:p w14:paraId="3B598A22"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2E443395" w14:textId="77777777" w:rsidTr="4F7FBBAB">
        <w:tc>
          <w:tcPr>
            <w:tcW w:w="5353" w:type="dxa"/>
          </w:tcPr>
          <w:p w14:paraId="751500B5" w14:textId="072FC822" w:rsidR="00CA12DC" w:rsidRPr="00C22A3A" w:rsidRDefault="00CA12DC">
            <w:pPr>
              <w:rPr>
                <w:rFonts w:cs="Arial"/>
                <w:b/>
                <w:sz w:val="24"/>
                <w:szCs w:val="24"/>
              </w:rPr>
            </w:pPr>
            <w:r w:rsidRPr="00C22A3A">
              <w:rPr>
                <w:rFonts w:cs="Arial"/>
                <w:b/>
                <w:sz w:val="24"/>
                <w:szCs w:val="24"/>
              </w:rPr>
              <w:t>NAME</w:t>
            </w:r>
            <w:r w:rsidR="006841FC">
              <w:rPr>
                <w:rFonts w:cs="Arial"/>
                <w:b/>
                <w:sz w:val="24"/>
                <w:szCs w:val="24"/>
              </w:rPr>
              <w:t xml:space="preserve"> (</w:t>
            </w:r>
            <w:r w:rsidR="006841FC">
              <w:rPr>
                <w:color w:val="000000"/>
                <w:sz w:val="27"/>
                <w:szCs w:val="27"/>
              </w:rPr>
              <w:t>as you would like it to appear on your certificate)</w:t>
            </w:r>
          </w:p>
        </w:tc>
        <w:tc>
          <w:tcPr>
            <w:tcW w:w="5387" w:type="dxa"/>
          </w:tcPr>
          <w:p w14:paraId="41C90F19" w14:textId="77777777" w:rsidR="00CA12DC" w:rsidRPr="00C22A3A" w:rsidRDefault="00CA12DC">
            <w:pPr>
              <w:rPr>
                <w:rFonts w:cs="Arial"/>
                <w:sz w:val="24"/>
                <w:szCs w:val="24"/>
              </w:rPr>
            </w:pPr>
          </w:p>
          <w:p w14:paraId="595508EC" w14:textId="283E675B" w:rsidR="00CA12DC" w:rsidRPr="00C22A3A" w:rsidRDefault="00736F07">
            <w:pPr>
              <w:rPr>
                <w:rFonts w:cs="Arial"/>
                <w:sz w:val="24"/>
                <w:szCs w:val="24"/>
              </w:rPr>
            </w:pPr>
            <w:r w:rsidRPr="00736F07">
              <w:rPr>
                <w:rFonts w:cs="Arial"/>
                <w:sz w:val="24"/>
                <w:szCs w:val="24"/>
              </w:rPr>
              <w:t>Suresh Shanmugasundaram</w:t>
            </w:r>
          </w:p>
        </w:tc>
      </w:tr>
      <w:tr w:rsidR="00CA12DC" w:rsidRPr="00C22A3A" w14:paraId="052EEC1E" w14:textId="77777777" w:rsidTr="4F7FBBAB">
        <w:tc>
          <w:tcPr>
            <w:tcW w:w="5353" w:type="dxa"/>
          </w:tcPr>
          <w:p w14:paraId="65BE4F19" w14:textId="005C0B82" w:rsidR="00CA12DC" w:rsidRPr="00C22A3A" w:rsidRDefault="006760F2" w:rsidP="006760F2">
            <w:pPr>
              <w:rPr>
                <w:rFonts w:cs="Arial"/>
                <w:b/>
                <w:sz w:val="24"/>
                <w:szCs w:val="24"/>
              </w:rPr>
            </w:pPr>
            <w:r>
              <w:rPr>
                <w:rFonts w:cs="Arial"/>
                <w:b/>
                <w:sz w:val="24"/>
                <w:szCs w:val="24"/>
              </w:rPr>
              <w:t>INSTITUTE</w:t>
            </w:r>
            <w:r w:rsidR="00CA12DC" w:rsidRPr="00C22A3A">
              <w:rPr>
                <w:rFonts w:cs="Arial"/>
                <w:b/>
                <w:sz w:val="24"/>
                <w:szCs w:val="24"/>
              </w:rPr>
              <w:t>/</w:t>
            </w:r>
            <w:r w:rsidRPr="00C22A3A">
              <w:rPr>
                <w:rFonts w:cs="Arial"/>
                <w:b/>
                <w:sz w:val="24"/>
                <w:szCs w:val="24"/>
              </w:rPr>
              <w:t xml:space="preserve"> </w:t>
            </w:r>
            <w:r w:rsidR="00CA12DC" w:rsidRPr="00C22A3A">
              <w:rPr>
                <w:rFonts w:cs="Arial"/>
                <w:b/>
                <w:sz w:val="24"/>
                <w:szCs w:val="24"/>
              </w:rPr>
              <w:t>DEPARTMENT</w:t>
            </w:r>
            <w:r>
              <w:rPr>
                <w:rFonts w:cs="Arial"/>
                <w:b/>
                <w:sz w:val="24"/>
                <w:szCs w:val="24"/>
              </w:rPr>
              <w:t>/PROFESSIONAL UNIT</w:t>
            </w:r>
          </w:p>
        </w:tc>
        <w:tc>
          <w:tcPr>
            <w:tcW w:w="5387" w:type="dxa"/>
          </w:tcPr>
          <w:p w14:paraId="50ED579C" w14:textId="77777777" w:rsidR="00CA12DC" w:rsidRPr="00C22A3A" w:rsidRDefault="00CA12DC">
            <w:pPr>
              <w:rPr>
                <w:rFonts w:cs="Arial"/>
                <w:sz w:val="24"/>
                <w:szCs w:val="24"/>
              </w:rPr>
            </w:pPr>
          </w:p>
          <w:p w14:paraId="244AEE7A" w14:textId="77777777" w:rsidR="001117DB" w:rsidRPr="000C090B" w:rsidRDefault="001117DB" w:rsidP="001117DB">
            <w:pPr>
              <w:rPr>
                <w:rFonts w:cs="Arial"/>
                <w:bCs/>
                <w:sz w:val="24"/>
                <w:szCs w:val="24"/>
              </w:rPr>
            </w:pPr>
            <w:r w:rsidRPr="000C090B">
              <w:rPr>
                <w:rFonts w:cs="Arial"/>
                <w:bCs/>
                <w:sz w:val="24"/>
                <w:szCs w:val="24"/>
              </w:rPr>
              <w:t>UWTSD,</w:t>
            </w:r>
            <w:r w:rsidRPr="000C090B">
              <w:rPr>
                <w:bCs/>
              </w:rPr>
              <w:t xml:space="preserve"> </w:t>
            </w:r>
            <w:r w:rsidRPr="000C090B">
              <w:rPr>
                <w:rFonts w:cs="Arial"/>
                <w:bCs/>
                <w:sz w:val="24"/>
                <w:szCs w:val="24"/>
              </w:rPr>
              <w:t>Institute of Inner City Learning, London</w:t>
            </w:r>
          </w:p>
          <w:p w14:paraId="3C46DA3B" w14:textId="77777777" w:rsidR="00CA12DC" w:rsidRPr="00C22A3A" w:rsidRDefault="00CA12DC">
            <w:pPr>
              <w:rPr>
                <w:rFonts w:cs="Arial"/>
                <w:sz w:val="24"/>
                <w:szCs w:val="24"/>
              </w:rPr>
            </w:pPr>
          </w:p>
        </w:tc>
      </w:tr>
      <w:tr w:rsidR="00CA12DC" w:rsidRPr="00C22A3A" w14:paraId="25A905A9" w14:textId="77777777" w:rsidTr="4F7FBBAB">
        <w:tc>
          <w:tcPr>
            <w:tcW w:w="5353" w:type="dxa"/>
          </w:tcPr>
          <w:p w14:paraId="7424F6D7" w14:textId="28D84888" w:rsidR="00CA12DC" w:rsidRPr="00C22A3A" w:rsidRDefault="00CA12DC">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w:t>
            </w:r>
            <w:r w:rsidR="006760F2">
              <w:rPr>
                <w:rFonts w:cs="Arial"/>
                <w:sz w:val="24"/>
                <w:szCs w:val="24"/>
              </w:rPr>
              <w:t>Director of Discipline</w:t>
            </w:r>
            <w:r w:rsidRPr="00C22A3A">
              <w:rPr>
                <w:rFonts w:cs="Arial"/>
                <w:sz w:val="24"/>
                <w:szCs w:val="24"/>
              </w:rPr>
              <w:t>/Other</w:t>
            </w:r>
            <w:r w:rsidR="000E3A5B" w:rsidRPr="00C22A3A">
              <w:rPr>
                <w:rFonts w:cs="Arial"/>
                <w:sz w:val="24"/>
                <w:szCs w:val="24"/>
              </w:rPr>
              <w:t xml:space="preserve"> </w:t>
            </w:r>
            <w:r w:rsidR="000E3A5B" w:rsidRPr="00C22A3A">
              <w:rPr>
                <w:rFonts w:cs="Arial"/>
                <w:sz w:val="20"/>
                <w:szCs w:val="20"/>
              </w:rPr>
              <w:t>(please specify)</w:t>
            </w:r>
          </w:p>
          <w:p w14:paraId="491E7BEF" w14:textId="77777777" w:rsidR="00CA12DC" w:rsidRPr="00C22A3A" w:rsidRDefault="00CA12DC">
            <w:pPr>
              <w:rPr>
                <w:rFonts w:cs="Arial"/>
                <w:b/>
                <w:sz w:val="24"/>
                <w:szCs w:val="24"/>
              </w:rPr>
            </w:pPr>
          </w:p>
        </w:tc>
        <w:tc>
          <w:tcPr>
            <w:tcW w:w="5387" w:type="dxa"/>
          </w:tcPr>
          <w:p w14:paraId="318553F8" w14:textId="77777777" w:rsidR="00CA12DC" w:rsidRPr="00C22A3A" w:rsidRDefault="00CA12DC">
            <w:pPr>
              <w:rPr>
                <w:rFonts w:cs="Arial"/>
                <w:sz w:val="24"/>
                <w:szCs w:val="24"/>
              </w:rPr>
            </w:pPr>
          </w:p>
          <w:p w14:paraId="6F38BF42" w14:textId="77777777" w:rsidR="00891C15" w:rsidRPr="000C090B" w:rsidRDefault="00891C15" w:rsidP="00891C15">
            <w:pPr>
              <w:rPr>
                <w:rFonts w:cs="Arial"/>
                <w:bCs/>
                <w:sz w:val="24"/>
                <w:szCs w:val="24"/>
              </w:rPr>
            </w:pPr>
            <w:r w:rsidRPr="000C090B">
              <w:rPr>
                <w:rFonts w:cs="Arial"/>
                <w:bCs/>
                <w:sz w:val="24"/>
                <w:szCs w:val="24"/>
              </w:rPr>
              <w:t>Lecturer- Computing</w:t>
            </w:r>
          </w:p>
          <w:p w14:paraId="62F32A42" w14:textId="77777777" w:rsidR="00CA12DC" w:rsidRPr="00C22A3A" w:rsidRDefault="00CA12DC">
            <w:pPr>
              <w:rPr>
                <w:rFonts w:cs="Arial"/>
                <w:sz w:val="24"/>
                <w:szCs w:val="24"/>
              </w:rPr>
            </w:pPr>
          </w:p>
        </w:tc>
      </w:tr>
      <w:tr w:rsidR="00CA12DC" w:rsidRPr="00C22A3A" w14:paraId="56E4A832" w14:textId="77777777" w:rsidTr="4F7FBBAB">
        <w:tc>
          <w:tcPr>
            <w:tcW w:w="5353" w:type="dxa"/>
          </w:tcPr>
          <w:p w14:paraId="604AFC82" w14:textId="70F46ABA" w:rsidR="00CA12DC" w:rsidRPr="00C22A3A" w:rsidRDefault="00CA12DC">
            <w:pPr>
              <w:rPr>
                <w:rFonts w:cs="Arial"/>
                <w:sz w:val="24"/>
                <w:szCs w:val="24"/>
              </w:rPr>
            </w:pPr>
            <w:r w:rsidRPr="00C22A3A">
              <w:rPr>
                <w:rFonts w:cs="Arial"/>
                <w:b/>
                <w:sz w:val="24"/>
                <w:szCs w:val="24"/>
              </w:rPr>
              <w:t xml:space="preserve">ROLE </w:t>
            </w:r>
            <w:r w:rsidRPr="00C22A3A">
              <w:rPr>
                <w:rFonts w:cs="Arial"/>
                <w:sz w:val="24"/>
                <w:szCs w:val="24"/>
              </w:rPr>
              <w:t xml:space="preserve">(E.g. Lecturer/Programme </w:t>
            </w:r>
            <w:r w:rsidR="00E00A55">
              <w:rPr>
                <w:rFonts w:cs="Arial"/>
                <w:sz w:val="24"/>
                <w:szCs w:val="24"/>
              </w:rPr>
              <w:t>Manager</w:t>
            </w:r>
            <w:r w:rsidRPr="00C22A3A">
              <w:rPr>
                <w:rFonts w:cs="Arial"/>
                <w:sz w:val="24"/>
                <w:szCs w:val="24"/>
              </w:rPr>
              <w:t>/Admissions Tutor/Module Leader/Other</w:t>
            </w:r>
            <w:r w:rsidR="000E3A5B" w:rsidRPr="00C22A3A">
              <w:rPr>
                <w:rFonts w:cs="Arial"/>
                <w:sz w:val="24"/>
                <w:szCs w:val="24"/>
              </w:rPr>
              <w:t xml:space="preserve"> </w:t>
            </w:r>
            <w:r w:rsidR="000E3A5B" w:rsidRPr="00C22A3A">
              <w:rPr>
                <w:rFonts w:cs="Arial"/>
                <w:sz w:val="20"/>
                <w:szCs w:val="20"/>
              </w:rPr>
              <w:t>(please specify)</w:t>
            </w:r>
          </w:p>
          <w:p w14:paraId="37C5F872" w14:textId="77777777" w:rsidR="00CA12DC" w:rsidRPr="00C22A3A" w:rsidRDefault="00CA12DC">
            <w:pPr>
              <w:rPr>
                <w:rFonts w:cs="Arial"/>
                <w:b/>
                <w:sz w:val="24"/>
                <w:szCs w:val="24"/>
              </w:rPr>
            </w:pPr>
          </w:p>
        </w:tc>
        <w:tc>
          <w:tcPr>
            <w:tcW w:w="5387" w:type="dxa"/>
          </w:tcPr>
          <w:p w14:paraId="40D8F280" w14:textId="22895DF3" w:rsidR="00CA12DC" w:rsidRPr="00C22A3A" w:rsidRDefault="00891C15">
            <w:pPr>
              <w:rPr>
                <w:rFonts w:cs="Arial"/>
                <w:sz w:val="24"/>
                <w:szCs w:val="24"/>
              </w:rPr>
            </w:pPr>
            <w:r>
              <w:rPr>
                <w:rFonts w:cs="Arial"/>
                <w:sz w:val="24"/>
                <w:szCs w:val="24"/>
              </w:rPr>
              <w:t>Programme Manager – Cert HE Computing Skills for the Workplace</w:t>
            </w:r>
          </w:p>
          <w:p w14:paraId="5DDBDE1B" w14:textId="77777777" w:rsidR="00CA12DC" w:rsidRPr="00C22A3A" w:rsidRDefault="00CA12DC">
            <w:pPr>
              <w:rPr>
                <w:rFonts w:cs="Arial"/>
                <w:sz w:val="24"/>
                <w:szCs w:val="24"/>
              </w:rPr>
            </w:pPr>
          </w:p>
        </w:tc>
      </w:tr>
      <w:tr w:rsidR="00A46FE4" w:rsidRPr="00FE7642" w14:paraId="54185FDB" w14:textId="77777777" w:rsidTr="4F7FBBAB">
        <w:tc>
          <w:tcPr>
            <w:tcW w:w="5353" w:type="dxa"/>
          </w:tcPr>
          <w:p w14:paraId="1C017C31" w14:textId="77777777" w:rsidR="00A46FE4" w:rsidRDefault="00A46FE4" w:rsidP="00A46FE4">
            <w:pPr>
              <w:rPr>
                <w:rFonts w:cs="Arial"/>
                <w:b/>
                <w:sz w:val="24"/>
                <w:szCs w:val="24"/>
              </w:rPr>
            </w:pPr>
            <w:r>
              <w:rPr>
                <w:rFonts w:cs="Arial"/>
                <w:b/>
                <w:sz w:val="24"/>
                <w:szCs w:val="24"/>
              </w:rPr>
              <w:t>Referees</w:t>
            </w:r>
          </w:p>
          <w:p w14:paraId="4802B0D3" w14:textId="279AE2E1" w:rsidR="00ED2AAE" w:rsidRDefault="00ED2AAE" w:rsidP="00ED2AAE">
            <w:pPr>
              <w:rPr>
                <w:rFonts w:cs="Arial"/>
                <w:sz w:val="24"/>
                <w:szCs w:val="24"/>
              </w:rPr>
            </w:pPr>
            <w:r w:rsidRPr="68D56145">
              <w:rPr>
                <w:rFonts w:cs="Arial"/>
                <w:sz w:val="24"/>
                <w:szCs w:val="24"/>
              </w:rPr>
              <w:t>Please could you tick the box if you have sent in your referee</w:t>
            </w:r>
            <w:r w:rsidR="03D88530" w:rsidRPr="68D56145">
              <w:rPr>
                <w:rFonts w:cs="Arial"/>
                <w:sz w:val="24"/>
                <w:szCs w:val="24"/>
              </w:rPr>
              <w:t>s’</w:t>
            </w:r>
            <w:r w:rsidRPr="68D56145">
              <w:rPr>
                <w:rFonts w:cs="Arial"/>
                <w:sz w:val="24"/>
                <w:szCs w:val="24"/>
              </w:rPr>
              <w:t xml:space="preserve"> statement</w:t>
            </w:r>
            <w:r w:rsidR="705003F2" w:rsidRPr="68D56145">
              <w:rPr>
                <w:rFonts w:cs="Arial"/>
                <w:sz w:val="24"/>
                <w:szCs w:val="24"/>
              </w:rPr>
              <w:t>s</w:t>
            </w:r>
            <w:r w:rsidRPr="68D56145">
              <w:rPr>
                <w:rFonts w:cs="Arial"/>
                <w:sz w:val="24"/>
                <w:szCs w:val="24"/>
              </w:rPr>
              <w:t>?  (Please be aware if we do not receive your referee</w:t>
            </w:r>
            <w:r w:rsidR="54A4CCAA" w:rsidRPr="68D56145">
              <w:rPr>
                <w:rFonts w:cs="Arial"/>
                <w:sz w:val="24"/>
                <w:szCs w:val="24"/>
              </w:rPr>
              <w:t>s’</w:t>
            </w:r>
            <w:r w:rsidRPr="68D56145">
              <w:rPr>
                <w:rFonts w:cs="Arial"/>
                <w:sz w:val="24"/>
                <w:szCs w:val="24"/>
              </w:rPr>
              <w:t xml:space="preserve"> statement</w:t>
            </w:r>
            <w:r w:rsidR="63B457C6" w:rsidRPr="68D56145">
              <w:rPr>
                <w:rFonts w:cs="Arial"/>
                <w:sz w:val="24"/>
                <w:szCs w:val="24"/>
              </w:rPr>
              <w:t>s</w:t>
            </w:r>
            <w:r w:rsidRPr="68D56145">
              <w:rPr>
                <w:rFonts w:cs="Arial"/>
                <w:sz w:val="24"/>
                <w:szCs w:val="24"/>
              </w:rPr>
              <w:t xml:space="preserve"> at the time of the submission or a maximum of 2 days after the panel submission date then your application will be passed to the next Panel meeting).</w:t>
            </w:r>
          </w:p>
          <w:p w14:paraId="00061D20" w14:textId="09F2475C" w:rsidR="00A46FE4" w:rsidRDefault="56822C3D" w:rsidP="00ED2AAE">
            <w:pPr>
              <w:rPr>
                <w:rFonts w:cs="Arial"/>
                <w:b/>
                <w:bCs/>
                <w:sz w:val="24"/>
                <w:szCs w:val="24"/>
              </w:rPr>
            </w:pPr>
            <w:r w:rsidRPr="18891B72">
              <w:rPr>
                <w:rFonts w:cs="Arial"/>
                <w:sz w:val="24"/>
                <w:szCs w:val="24"/>
              </w:rPr>
              <w:t xml:space="preserve">If your </w:t>
            </w:r>
            <w:r w:rsidR="3E5101AA" w:rsidRPr="18891B72">
              <w:rPr>
                <w:rFonts w:cs="Arial"/>
                <w:sz w:val="24"/>
                <w:szCs w:val="24"/>
              </w:rPr>
              <w:t>S</w:t>
            </w:r>
            <w:r w:rsidRPr="18891B72">
              <w:rPr>
                <w:rFonts w:cs="Arial"/>
                <w:sz w:val="24"/>
                <w:szCs w:val="24"/>
              </w:rPr>
              <w:t xml:space="preserve">upporting </w:t>
            </w:r>
            <w:r w:rsidR="2099FF3B" w:rsidRPr="18891B72">
              <w:rPr>
                <w:rFonts w:cs="Arial"/>
                <w:sz w:val="24"/>
                <w:szCs w:val="24"/>
              </w:rPr>
              <w:t>S</w:t>
            </w:r>
            <w:r w:rsidRPr="18891B72">
              <w:rPr>
                <w:rFonts w:cs="Arial"/>
                <w:sz w:val="24"/>
                <w:szCs w:val="24"/>
              </w:rPr>
              <w:t xml:space="preserve">tatements are not included with your application, you must ensure your referees send their </w:t>
            </w:r>
            <w:r w:rsidR="317A3E15" w:rsidRPr="18891B72">
              <w:rPr>
                <w:rFonts w:cs="Arial"/>
                <w:sz w:val="24"/>
                <w:szCs w:val="24"/>
              </w:rPr>
              <w:t>S</w:t>
            </w:r>
            <w:r w:rsidRPr="18891B72">
              <w:rPr>
                <w:rFonts w:cs="Arial"/>
                <w:sz w:val="24"/>
                <w:szCs w:val="24"/>
              </w:rPr>
              <w:t xml:space="preserve">upporting </w:t>
            </w:r>
            <w:r w:rsidR="783D1EFF" w:rsidRPr="18891B72">
              <w:rPr>
                <w:rFonts w:cs="Arial"/>
                <w:sz w:val="24"/>
                <w:szCs w:val="24"/>
              </w:rPr>
              <w:t>S</w:t>
            </w:r>
            <w:r w:rsidRPr="18891B72">
              <w:rPr>
                <w:rFonts w:cs="Arial"/>
                <w:sz w:val="24"/>
                <w:szCs w:val="24"/>
              </w:rPr>
              <w:t>tatements to the Academic Office by the deadline. The Academic Office will not chase referees.</w:t>
            </w:r>
          </w:p>
        </w:tc>
        <w:tc>
          <w:tcPr>
            <w:tcW w:w="5387" w:type="dxa"/>
          </w:tcPr>
          <w:p w14:paraId="34398218" w14:textId="77777777" w:rsidR="00A46FE4" w:rsidRDefault="00A46FE4">
            <w:pPr>
              <w:rPr>
                <w:rFonts w:cs="Arial"/>
                <w:b/>
                <w:sz w:val="24"/>
                <w:szCs w:val="24"/>
              </w:rPr>
            </w:pPr>
          </w:p>
          <w:p w14:paraId="1D40A576" w14:textId="33676E0B" w:rsidR="00A46FE4" w:rsidRPr="00FE7642" w:rsidRDefault="00A46FE4">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891C15">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A46FE4" w14:paraId="7413EE2E" w14:textId="77777777" w:rsidTr="4F7FBBAB">
        <w:tc>
          <w:tcPr>
            <w:tcW w:w="5353" w:type="dxa"/>
          </w:tcPr>
          <w:p w14:paraId="4622330B" w14:textId="77777777" w:rsidR="00A46FE4" w:rsidRDefault="00A46FE4">
            <w:pPr>
              <w:rPr>
                <w:rFonts w:cs="Arial"/>
                <w:b/>
                <w:sz w:val="24"/>
                <w:szCs w:val="24"/>
              </w:rPr>
            </w:pPr>
            <w:r>
              <w:rPr>
                <w:rFonts w:cs="Arial"/>
                <w:b/>
                <w:sz w:val="24"/>
                <w:szCs w:val="24"/>
              </w:rPr>
              <w:t>Date of Training</w:t>
            </w:r>
          </w:p>
        </w:tc>
        <w:tc>
          <w:tcPr>
            <w:tcW w:w="5387" w:type="dxa"/>
          </w:tcPr>
          <w:p w14:paraId="290D08B6" w14:textId="350826D4" w:rsidR="00A46FE4" w:rsidRDefault="00A26F90">
            <w:pPr>
              <w:rPr>
                <w:rFonts w:cs="Arial"/>
                <w:b/>
                <w:sz w:val="24"/>
                <w:szCs w:val="24"/>
              </w:rPr>
            </w:pPr>
            <w:r>
              <w:rPr>
                <w:rFonts w:cs="Arial"/>
                <w:b/>
                <w:sz w:val="24"/>
                <w:szCs w:val="24"/>
              </w:rPr>
              <w:t>30-03-2026</w:t>
            </w:r>
          </w:p>
        </w:tc>
      </w:tr>
      <w:tr w:rsidR="00450C1B" w14:paraId="7E37DEAE" w14:textId="77777777" w:rsidTr="4F7FBBAB">
        <w:tc>
          <w:tcPr>
            <w:tcW w:w="5353" w:type="dxa"/>
          </w:tcPr>
          <w:p w14:paraId="28E1FCD2" w14:textId="3D67B7B4" w:rsidR="00450C1B" w:rsidRDefault="00450C1B">
            <w:pPr>
              <w:rPr>
                <w:rFonts w:cs="Arial"/>
                <w:b/>
                <w:sz w:val="24"/>
                <w:szCs w:val="24"/>
              </w:rPr>
            </w:pPr>
            <w:r>
              <w:rPr>
                <w:rFonts w:cs="Arial"/>
                <w:b/>
                <w:sz w:val="24"/>
                <w:szCs w:val="24"/>
              </w:rPr>
              <w:t>Mentor</w:t>
            </w:r>
          </w:p>
        </w:tc>
        <w:tc>
          <w:tcPr>
            <w:tcW w:w="5387" w:type="dxa"/>
          </w:tcPr>
          <w:p w14:paraId="00ACBF69" w14:textId="3AE5F7F6" w:rsidR="00450C1B" w:rsidRPr="001135B3" w:rsidRDefault="001135B3">
            <w:pPr>
              <w:rPr>
                <w:rFonts w:cs="Arial"/>
                <w:bCs/>
                <w:sz w:val="24"/>
                <w:szCs w:val="24"/>
              </w:rPr>
            </w:pPr>
            <w:r w:rsidRPr="001135B3">
              <w:rPr>
                <w:rFonts w:cs="Arial"/>
                <w:bCs/>
                <w:sz w:val="24"/>
                <w:szCs w:val="24"/>
              </w:rPr>
              <w:t>Dr. Caroline Lewis</w:t>
            </w:r>
          </w:p>
        </w:tc>
      </w:tr>
    </w:tbl>
    <w:p w14:paraId="55B37769" w14:textId="129CC3B2" w:rsidR="4F7FBBAB" w:rsidRDefault="4F7FBBAB" w:rsidP="4F7FBBAB"/>
    <w:p w14:paraId="2BC5D87B" w14:textId="221116E5" w:rsidR="4F7FBBAB" w:rsidRDefault="4F7FBBAB" w:rsidP="4F7FBBAB"/>
    <w:p w14:paraId="16E26919" w14:textId="36BABCF3" w:rsidR="4F7FBBAB" w:rsidRDefault="4F7FBBAB" w:rsidP="4F7FBBAB"/>
    <w:p w14:paraId="112498FE" w14:textId="23111519" w:rsidR="4F7FBBAB" w:rsidRDefault="4F7FBBAB" w:rsidP="4F7FBBAB"/>
    <w:p w14:paraId="028E0B13" w14:textId="6585E7AD" w:rsidR="4F7FBBAB" w:rsidRDefault="4F7FBBAB" w:rsidP="4F7FBBAB"/>
    <w:p w14:paraId="579CF4CD" w14:textId="2D8A5E73" w:rsidR="4F7FBBAB" w:rsidRDefault="4F7FBBAB" w:rsidP="4F7FBBAB"/>
    <w:p w14:paraId="5E2FEC89" w14:textId="4379B0B9" w:rsidR="4F7FBBAB" w:rsidRDefault="4F7FBBAB" w:rsidP="4F7FBBAB"/>
    <w:p w14:paraId="73B6BBD1" w14:textId="1F3F2885" w:rsidR="3735EC4C" w:rsidRDefault="0012441E" w:rsidP="12B5ADD9">
      <w:pPr>
        <w:rPr>
          <w:rFonts w:cs="Arial"/>
          <w:b/>
          <w:bCs/>
          <w:sz w:val="32"/>
          <w:szCs w:val="32"/>
        </w:rPr>
      </w:pPr>
      <w:r w:rsidRPr="12B5ADD9">
        <w:rPr>
          <w:rFonts w:cs="Arial"/>
          <w:b/>
          <w:bCs/>
          <w:sz w:val="32"/>
          <w:szCs w:val="32"/>
        </w:rPr>
        <w:lastRenderedPageBreak/>
        <w:t xml:space="preserve">SECTION 2: </w:t>
      </w:r>
      <w:r w:rsidR="3735EC4C" w:rsidRPr="12B5ADD9">
        <w:rPr>
          <w:rFonts w:cs="Arial"/>
          <w:b/>
          <w:bCs/>
          <w:sz w:val="32"/>
          <w:szCs w:val="32"/>
        </w:rPr>
        <w:t>Context Statement</w:t>
      </w:r>
    </w:p>
    <w:tbl>
      <w:tblPr>
        <w:tblStyle w:val="TableGrid"/>
        <w:tblW w:w="0" w:type="auto"/>
        <w:tblLayout w:type="fixed"/>
        <w:tblLook w:val="06A0" w:firstRow="1" w:lastRow="0" w:firstColumn="1" w:lastColumn="0" w:noHBand="1" w:noVBand="1"/>
      </w:tblPr>
      <w:tblGrid>
        <w:gridCol w:w="10455"/>
      </w:tblGrid>
      <w:tr w:rsidR="4F7FBBAB" w14:paraId="7CC116E6" w14:textId="77777777" w:rsidTr="2C21CDB3">
        <w:trPr>
          <w:trHeight w:val="300"/>
        </w:trPr>
        <w:tc>
          <w:tcPr>
            <w:tcW w:w="10455" w:type="dxa"/>
          </w:tcPr>
          <w:p w14:paraId="0A89B8A8" w14:textId="77777777" w:rsidR="00DB028C" w:rsidRPr="00DB028C" w:rsidRDefault="00DB028C" w:rsidP="00DB028C">
            <w:pPr>
              <w:rPr>
                <w:rFonts w:cs="Arial"/>
              </w:rPr>
            </w:pPr>
            <w:r w:rsidRPr="2C21CDB3">
              <w:rPr>
                <w:rFonts w:cs="Arial"/>
              </w:rPr>
              <w:t>Write your Context statement here (up to 300 words).</w:t>
            </w:r>
          </w:p>
          <w:p w14:paraId="607DC6F7" w14:textId="77777777" w:rsidR="00DB028C" w:rsidRPr="00DB028C" w:rsidRDefault="00DB028C" w:rsidP="00DB028C">
            <w:pPr>
              <w:rPr>
                <w:rFonts w:cs="Arial"/>
              </w:rPr>
            </w:pPr>
            <w:r w:rsidRPr="00DB028C">
              <w:rPr>
                <w:rFonts w:cs="Arial"/>
              </w:rPr>
              <w:t xml:space="preserve">References and citations are to be listed in a dedicated field below. </w:t>
            </w:r>
          </w:p>
          <w:p w14:paraId="00C69030" w14:textId="5446EBF0" w:rsidR="4F7FBBAB" w:rsidRPr="00DB028C" w:rsidRDefault="00DB028C" w:rsidP="00DB028C">
            <w:pPr>
              <w:rPr>
                <w:rFonts w:cs="Arial"/>
                <w:highlight w:val="yellow"/>
              </w:rPr>
            </w:pPr>
            <w:r w:rsidRPr="00DB028C">
              <w:rPr>
                <w:rFonts w:cs="Arial"/>
              </w:rPr>
              <w:t xml:space="preserve">Please note that we will not accept diagrams, images or any other documents/appendices such as CVs.  </w:t>
            </w:r>
          </w:p>
          <w:p w14:paraId="082EE43F" w14:textId="5695DAE4" w:rsidR="00DC201C" w:rsidRPr="00D602CE" w:rsidRDefault="00DC201C" w:rsidP="003F69C2">
            <w:pPr>
              <w:pStyle w:val="NormalWeb"/>
              <w:jc w:val="both"/>
              <w:rPr>
                <w:rFonts w:asciiTheme="minorBidi" w:hAnsiTheme="minorBidi" w:cstheme="minorBidi"/>
                <w:sz w:val="22"/>
                <w:szCs w:val="22"/>
              </w:rPr>
            </w:pPr>
            <w:r w:rsidRPr="1F8D88A3">
              <w:rPr>
                <w:rFonts w:asciiTheme="minorBidi" w:hAnsiTheme="minorBidi" w:cstheme="minorBidi"/>
                <w:sz w:val="22"/>
                <w:szCs w:val="22"/>
              </w:rPr>
              <w:t>I am a Computing Lecturer at the University of Wales Trinity Saint David</w:t>
            </w:r>
            <w:r w:rsidR="00323254">
              <w:rPr>
                <w:rFonts w:asciiTheme="minorBidi" w:hAnsiTheme="minorBidi" w:cstheme="minorBidi"/>
                <w:sz w:val="22"/>
                <w:szCs w:val="22"/>
              </w:rPr>
              <w:t xml:space="preserve">, </w:t>
            </w:r>
            <w:r w:rsidRPr="1F8D88A3">
              <w:rPr>
                <w:rFonts w:asciiTheme="minorBidi" w:hAnsiTheme="minorBidi" w:cstheme="minorBidi"/>
                <w:sz w:val="22"/>
                <w:szCs w:val="22"/>
              </w:rPr>
              <w:t xml:space="preserve">London campus, </w:t>
            </w:r>
            <w:r w:rsidR="00323254">
              <w:rPr>
                <w:rFonts w:asciiTheme="minorBidi" w:hAnsiTheme="minorBidi" w:cstheme="minorBidi"/>
                <w:sz w:val="22"/>
                <w:szCs w:val="22"/>
              </w:rPr>
              <w:t>from</w:t>
            </w:r>
            <w:r w:rsidRPr="1F8D88A3">
              <w:rPr>
                <w:rFonts w:asciiTheme="minorBidi" w:hAnsiTheme="minorBidi" w:cstheme="minorBidi"/>
                <w:sz w:val="22"/>
                <w:szCs w:val="22"/>
              </w:rPr>
              <w:t xml:space="preserve"> June 2024, teaching across Levels 4–7. My role includes module design, teaching, assessment, and project supervision within computing programmes</w:t>
            </w:r>
            <w:r w:rsidR="004B017A">
              <w:rPr>
                <w:rFonts w:asciiTheme="minorBidi" w:hAnsiTheme="minorBidi" w:cstheme="minorBidi"/>
                <w:sz w:val="22"/>
                <w:szCs w:val="22"/>
              </w:rPr>
              <w:t>.</w:t>
            </w:r>
            <w:r w:rsidR="00323254">
              <w:t xml:space="preserve"> </w:t>
            </w:r>
            <w:r w:rsidR="00323254" w:rsidRPr="00323254">
              <w:rPr>
                <w:rFonts w:asciiTheme="minorBidi" w:hAnsiTheme="minorBidi" w:cstheme="minorBidi"/>
                <w:sz w:val="22"/>
                <w:szCs w:val="22"/>
              </w:rPr>
              <w:t xml:space="preserve">As Programme Manager for the </w:t>
            </w:r>
            <w:proofErr w:type="spellStart"/>
            <w:r w:rsidR="00323254" w:rsidRPr="00323254">
              <w:rPr>
                <w:rFonts w:asciiTheme="minorBidi" w:hAnsiTheme="minorBidi" w:cstheme="minorBidi"/>
                <w:sz w:val="22"/>
                <w:szCs w:val="22"/>
              </w:rPr>
              <w:t>CertHE</w:t>
            </w:r>
            <w:proofErr w:type="spellEnd"/>
            <w:r w:rsidR="00323254" w:rsidRPr="00323254">
              <w:rPr>
                <w:rFonts w:asciiTheme="minorBidi" w:hAnsiTheme="minorBidi" w:cstheme="minorBidi"/>
                <w:sz w:val="22"/>
                <w:szCs w:val="22"/>
              </w:rPr>
              <w:t xml:space="preserve"> Computing Skills for the Workplace programme, I work with colleagues on curriculum delivery, </w:t>
            </w:r>
            <w:r w:rsidR="00122D2D">
              <w:rPr>
                <w:rFonts w:asciiTheme="minorBidi" w:hAnsiTheme="minorBidi" w:cstheme="minorBidi"/>
                <w:sz w:val="22"/>
                <w:szCs w:val="22"/>
              </w:rPr>
              <w:t xml:space="preserve">quality assurance, </w:t>
            </w:r>
            <w:r w:rsidR="00323254" w:rsidRPr="00323254">
              <w:rPr>
                <w:rFonts w:asciiTheme="minorBidi" w:hAnsiTheme="minorBidi" w:cstheme="minorBidi"/>
                <w:sz w:val="22"/>
                <w:szCs w:val="22"/>
              </w:rPr>
              <w:t>student progression, and the overall student experience, contributing to shared practices across modules and levels.</w:t>
            </w:r>
          </w:p>
          <w:p w14:paraId="09F6F24C" w14:textId="0E115F1B" w:rsidR="00DC201C" w:rsidRPr="00D602CE" w:rsidRDefault="00DC201C" w:rsidP="00C60060">
            <w:pPr>
              <w:pStyle w:val="NormalWeb"/>
              <w:jc w:val="both"/>
              <w:rPr>
                <w:rFonts w:asciiTheme="minorBidi" w:hAnsiTheme="minorBidi" w:cstheme="minorBidi"/>
                <w:sz w:val="22"/>
                <w:szCs w:val="22"/>
              </w:rPr>
            </w:pPr>
            <w:r w:rsidRPr="00D602CE">
              <w:rPr>
                <w:rFonts w:asciiTheme="minorBidi" w:hAnsiTheme="minorBidi" w:cstheme="minorBidi"/>
                <w:sz w:val="22"/>
                <w:szCs w:val="22"/>
              </w:rPr>
              <w:t xml:space="preserve">I contribute to cross-campus module coordination, </w:t>
            </w:r>
            <w:r w:rsidR="00122D2D">
              <w:rPr>
                <w:rFonts w:asciiTheme="minorBidi" w:hAnsiTheme="minorBidi" w:cstheme="minorBidi"/>
                <w:sz w:val="22"/>
                <w:szCs w:val="22"/>
              </w:rPr>
              <w:t>leading</w:t>
            </w:r>
            <w:r w:rsidRPr="00D602CE">
              <w:rPr>
                <w:rFonts w:asciiTheme="minorBidi" w:hAnsiTheme="minorBidi" w:cstheme="minorBidi"/>
                <w:sz w:val="22"/>
                <w:szCs w:val="22"/>
              </w:rPr>
              <w:t xml:space="preserve"> colleagues to align teaching delivery and assessment practices across sites. Through this, I influence how modules are delivered across locations and contribute to consistency in student experience. Alongside this, I have been an Associate Lecturer with The Open University since September 2023, tutoring Algorithms and Computability module in a distance learning context.</w:t>
            </w:r>
          </w:p>
          <w:p w14:paraId="26D3FA6D" w14:textId="7C7EC604" w:rsidR="00323254" w:rsidRDefault="00DC201C" w:rsidP="001309DE">
            <w:pPr>
              <w:pStyle w:val="NormalWeb"/>
              <w:jc w:val="both"/>
              <w:rPr>
                <w:rFonts w:asciiTheme="minorBidi" w:hAnsiTheme="minorBidi" w:cstheme="minorBidi"/>
                <w:sz w:val="22"/>
                <w:szCs w:val="22"/>
              </w:rPr>
            </w:pPr>
            <w:r w:rsidRPr="00D602CE">
              <w:rPr>
                <w:rFonts w:asciiTheme="minorBidi" w:hAnsiTheme="minorBidi" w:cstheme="minorBidi"/>
                <w:sz w:val="22"/>
                <w:szCs w:val="22"/>
              </w:rPr>
              <w:t xml:space="preserve">I worked as a Teaching Fellow at Swansea University (December 2022–August 2024), teaching Degree Apprenticeship students on the BSc Applied Software Engineering programme. My experience in higher education spans over 20 years across India, Botswana, Canada, and the UK, </w:t>
            </w:r>
            <w:r w:rsidR="00323254" w:rsidRPr="00323254">
              <w:rPr>
                <w:rFonts w:asciiTheme="minorBidi" w:hAnsiTheme="minorBidi" w:cstheme="minorBidi"/>
                <w:sz w:val="22"/>
                <w:szCs w:val="22"/>
              </w:rPr>
              <w:t>working with mature, international</w:t>
            </w:r>
            <w:r w:rsidR="00323254">
              <w:rPr>
                <w:rFonts w:asciiTheme="minorBidi" w:hAnsiTheme="minorBidi" w:cstheme="minorBidi"/>
                <w:sz w:val="22"/>
                <w:szCs w:val="22"/>
              </w:rPr>
              <w:t xml:space="preserve"> </w:t>
            </w:r>
            <w:r w:rsidR="004B017A">
              <w:rPr>
                <w:rFonts w:asciiTheme="minorBidi" w:hAnsiTheme="minorBidi" w:cstheme="minorBidi"/>
                <w:sz w:val="22"/>
                <w:szCs w:val="22"/>
              </w:rPr>
              <w:t xml:space="preserve">students </w:t>
            </w:r>
            <w:r w:rsidR="00323254" w:rsidRPr="00323254">
              <w:rPr>
                <w:rFonts w:asciiTheme="minorBidi" w:hAnsiTheme="minorBidi" w:cstheme="minorBidi"/>
                <w:sz w:val="22"/>
                <w:szCs w:val="22"/>
              </w:rPr>
              <w:t>from varied educational, cultural, and linguistic backgrounds. This has shaped an inclusive approach to curriculum design and delivery that recognises differing prior experience and accounts for diverse learning needs.</w:t>
            </w:r>
          </w:p>
          <w:p w14:paraId="3835B5C0" w14:textId="597DC27C" w:rsidR="00DC201C" w:rsidRPr="00D602CE" w:rsidRDefault="00DC201C" w:rsidP="001309DE">
            <w:pPr>
              <w:pStyle w:val="NormalWeb"/>
              <w:jc w:val="both"/>
              <w:rPr>
                <w:rFonts w:asciiTheme="minorBidi" w:hAnsiTheme="minorBidi" w:cstheme="minorBidi"/>
                <w:sz w:val="22"/>
                <w:szCs w:val="22"/>
              </w:rPr>
            </w:pPr>
            <w:r w:rsidRPr="00D602CE">
              <w:rPr>
                <w:rFonts w:asciiTheme="minorBidi" w:hAnsiTheme="minorBidi" w:cstheme="minorBidi"/>
                <w:sz w:val="22"/>
                <w:szCs w:val="22"/>
              </w:rPr>
              <w:t xml:space="preserve">My teaching includes modules such as Research Methods and Professional Development, Scripting and Programming Concepts, and Database </w:t>
            </w:r>
            <w:r w:rsidR="00981BED">
              <w:rPr>
                <w:rFonts w:asciiTheme="minorBidi" w:hAnsiTheme="minorBidi" w:cstheme="minorBidi"/>
                <w:sz w:val="22"/>
                <w:szCs w:val="22"/>
              </w:rPr>
              <w:t>Systems</w:t>
            </w:r>
            <w:r w:rsidRPr="00D602CE">
              <w:rPr>
                <w:rFonts w:asciiTheme="minorBidi" w:hAnsiTheme="minorBidi" w:cstheme="minorBidi"/>
                <w:sz w:val="22"/>
                <w:szCs w:val="22"/>
              </w:rPr>
              <w:t xml:space="preserve">. I teach cohorts of around 40 students and run smaller academic support sessions. I supervise undergraduate and postgraduate projects </w:t>
            </w:r>
            <w:r w:rsidR="008E1D25" w:rsidRPr="00D602CE">
              <w:rPr>
                <w:rFonts w:asciiTheme="minorBidi" w:hAnsiTheme="minorBidi" w:cstheme="minorBidi"/>
                <w:sz w:val="22"/>
                <w:szCs w:val="22"/>
              </w:rPr>
              <w:t xml:space="preserve">including </w:t>
            </w:r>
            <w:r w:rsidR="001B0B36" w:rsidRPr="00D602CE">
              <w:rPr>
                <w:rFonts w:asciiTheme="minorBidi" w:hAnsiTheme="minorBidi" w:cstheme="minorBidi"/>
                <w:sz w:val="22"/>
                <w:szCs w:val="22"/>
              </w:rPr>
              <w:t xml:space="preserve">Doctorate in Business Administration research projects </w:t>
            </w:r>
            <w:r w:rsidRPr="00D602CE">
              <w:rPr>
                <w:rFonts w:asciiTheme="minorBidi" w:hAnsiTheme="minorBidi" w:cstheme="minorBidi"/>
                <w:sz w:val="22"/>
                <w:szCs w:val="22"/>
              </w:rPr>
              <w:t>and contribute to assessment and feedback practices aligned with institutional expectations.</w:t>
            </w:r>
          </w:p>
          <w:p w14:paraId="5FF66B00" w14:textId="7DA61B06" w:rsidR="4F7FBBAB" w:rsidRPr="00FE0ECD" w:rsidRDefault="00DC201C" w:rsidP="00FE0ECD">
            <w:pPr>
              <w:pStyle w:val="NormalWeb"/>
              <w:jc w:val="both"/>
              <w:rPr>
                <w:rFonts w:asciiTheme="minorBidi" w:hAnsiTheme="minorBidi" w:cstheme="minorBidi"/>
                <w:sz w:val="22"/>
                <w:szCs w:val="22"/>
              </w:rPr>
            </w:pPr>
            <w:r w:rsidRPr="00D602CE">
              <w:rPr>
                <w:rFonts w:asciiTheme="minorBidi" w:hAnsiTheme="minorBidi" w:cstheme="minorBidi"/>
                <w:sz w:val="22"/>
                <w:szCs w:val="22"/>
              </w:rPr>
              <w:t xml:space="preserve">I engage with institutional quality processes guided by the Academic Quality Handbook and take part in module planning and discussions with colleagues. My role extends beyond direct teaching through programme leadership, cross-campus coordination, and </w:t>
            </w:r>
            <w:r w:rsidR="0024581E" w:rsidRPr="0024581E">
              <w:rPr>
                <w:rFonts w:asciiTheme="minorBidi" w:hAnsiTheme="minorBidi" w:cstheme="minorBidi"/>
                <w:sz w:val="22"/>
                <w:szCs w:val="22"/>
              </w:rPr>
              <w:t>collaboration with colleagues across teams</w:t>
            </w:r>
            <w:r w:rsidRPr="00D602CE">
              <w:rPr>
                <w:rFonts w:asciiTheme="minorBidi" w:hAnsiTheme="minorBidi" w:cstheme="minorBidi"/>
                <w:sz w:val="22"/>
                <w:szCs w:val="22"/>
              </w:rPr>
              <w:t>.</w:t>
            </w:r>
          </w:p>
        </w:tc>
      </w:tr>
    </w:tbl>
    <w:p w14:paraId="52498B84" w14:textId="04E0C1C0" w:rsidR="18891B72" w:rsidRDefault="18891B72" w:rsidP="18891B72">
      <w:pPr>
        <w:rPr>
          <w:rFonts w:cs="Arial"/>
          <w:b/>
          <w:bCs/>
          <w:sz w:val="24"/>
          <w:szCs w:val="24"/>
        </w:rPr>
      </w:pPr>
    </w:p>
    <w:p w14:paraId="2F9FA9E6" w14:textId="25FDA201" w:rsidR="18891B72" w:rsidRDefault="18891B72" w:rsidP="18891B72">
      <w:pPr>
        <w:rPr>
          <w:rFonts w:cs="Arial"/>
          <w:b/>
          <w:bCs/>
          <w:sz w:val="24"/>
          <w:szCs w:val="24"/>
        </w:rPr>
      </w:pPr>
    </w:p>
    <w:p w14:paraId="6DF418E0" w14:textId="3B06D241" w:rsidR="4F7FBBAB" w:rsidRDefault="4F7FBBAB" w:rsidP="4F7FBBAB">
      <w:pPr>
        <w:rPr>
          <w:rFonts w:cs="Arial"/>
          <w:b/>
          <w:bCs/>
          <w:sz w:val="32"/>
          <w:szCs w:val="32"/>
          <w:highlight w:val="yellow"/>
        </w:rPr>
      </w:pPr>
    </w:p>
    <w:p w14:paraId="7067A4CD" w14:textId="78B8EC53" w:rsidR="4F7FBBAB" w:rsidRDefault="4F7FBBAB" w:rsidP="4F7FBBAB">
      <w:pPr>
        <w:rPr>
          <w:rFonts w:cs="Arial"/>
          <w:b/>
          <w:bCs/>
          <w:sz w:val="32"/>
          <w:szCs w:val="32"/>
          <w:highlight w:val="yellow"/>
        </w:rPr>
      </w:pPr>
    </w:p>
    <w:p w14:paraId="4BDFC0AF" w14:textId="235BFCD0" w:rsidR="4F7FBBAB" w:rsidRDefault="4F7FBBAB" w:rsidP="4F7FBBAB">
      <w:pPr>
        <w:rPr>
          <w:rFonts w:cs="Arial"/>
          <w:b/>
          <w:bCs/>
          <w:sz w:val="32"/>
          <w:szCs w:val="32"/>
          <w:highlight w:val="yellow"/>
        </w:rPr>
      </w:pPr>
    </w:p>
    <w:p w14:paraId="5044A69A" w14:textId="125332BF" w:rsidR="4F7FBBAB" w:rsidRDefault="4F7FBBAB" w:rsidP="4F7FBBAB">
      <w:pPr>
        <w:rPr>
          <w:rFonts w:cs="Arial"/>
          <w:b/>
          <w:bCs/>
          <w:sz w:val="32"/>
          <w:szCs w:val="32"/>
          <w:highlight w:val="yellow"/>
        </w:rPr>
      </w:pPr>
    </w:p>
    <w:p w14:paraId="566DCC51" w14:textId="77777777" w:rsidR="00D602CE" w:rsidRDefault="00D602CE" w:rsidP="4F7FBBAB">
      <w:pPr>
        <w:rPr>
          <w:rFonts w:cs="Arial"/>
          <w:b/>
          <w:bCs/>
          <w:sz w:val="32"/>
          <w:szCs w:val="32"/>
          <w:highlight w:val="yellow"/>
        </w:rPr>
      </w:pPr>
    </w:p>
    <w:p w14:paraId="0950978A" w14:textId="7A7833DE" w:rsidR="4F7FBBAB" w:rsidRDefault="4F7FBBAB" w:rsidP="4F7FBBAB">
      <w:pPr>
        <w:rPr>
          <w:rFonts w:cs="Arial"/>
          <w:b/>
          <w:bCs/>
          <w:sz w:val="32"/>
          <w:szCs w:val="32"/>
          <w:highlight w:val="yellow"/>
        </w:rPr>
      </w:pPr>
    </w:p>
    <w:p w14:paraId="31BCB393" w14:textId="7F111DE4" w:rsidR="4F7FBBAB" w:rsidRDefault="4F7FBBAB" w:rsidP="4F7FBBAB">
      <w:pPr>
        <w:rPr>
          <w:rFonts w:cs="Arial"/>
          <w:b/>
          <w:bCs/>
          <w:sz w:val="32"/>
          <w:szCs w:val="32"/>
          <w:highlight w:val="yellow"/>
        </w:rPr>
      </w:pPr>
    </w:p>
    <w:p w14:paraId="5820FCB7" w14:textId="1FEF21D2" w:rsidR="4F7FBBAB" w:rsidRDefault="4F7FBBAB" w:rsidP="4F7FBBAB">
      <w:pPr>
        <w:rPr>
          <w:rFonts w:cs="Arial"/>
          <w:b/>
          <w:bCs/>
          <w:sz w:val="32"/>
          <w:szCs w:val="32"/>
          <w:highlight w:val="yellow"/>
        </w:rPr>
      </w:pPr>
    </w:p>
    <w:p w14:paraId="37E24884" w14:textId="249D10B9" w:rsidR="4F7FBBAB" w:rsidRDefault="4F7FBBAB" w:rsidP="4F7FBBAB">
      <w:pPr>
        <w:rPr>
          <w:rFonts w:cs="Arial"/>
          <w:b/>
          <w:bCs/>
          <w:sz w:val="32"/>
          <w:szCs w:val="32"/>
          <w:highlight w:val="yellow"/>
        </w:rPr>
      </w:pPr>
    </w:p>
    <w:p w14:paraId="7EE1A6B4" w14:textId="77777777" w:rsidR="00E41FC3" w:rsidRDefault="00E41FC3" w:rsidP="12B5ADD9">
      <w:pPr>
        <w:rPr>
          <w:rFonts w:cs="Arial"/>
          <w:b/>
          <w:bCs/>
          <w:sz w:val="32"/>
          <w:szCs w:val="32"/>
        </w:rPr>
      </w:pPr>
    </w:p>
    <w:p w14:paraId="74E8CB89" w14:textId="77777777" w:rsidR="00E41FC3" w:rsidRDefault="00E41FC3" w:rsidP="12B5ADD9">
      <w:pPr>
        <w:rPr>
          <w:rFonts w:cs="Arial"/>
          <w:b/>
          <w:bCs/>
          <w:sz w:val="32"/>
          <w:szCs w:val="32"/>
        </w:rPr>
      </w:pPr>
    </w:p>
    <w:p w14:paraId="539C08DF" w14:textId="77777777" w:rsidR="00FE0ECD" w:rsidRDefault="00FE0ECD" w:rsidP="12B5ADD9">
      <w:pPr>
        <w:rPr>
          <w:rFonts w:cs="Arial"/>
          <w:b/>
          <w:bCs/>
          <w:sz w:val="32"/>
          <w:szCs w:val="32"/>
        </w:rPr>
      </w:pPr>
    </w:p>
    <w:p w14:paraId="262E4566" w14:textId="31C530AB" w:rsidR="3735EC4C" w:rsidRDefault="0012441E" w:rsidP="12B5ADD9">
      <w:pPr>
        <w:rPr>
          <w:rFonts w:cs="Arial"/>
          <w:b/>
          <w:bCs/>
          <w:sz w:val="24"/>
          <w:szCs w:val="24"/>
        </w:rPr>
      </w:pPr>
      <w:r w:rsidRPr="12B5ADD9">
        <w:rPr>
          <w:rFonts w:cs="Arial"/>
          <w:b/>
          <w:bCs/>
          <w:sz w:val="32"/>
          <w:szCs w:val="32"/>
        </w:rPr>
        <w:lastRenderedPageBreak/>
        <w:t xml:space="preserve">SECTION 3: </w:t>
      </w:r>
      <w:r w:rsidR="3735EC4C" w:rsidRPr="12B5ADD9">
        <w:rPr>
          <w:rFonts w:cs="Arial"/>
          <w:b/>
          <w:bCs/>
          <w:sz w:val="32"/>
          <w:szCs w:val="32"/>
        </w:rPr>
        <w:t>Reflective Narrative</w:t>
      </w:r>
    </w:p>
    <w:p w14:paraId="60087817" w14:textId="06F6B1A4" w:rsidR="18891B72" w:rsidRDefault="18891B72" w:rsidP="12B5ADD9">
      <w:pPr>
        <w:rPr>
          <w:rFonts w:cs="Arial"/>
          <w:b/>
          <w:bCs/>
          <w:sz w:val="32"/>
          <w:szCs w:val="32"/>
        </w:rPr>
      </w:pPr>
    </w:p>
    <w:tbl>
      <w:tblPr>
        <w:tblStyle w:val="TableGrid"/>
        <w:tblW w:w="0" w:type="auto"/>
        <w:tblLayout w:type="fixed"/>
        <w:tblLook w:val="06A0" w:firstRow="1" w:lastRow="0" w:firstColumn="1" w:lastColumn="0" w:noHBand="1" w:noVBand="1"/>
      </w:tblPr>
      <w:tblGrid>
        <w:gridCol w:w="10455"/>
      </w:tblGrid>
      <w:tr w:rsidR="18891B72" w14:paraId="0F36AB55" w14:textId="77777777" w:rsidTr="1F8D88A3">
        <w:trPr>
          <w:trHeight w:val="300"/>
        </w:trPr>
        <w:tc>
          <w:tcPr>
            <w:tcW w:w="10455" w:type="dxa"/>
          </w:tcPr>
          <w:p w14:paraId="37409EB9" w14:textId="60404A74" w:rsidR="3735EC4C" w:rsidRDefault="3735EC4C" w:rsidP="12B5ADD9">
            <w:pPr>
              <w:rPr>
                <w:rFonts w:eastAsia="Arial" w:cs="Arial"/>
                <w:color w:val="000000" w:themeColor="text1"/>
                <w:sz w:val="24"/>
                <w:szCs w:val="24"/>
              </w:rPr>
            </w:pPr>
            <w:r w:rsidRPr="12B5ADD9">
              <w:rPr>
                <w:rFonts w:eastAsia="Arial" w:cs="Arial"/>
                <w:color w:val="000000" w:themeColor="text1"/>
                <w:sz w:val="24"/>
                <w:szCs w:val="24"/>
              </w:rPr>
              <w:t xml:space="preserve">Write your reflective narrative here. </w:t>
            </w:r>
          </w:p>
          <w:p w14:paraId="706E6B60" w14:textId="2F752F4F" w:rsidR="3735EC4C" w:rsidRDefault="3735EC4C" w:rsidP="12B5ADD9">
            <w:pPr>
              <w:rPr>
                <w:rFonts w:eastAsia="Arial" w:cs="Arial"/>
                <w:color w:val="000000" w:themeColor="text1"/>
                <w:sz w:val="24"/>
                <w:szCs w:val="24"/>
              </w:rPr>
            </w:pPr>
            <w:r w:rsidRPr="12B5ADD9">
              <w:rPr>
                <w:rFonts w:eastAsia="Arial" w:cs="Arial"/>
                <w:color w:val="000000" w:themeColor="text1"/>
                <w:sz w:val="24"/>
                <w:szCs w:val="24"/>
              </w:rPr>
              <w:t>References and citations are to be listed in a dedicated field below</w:t>
            </w:r>
            <w:r w:rsidR="231A12C3" w:rsidRPr="12B5ADD9">
              <w:rPr>
                <w:rFonts w:eastAsia="Arial" w:cs="Arial"/>
                <w:color w:val="000000" w:themeColor="text1"/>
                <w:sz w:val="24"/>
                <w:szCs w:val="24"/>
              </w:rPr>
              <w:t>.</w:t>
            </w:r>
          </w:p>
          <w:p w14:paraId="05F29903" w14:textId="326B237E" w:rsidR="2A52E326" w:rsidRDefault="231A12C3" w:rsidP="12B5ADD9">
            <w:pPr>
              <w:jc w:val="both"/>
              <w:rPr>
                <w:rFonts w:eastAsia="Arial" w:cs="Arial"/>
                <w:color w:val="000000" w:themeColor="text1"/>
                <w:sz w:val="24"/>
                <w:szCs w:val="24"/>
              </w:rPr>
            </w:pPr>
            <w:r w:rsidRPr="12B5ADD9">
              <w:rPr>
                <w:rFonts w:eastAsia="Arial" w:cs="Arial"/>
                <w:color w:val="000000" w:themeColor="text1"/>
                <w:sz w:val="24"/>
                <w:szCs w:val="24"/>
              </w:rPr>
              <w:t xml:space="preserve">Please note that </w:t>
            </w:r>
            <w:r w:rsidR="00DB028C" w:rsidRPr="12B5ADD9">
              <w:rPr>
                <w:rFonts w:eastAsia="Arial" w:cs="Arial"/>
                <w:color w:val="000000" w:themeColor="text1"/>
                <w:sz w:val="24"/>
                <w:szCs w:val="24"/>
              </w:rPr>
              <w:t>we</w:t>
            </w:r>
            <w:r w:rsidRPr="12B5ADD9">
              <w:rPr>
                <w:rFonts w:eastAsia="Arial" w:cs="Arial"/>
                <w:color w:val="000000" w:themeColor="text1"/>
                <w:sz w:val="24"/>
                <w:szCs w:val="24"/>
              </w:rPr>
              <w:t xml:space="preserve"> </w:t>
            </w:r>
            <w:r w:rsidRPr="12B5ADD9">
              <w:rPr>
                <w:rFonts w:eastAsia="Arial" w:cs="Arial"/>
                <w:b/>
                <w:bCs/>
                <w:color w:val="000000" w:themeColor="text1"/>
                <w:sz w:val="24"/>
                <w:szCs w:val="24"/>
              </w:rPr>
              <w:t>will not accept</w:t>
            </w:r>
            <w:r w:rsidRPr="12B5ADD9">
              <w:rPr>
                <w:rFonts w:eastAsia="Arial" w:cs="Arial"/>
                <w:color w:val="000000" w:themeColor="text1"/>
                <w:sz w:val="24"/>
                <w:szCs w:val="24"/>
              </w:rPr>
              <w:t xml:space="preserve"> diagrams, images or any other documents/appendices such as CVs.  </w:t>
            </w:r>
          </w:p>
          <w:p w14:paraId="04145D78" w14:textId="679F2C9E" w:rsidR="4F7FBBAB" w:rsidRDefault="4F7FBBAB" w:rsidP="12B5ADD9">
            <w:pPr>
              <w:rPr>
                <w:rFonts w:eastAsia="Arial" w:cs="Arial"/>
                <w:color w:val="000000" w:themeColor="text1"/>
                <w:sz w:val="24"/>
                <w:szCs w:val="24"/>
              </w:rPr>
            </w:pPr>
          </w:p>
          <w:p w14:paraId="64C9AD27" w14:textId="1C5F7467" w:rsidR="00EA6A34" w:rsidRDefault="00822E29" w:rsidP="00875BF0">
            <w:pPr>
              <w:jc w:val="both"/>
              <w:rPr>
                <w:rFonts w:eastAsia="Arial" w:cs="Arial"/>
                <w:color w:val="000000" w:themeColor="text1"/>
                <w:sz w:val="24"/>
                <w:szCs w:val="24"/>
              </w:rPr>
            </w:pPr>
            <w:r w:rsidRPr="00822E29">
              <w:rPr>
                <w:rFonts w:eastAsia="Arial" w:cs="Arial"/>
                <w:color w:val="000000" w:themeColor="text1"/>
                <w:sz w:val="24"/>
                <w:szCs w:val="24"/>
              </w:rPr>
              <w:t xml:space="preserve">Since joining the University of Wales Trinity Saint David, Swansea University, and The Open University, my role has progressed beyond direct teaching to leading curriculum design, assessment, digital learning innovation, and quality enhancement across computing programmes and multidisciplinary teams. At UWTSD, as Programme Manager for the </w:t>
            </w:r>
            <w:proofErr w:type="spellStart"/>
            <w:r w:rsidRPr="00822E29">
              <w:rPr>
                <w:rFonts w:eastAsia="Arial" w:cs="Arial"/>
                <w:color w:val="000000" w:themeColor="text1"/>
                <w:sz w:val="24"/>
                <w:szCs w:val="24"/>
              </w:rPr>
              <w:t>CertHE</w:t>
            </w:r>
            <w:proofErr w:type="spellEnd"/>
            <w:r w:rsidRPr="00822E29">
              <w:rPr>
                <w:rFonts w:eastAsia="Arial" w:cs="Arial"/>
                <w:color w:val="000000" w:themeColor="text1"/>
                <w:sz w:val="24"/>
                <w:szCs w:val="24"/>
              </w:rPr>
              <w:t xml:space="preserve"> Computing Skills for the Workplace, I chair programme boards and lead curriculum and assessment decisions implemented across the teaching team, alongside contributing to Levels 4–7 programmes, including BSc Applied Computing and MSc Cyber Security and Digital Forensics. My work includes assessment enhancement, curriculum development, and technology-enhanced learning to improve engagement and employability. This progression is underpinned by a commitment to inclusive, evidence-informed practice that responds to </w:t>
            </w:r>
            <w:r w:rsidR="00285D43" w:rsidRPr="00822E29">
              <w:rPr>
                <w:rFonts w:eastAsia="Arial" w:cs="Arial"/>
                <w:color w:val="000000" w:themeColor="text1"/>
                <w:sz w:val="24"/>
                <w:szCs w:val="24"/>
              </w:rPr>
              <w:t>students</w:t>
            </w:r>
            <w:r w:rsidRPr="00822E29">
              <w:rPr>
                <w:rFonts w:eastAsia="Arial" w:cs="Arial"/>
                <w:color w:val="000000" w:themeColor="text1"/>
                <w:sz w:val="24"/>
                <w:szCs w:val="24"/>
              </w:rPr>
              <w:t xml:space="preserve"> varied prior attainment, cultural backgrounds, and personal circumstances, reflecting the principle that inclusive teaching benefits the whole student body </w:t>
            </w:r>
            <w:r w:rsidR="00C513B1" w:rsidRPr="00C513B1">
              <w:rPr>
                <w:rFonts w:eastAsia="Arial" w:cs="Arial"/>
                <w:color w:val="000000" w:themeColor="text1"/>
                <w:sz w:val="24"/>
                <w:szCs w:val="24"/>
              </w:rPr>
              <w:t xml:space="preserve">(Stripe and </w:t>
            </w:r>
            <w:proofErr w:type="spellStart"/>
            <w:r w:rsidR="00C513B1" w:rsidRPr="00C513B1">
              <w:rPr>
                <w:rFonts w:eastAsia="Arial" w:cs="Arial"/>
                <w:color w:val="000000" w:themeColor="text1"/>
                <w:sz w:val="24"/>
                <w:szCs w:val="24"/>
              </w:rPr>
              <w:t>Ntonia</w:t>
            </w:r>
            <w:proofErr w:type="spellEnd"/>
            <w:r w:rsidR="00C513B1" w:rsidRPr="00C513B1">
              <w:rPr>
                <w:rFonts w:eastAsia="Arial" w:cs="Arial"/>
                <w:color w:val="000000" w:themeColor="text1"/>
                <w:sz w:val="24"/>
                <w:szCs w:val="24"/>
              </w:rPr>
              <w:t>, 2023)</w:t>
            </w:r>
            <w:r w:rsidR="00C513B1">
              <w:rPr>
                <w:rFonts w:eastAsia="Arial" w:cs="Arial"/>
                <w:color w:val="000000" w:themeColor="text1"/>
                <w:sz w:val="24"/>
                <w:szCs w:val="24"/>
              </w:rPr>
              <w:t xml:space="preserve">. </w:t>
            </w:r>
            <w:r w:rsidRPr="00822E29">
              <w:rPr>
                <w:rFonts w:eastAsia="Arial" w:cs="Arial"/>
                <w:color w:val="000000" w:themeColor="text1"/>
                <w:sz w:val="24"/>
                <w:szCs w:val="24"/>
              </w:rPr>
              <w:t xml:space="preserve">I have also extended this approach beyond Computing through the </w:t>
            </w:r>
            <w:proofErr w:type="spellStart"/>
            <w:r w:rsidRPr="00822E29">
              <w:rPr>
                <w:rFonts w:eastAsia="Arial" w:cs="Arial"/>
                <w:color w:val="000000" w:themeColor="text1"/>
                <w:sz w:val="24"/>
                <w:szCs w:val="24"/>
              </w:rPr>
              <w:t>CertHE</w:t>
            </w:r>
            <w:proofErr w:type="spellEnd"/>
            <w:r w:rsidRPr="00822E29">
              <w:rPr>
                <w:rFonts w:eastAsia="Arial" w:cs="Arial"/>
                <w:color w:val="000000" w:themeColor="text1"/>
                <w:sz w:val="24"/>
                <w:szCs w:val="24"/>
              </w:rPr>
              <w:t xml:space="preserve"> Health and Social Care programme, enhancing Digital Skills and Research Methods modules for non-computing students</w:t>
            </w:r>
            <w:r w:rsidR="0055165A">
              <w:rPr>
                <w:rFonts w:eastAsia="Arial" w:cs="Arial"/>
                <w:color w:val="000000" w:themeColor="text1"/>
                <w:sz w:val="24"/>
                <w:szCs w:val="24"/>
              </w:rPr>
              <w:t xml:space="preserve"> (A1)</w:t>
            </w:r>
            <w:r w:rsidRPr="00822E29">
              <w:rPr>
                <w:rFonts w:eastAsia="Arial" w:cs="Arial"/>
                <w:color w:val="000000" w:themeColor="text1"/>
                <w:sz w:val="24"/>
                <w:szCs w:val="24"/>
              </w:rPr>
              <w:t>.</w:t>
            </w:r>
          </w:p>
          <w:p w14:paraId="789BAAB4" w14:textId="791758B9" w:rsidR="006753A1" w:rsidRPr="00895855" w:rsidRDefault="00822E29" w:rsidP="00895855">
            <w:pPr>
              <w:jc w:val="both"/>
              <w:rPr>
                <w:rFonts w:eastAsia="Arial" w:cs="Arial"/>
                <w:color w:val="000000" w:themeColor="text1"/>
                <w:sz w:val="24"/>
                <w:szCs w:val="24"/>
                <w:lang w:val="en-US"/>
              </w:rPr>
            </w:pPr>
            <w:r w:rsidRPr="00822E29">
              <w:rPr>
                <w:rFonts w:eastAsia="Arial" w:cs="Arial"/>
                <w:color w:val="000000" w:themeColor="text1"/>
                <w:sz w:val="24"/>
                <w:szCs w:val="24"/>
              </w:rPr>
              <w:t>At The Open University, I contribute to M269 (Algorithms, Data Structures and Computability), a large-scale distance learning module supporting students from diverse academic and professional backgrounds. I have influenced pedagogy by integrating interactive computational tools such as Jupyter Notebooks to develop algorithmic thinking and problem-solving (A1, A2, K2, K4, V2, V3). This practice is informed by research highlighting the benefits of active learning, live coding, and immediate feedback for conceptual understanding and engagement in programming education (Hundhausen and Brown, 2008; Shah et al., 2025).</w:t>
            </w:r>
            <w:r w:rsidR="00043C07" w:rsidRPr="00043C07">
              <w:rPr>
                <w:rFonts w:eastAsia="Arial" w:cs="Arial"/>
                <w:color w:val="000000" w:themeColor="text1"/>
                <w:sz w:val="24"/>
                <w:szCs w:val="24"/>
              </w:rPr>
              <w:t>This mattered particularly for online learners to reduce that isolation and build the confidence distance learners need to persist with technically demanding material (</w:t>
            </w:r>
            <w:r w:rsidR="00200F7C" w:rsidRPr="00200F7C">
              <w:rPr>
                <w:rFonts w:eastAsia="Arial" w:cs="Arial"/>
                <w:color w:val="000000" w:themeColor="text1"/>
                <w:sz w:val="24"/>
                <w:szCs w:val="24"/>
              </w:rPr>
              <w:t>Rahmani, Groot and Rahmani, 2024</w:t>
            </w:r>
            <w:r w:rsidR="00043C07" w:rsidRPr="00043C07">
              <w:rPr>
                <w:rFonts w:eastAsia="Arial" w:cs="Arial"/>
                <w:color w:val="000000" w:themeColor="text1"/>
                <w:sz w:val="24"/>
                <w:szCs w:val="24"/>
              </w:rPr>
              <w:t>). For example, drawing on this evidence, I redesigned tutorial activities so that students progressively build and execute algorithms in Jupyter Notebooks rather than passively reviewing completed solutions. This allowed learners to test hypotheses, visualise algorithm behaviour step-by-step, and receive immediate formative feedback during</w:t>
            </w:r>
            <w:r w:rsidR="00895855" w:rsidRPr="00895855">
              <w:rPr>
                <w:rFonts w:eastAsia="Arial" w:cs="Arial"/>
                <w:color w:val="000000" w:themeColor="text1"/>
                <w:sz w:val="24"/>
                <w:szCs w:val="24"/>
                <w:lang w:val="en-US"/>
              </w:rPr>
              <w:t xml:space="preserve"> problem-solving tasks.</w:t>
            </w:r>
          </w:p>
          <w:p w14:paraId="1878C777" w14:textId="31A54399" w:rsidR="001E0732" w:rsidRPr="00895855" w:rsidRDefault="003A69B6" w:rsidP="00895855">
            <w:pPr>
              <w:jc w:val="both"/>
              <w:rPr>
                <w:rFonts w:eastAsia="Arial" w:cs="Arial"/>
                <w:color w:val="000000" w:themeColor="text1"/>
                <w:sz w:val="24"/>
                <w:szCs w:val="24"/>
                <w:lang w:val="en-US"/>
              </w:rPr>
            </w:pPr>
            <w:r w:rsidRPr="003A69B6">
              <w:rPr>
                <w:rFonts w:eastAsia="Arial" w:cs="Arial"/>
                <w:color w:val="000000" w:themeColor="text1"/>
                <w:sz w:val="24"/>
                <w:szCs w:val="24"/>
              </w:rPr>
              <w:t>Through structured mentoring of peer tutors, I introduced interactive teaching approaches using Jupyter Notebooks and live coding to develop algorithmic thinking, engagement, and immediate feedback rather than passive observation of completed solutions (Hundhausen and Brown, 2008; Rubin, 2013). I worked with tutors during preparation and debrief sessions, modelling how to scaffold tasks, prompt student reasoning, and encourage experimentation. Evaluation through tutorial observation, polls, forum activity, student feedback, and formative exercise completion rates showed improved engagement, confidence, and willingness to experiment, with completion rising from approximately 55% to over 80% compared with the unrevised presentation (V3). Three of five peer tutors subsequently adapted these strategies in their own sessions, reporting similar gains</w:t>
            </w:r>
            <w:r w:rsidR="0055165A">
              <w:rPr>
                <w:rFonts w:eastAsia="Arial" w:cs="Arial"/>
                <w:color w:val="000000" w:themeColor="text1"/>
                <w:sz w:val="24"/>
                <w:szCs w:val="24"/>
              </w:rPr>
              <w:t xml:space="preserve"> (A2)</w:t>
            </w:r>
            <w:r w:rsidRPr="003A69B6">
              <w:rPr>
                <w:rFonts w:eastAsia="Arial" w:cs="Arial"/>
                <w:color w:val="000000" w:themeColor="text1"/>
                <w:sz w:val="24"/>
                <w:szCs w:val="24"/>
              </w:rPr>
              <w:t xml:space="preserve"> in student confidence and participation at cluster debriefs. This provided further evidence of the impact and transfer of the approach, leading to more interactive tutorials and improved learner confidence in algorithmic problem-solving</w:t>
            </w:r>
            <w:r w:rsidR="00895855" w:rsidRPr="00895855">
              <w:rPr>
                <w:rFonts w:eastAsia="Arial" w:cs="Arial"/>
                <w:color w:val="000000" w:themeColor="text1"/>
                <w:sz w:val="24"/>
                <w:szCs w:val="24"/>
                <w:lang w:val="en-US"/>
              </w:rPr>
              <w:t xml:space="preserve"> (V5).</w:t>
            </w:r>
          </w:p>
          <w:p w14:paraId="5956AB1B" w14:textId="485056F0" w:rsidR="001E0732" w:rsidRDefault="00822E29" w:rsidP="00872B65">
            <w:pPr>
              <w:jc w:val="both"/>
              <w:rPr>
                <w:rFonts w:eastAsia="Arial" w:cs="Arial"/>
                <w:color w:val="000000" w:themeColor="text1"/>
                <w:sz w:val="24"/>
                <w:szCs w:val="24"/>
              </w:rPr>
            </w:pPr>
            <w:r w:rsidRPr="00822E29">
              <w:rPr>
                <w:rFonts w:eastAsia="Arial" w:cs="Arial"/>
                <w:color w:val="000000" w:themeColor="text1"/>
                <w:sz w:val="24"/>
                <w:szCs w:val="24"/>
              </w:rPr>
              <w:t xml:space="preserve">At Swansea University, my work on the Degree Apprenticeship programme enabled me to design curriculum within a work-based learning context. In the Database Systems module, following employer consultation highlighting demand for NoSQL technologies, I introduced MongoDB through realistic datasets and workplace scenarios, enabling apprentices to apply database </w:t>
            </w:r>
            <w:r w:rsidRPr="00822E29">
              <w:rPr>
                <w:rFonts w:eastAsia="Arial" w:cs="Arial"/>
                <w:color w:val="000000" w:themeColor="text1"/>
                <w:sz w:val="24"/>
                <w:szCs w:val="24"/>
              </w:rPr>
              <w:lastRenderedPageBreak/>
              <w:t>concepts directly to professional contexts. This ensured curriculum relevance, supported work-integrated learning, and strengthened industry readiness, reflecting evidence that authentic workplace-situated tasks support the transfer of learning into professional practice (Billett, 2001) (K2, K5, V4).</w:t>
            </w:r>
            <w:r>
              <w:rPr>
                <w:rFonts w:eastAsia="Arial" w:cs="Arial"/>
                <w:color w:val="000000" w:themeColor="text1"/>
                <w:sz w:val="24"/>
                <w:szCs w:val="24"/>
              </w:rPr>
              <w:t xml:space="preserve"> </w:t>
            </w:r>
            <w:r w:rsidR="00895855" w:rsidRPr="00895855">
              <w:rPr>
                <w:rFonts w:eastAsia="Arial" w:cs="Arial"/>
                <w:color w:val="000000" w:themeColor="text1"/>
                <w:sz w:val="24"/>
                <w:szCs w:val="24"/>
                <w:lang w:val="en-US"/>
              </w:rPr>
              <w:t>Module evaluation data and my own review of assessment submissions had shown that other module leaders on the apprenticeship route were still relying on legacy, non-industry-standard database examples, so I also facilitated collaborative discussions within teaching teams on curriculum and assessment design, encouraging colleagues to reflect on how module activities could better reflect workplace practice and employer requirements. This included sharing examples of MongoDB-based practical exercises and demonstrating how these could be incorporated into assessment tasks to reflect real-world applications. Two colleagues subsequently redesigned their own assessment briefs to incorporate the shared NoSQL exercises, which they reported at a teaching team meeting had led to improved student feedback on the relevance of learning to workplace practice, alongside increased engagement from apprentices applying database concepts in their employment settings.</w:t>
            </w:r>
            <w:r w:rsidR="000E00A2">
              <w:rPr>
                <w:rFonts w:eastAsia="Arial" w:cs="Arial"/>
                <w:color w:val="000000" w:themeColor="text1"/>
                <w:sz w:val="24"/>
                <w:szCs w:val="24"/>
              </w:rPr>
              <w:t xml:space="preserve"> </w:t>
            </w:r>
            <w:r w:rsidR="37CB6CB0" w:rsidRPr="1F8D88A3">
              <w:rPr>
                <w:rFonts w:eastAsia="Arial" w:cs="Arial"/>
                <w:color w:val="000000" w:themeColor="text1"/>
                <w:sz w:val="24"/>
                <w:szCs w:val="24"/>
              </w:rPr>
              <w:t xml:space="preserve"> </w:t>
            </w:r>
          </w:p>
          <w:p w14:paraId="1371755D" w14:textId="77777777" w:rsidR="001828CC" w:rsidRDefault="001828CC" w:rsidP="00756A7F">
            <w:pPr>
              <w:rPr>
                <w:rFonts w:eastAsia="Arial" w:cs="Arial"/>
                <w:color w:val="000000" w:themeColor="text1"/>
                <w:sz w:val="24"/>
                <w:szCs w:val="24"/>
              </w:rPr>
            </w:pPr>
          </w:p>
          <w:p w14:paraId="58855B25" w14:textId="2F4993E6" w:rsidR="00FE1C85" w:rsidRDefault="00822E29" w:rsidP="00BF1C9E">
            <w:pPr>
              <w:jc w:val="both"/>
              <w:rPr>
                <w:rFonts w:eastAsia="Arial" w:cs="Arial"/>
                <w:color w:val="000000" w:themeColor="text1"/>
                <w:sz w:val="24"/>
                <w:szCs w:val="24"/>
              </w:rPr>
            </w:pPr>
            <w:r w:rsidRPr="00822E29">
              <w:rPr>
                <w:rFonts w:eastAsia="Arial" w:cs="Arial"/>
                <w:color w:val="000000" w:themeColor="text1"/>
                <w:sz w:val="24"/>
                <w:szCs w:val="24"/>
              </w:rPr>
              <w:t>Across my roles, I have designed, marked, and moderated assessments, ensuring alignment with learning outcomes and institutional requirements (A3, K3). At Swansea University, I contributed to module evaluation and assessment review by analysing student feedback and performance data, identifying variation in how markers interpreted grading criteria and addressing inconsistencies in assessment clarity, marking, and feedback quality.</w:t>
            </w:r>
            <w:r w:rsidR="00CA3736" w:rsidRPr="00CA3736">
              <w:rPr>
                <w:rFonts w:eastAsia="Arial" w:cs="Arial"/>
                <w:color w:val="000000" w:themeColor="text1"/>
                <w:sz w:val="24"/>
                <w:szCs w:val="24"/>
              </w:rPr>
              <w:t xml:space="preserve"> </w:t>
            </w:r>
            <w:r w:rsidR="00FE1C85" w:rsidRPr="00FE1C85">
              <w:rPr>
                <w:rFonts w:eastAsia="Arial" w:cs="Arial"/>
                <w:color w:val="000000" w:themeColor="text1"/>
                <w:sz w:val="24"/>
                <w:szCs w:val="24"/>
              </w:rPr>
              <w:t>Based on this, I encouraged colleagues to adopt clearer assessment criteria, structured marking guidance, and more developmental feedback informed by constructive feedback principles (Biggs, 1996). I facilitated a marking-calibration exercise where the team jointly assessed anonymised scripts, compared judgements, and agreed shared annotated exemplars and guidance. As a result, colleagues refined assessment briefs and feedback practices, improving marking consistency and clarifying expectations. Subsequent student feedback indicated greater satisfaction with the clarity and usefulness of feedback in supporting learning progression</w:t>
            </w:r>
            <w:r w:rsidR="0055165A">
              <w:rPr>
                <w:rFonts w:eastAsia="Arial" w:cs="Arial"/>
                <w:color w:val="000000" w:themeColor="text1"/>
                <w:sz w:val="24"/>
                <w:szCs w:val="24"/>
              </w:rPr>
              <w:t xml:space="preserve"> (A3)</w:t>
            </w:r>
            <w:r w:rsidR="00FE1C85" w:rsidRPr="00FE1C85">
              <w:rPr>
                <w:rFonts w:eastAsia="Arial" w:cs="Arial"/>
                <w:color w:val="000000" w:themeColor="text1"/>
                <w:sz w:val="24"/>
                <w:szCs w:val="24"/>
              </w:rPr>
              <w:t>.</w:t>
            </w:r>
            <w:r w:rsidR="00FE1C85">
              <w:rPr>
                <w:rFonts w:eastAsia="Arial" w:cs="Arial"/>
                <w:color w:val="000000" w:themeColor="text1"/>
                <w:sz w:val="24"/>
                <w:szCs w:val="24"/>
              </w:rPr>
              <w:t xml:space="preserve"> </w:t>
            </w:r>
          </w:p>
          <w:p w14:paraId="30359416" w14:textId="11A7416B" w:rsidR="001828CC" w:rsidRDefault="00822E29" w:rsidP="00BF1C9E">
            <w:pPr>
              <w:jc w:val="both"/>
              <w:rPr>
                <w:rFonts w:eastAsia="Arial" w:cs="Arial"/>
                <w:color w:val="000000" w:themeColor="text1"/>
                <w:sz w:val="24"/>
                <w:szCs w:val="24"/>
              </w:rPr>
            </w:pPr>
            <w:r w:rsidRPr="00822E29">
              <w:rPr>
                <w:rFonts w:eastAsia="Arial" w:cs="Arial"/>
                <w:color w:val="000000" w:themeColor="text1"/>
                <w:sz w:val="24"/>
                <w:szCs w:val="24"/>
              </w:rPr>
              <w:t>At The Open University, I provide detailed formative and summative feedback through ETMA, using Jupyter Notebooks where appropriate to offer interactive, example-based guidance that students can apply to subsequent TMAs (K4). This supports feedback literacy, helping students understand and use feedback to improve their work (Carless and Boud, 2018).</w:t>
            </w:r>
            <w:r>
              <w:rPr>
                <w:rFonts w:eastAsia="Arial" w:cs="Arial"/>
                <w:color w:val="000000" w:themeColor="text1"/>
                <w:sz w:val="24"/>
                <w:szCs w:val="24"/>
              </w:rPr>
              <w:t xml:space="preserve"> </w:t>
            </w:r>
            <w:r w:rsidR="006B46ED" w:rsidRPr="006B46ED">
              <w:rPr>
                <w:rFonts w:eastAsia="Arial" w:cs="Arial"/>
                <w:color w:val="000000" w:themeColor="text1"/>
                <w:sz w:val="24"/>
                <w:szCs w:val="24"/>
              </w:rPr>
              <w:t xml:space="preserve">My </w:t>
            </w:r>
            <w:r w:rsidR="00196AD9" w:rsidRPr="00196AD9">
              <w:rPr>
                <w:rFonts w:eastAsia="Arial" w:cs="Arial"/>
                <w:color w:val="000000" w:themeColor="text1"/>
                <w:sz w:val="24"/>
                <w:szCs w:val="24"/>
              </w:rPr>
              <w:t>involvement in moderation processes involves co-moderating a sample of colleagues’ marked scripts each presentation, comparing judgements against the marking scheme, and raising and resolving discrepancies directly with the marking tutor before grades are released, which helps maintain consistency and fairness in assessment (K5)</w:t>
            </w:r>
            <w:r w:rsidR="006B46ED" w:rsidRPr="006B46ED">
              <w:rPr>
                <w:rFonts w:eastAsia="Arial" w:cs="Arial"/>
                <w:color w:val="000000" w:themeColor="text1"/>
                <w:sz w:val="24"/>
                <w:szCs w:val="24"/>
              </w:rPr>
              <w:t xml:space="preserve">. Students frequently report that my feedback is clear, constructive, and supports their progress, contributing to good retention and completion rates within my tutorial groups. </w:t>
            </w:r>
          </w:p>
          <w:p w14:paraId="6DC86B96" w14:textId="77777777" w:rsidR="00BD1176" w:rsidRDefault="00BD1176" w:rsidP="00756A7F">
            <w:pPr>
              <w:rPr>
                <w:rFonts w:eastAsia="Arial" w:cs="Arial"/>
                <w:color w:val="000000" w:themeColor="text1"/>
                <w:sz w:val="24"/>
                <w:szCs w:val="24"/>
              </w:rPr>
            </w:pPr>
          </w:p>
          <w:p w14:paraId="1F3DFB8A" w14:textId="2D428191" w:rsidR="00BD1176" w:rsidRPr="00BD1176" w:rsidRDefault="00822E29" w:rsidP="00CB2B46">
            <w:pPr>
              <w:jc w:val="both"/>
              <w:rPr>
                <w:rFonts w:eastAsia="Arial" w:cs="Arial"/>
                <w:color w:val="000000" w:themeColor="text1"/>
                <w:sz w:val="24"/>
                <w:szCs w:val="24"/>
              </w:rPr>
            </w:pPr>
            <w:r w:rsidRPr="00822E29">
              <w:rPr>
                <w:rFonts w:eastAsia="Arial" w:cs="Arial"/>
                <w:color w:val="000000" w:themeColor="text1"/>
                <w:sz w:val="24"/>
                <w:szCs w:val="24"/>
              </w:rPr>
              <w:t>Supporting learners and colleagues is central to my work. At UWTSD, I act as a personal tutor, providing academic and pastoral support to diverse cohorts, including international and widening participation students (A4, K1, V1, V2). As Programme Manager, I lead pre-term induction and ongoing Term 1 sessions, supporting students’ transition into university study and integration into the learning community. This contributes to student confidence, engagement, and academic performance, as reflected in classroom interactions and student feedback</w:t>
            </w:r>
            <w:r w:rsidR="0055165A">
              <w:rPr>
                <w:rFonts w:eastAsia="Arial" w:cs="Arial"/>
                <w:color w:val="000000" w:themeColor="text1"/>
                <w:sz w:val="24"/>
                <w:szCs w:val="24"/>
              </w:rPr>
              <w:t xml:space="preserve"> (A4)</w:t>
            </w:r>
            <w:r w:rsidRPr="00822E29">
              <w:rPr>
                <w:rFonts w:eastAsia="Arial" w:cs="Arial"/>
                <w:color w:val="000000" w:themeColor="text1"/>
                <w:sz w:val="24"/>
                <w:szCs w:val="24"/>
              </w:rPr>
              <w:t>.</w:t>
            </w:r>
            <w:r>
              <w:rPr>
                <w:rFonts w:eastAsia="Arial" w:cs="Arial"/>
                <w:color w:val="000000" w:themeColor="text1"/>
                <w:sz w:val="24"/>
                <w:szCs w:val="24"/>
              </w:rPr>
              <w:t xml:space="preserve"> </w:t>
            </w:r>
            <w:r w:rsidR="003A69B6" w:rsidRPr="003A69B6">
              <w:rPr>
                <w:rFonts w:eastAsia="Arial" w:cs="Arial"/>
                <w:color w:val="000000" w:themeColor="text1"/>
                <w:sz w:val="24"/>
                <w:szCs w:val="24"/>
              </w:rPr>
              <w:t>This approach is informed by inclusive and culturally responsive tutoring, recognising that widening-participation and international students may require differentiated, needs-led pastoral and academic support, particularly where students are first-generation entrants or studying in a second language (</w:t>
            </w:r>
            <w:r w:rsidR="00C513B1" w:rsidRPr="00C513B1">
              <w:rPr>
                <w:rFonts w:eastAsia="Arial" w:cs="Arial"/>
                <w:color w:val="000000" w:themeColor="text1"/>
                <w:sz w:val="24"/>
                <w:szCs w:val="24"/>
              </w:rPr>
              <w:t xml:space="preserve">Stripe and </w:t>
            </w:r>
            <w:proofErr w:type="spellStart"/>
            <w:r w:rsidR="00C513B1" w:rsidRPr="00C513B1">
              <w:rPr>
                <w:rFonts w:eastAsia="Arial" w:cs="Arial"/>
                <w:color w:val="000000" w:themeColor="text1"/>
                <w:sz w:val="24"/>
                <w:szCs w:val="24"/>
              </w:rPr>
              <w:t>Ntonia</w:t>
            </w:r>
            <w:proofErr w:type="spellEnd"/>
            <w:r w:rsidR="00C513B1" w:rsidRPr="00C513B1">
              <w:rPr>
                <w:rFonts w:eastAsia="Arial" w:cs="Arial"/>
                <w:color w:val="000000" w:themeColor="text1"/>
                <w:sz w:val="24"/>
                <w:szCs w:val="24"/>
              </w:rPr>
              <w:t>, 2023</w:t>
            </w:r>
            <w:r w:rsidR="00C513B1">
              <w:rPr>
                <w:rFonts w:eastAsia="Arial" w:cs="Arial"/>
                <w:color w:val="000000" w:themeColor="text1"/>
                <w:sz w:val="24"/>
                <w:szCs w:val="24"/>
              </w:rPr>
              <w:t>)</w:t>
            </w:r>
            <w:r w:rsidR="003A69B6" w:rsidRPr="003A69B6">
              <w:rPr>
                <w:rFonts w:eastAsia="Arial" w:cs="Arial"/>
                <w:color w:val="000000" w:themeColor="text1"/>
                <w:sz w:val="24"/>
                <w:szCs w:val="24"/>
              </w:rPr>
              <w:t xml:space="preserve"> </w:t>
            </w:r>
            <w:r w:rsidR="00C513B1">
              <w:rPr>
                <w:rFonts w:eastAsia="Arial" w:cs="Arial"/>
                <w:color w:val="000000" w:themeColor="text1"/>
                <w:sz w:val="24"/>
                <w:szCs w:val="24"/>
              </w:rPr>
              <w:t>(</w:t>
            </w:r>
            <w:r w:rsidR="003A69B6" w:rsidRPr="003A69B6">
              <w:rPr>
                <w:rFonts w:eastAsia="Arial" w:cs="Arial"/>
                <w:color w:val="000000" w:themeColor="text1"/>
                <w:sz w:val="24"/>
                <w:szCs w:val="24"/>
              </w:rPr>
              <w:t xml:space="preserve">K2, V2). I shared this approach with personal tutors during induction planning meetings, encouraging proactive check-ins with under-represented students. Four colleagues subsequently adopted similar strategies and reported improved early engagement and response rates among at-risk tutees at the following personal tutor forum </w:t>
            </w:r>
            <w:r w:rsidR="00A14D3E" w:rsidRPr="00A14D3E">
              <w:rPr>
                <w:rFonts w:eastAsia="Arial" w:cs="Arial"/>
                <w:color w:val="000000" w:themeColor="text1"/>
                <w:sz w:val="24"/>
                <w:szCs w:val="24"/>
              </w:rPr>
              <w:t>(V5).</w:t>
            </w:r>
          </w:p>
          <w:p w14:paraId="27E7B2ED" w14:textId="77777777" w:rsidR="00BD1176" w:rsidRPr="00BD1176" w:rsidRDefault="00BD1176" w:rsidP="00BD1176">
            <w:pPr>
              <w:rPr>
                <w:rFonts w:eastAsia="Arial" w:cs="Arial"/>
                <w:color w:val="000000" w:themeColor="text1"/>
                <w:sz w:val="24"/>
                <w:szCs w:val="24"/>
              </w:rPr>
            </w:pPr>
          </w:p>
          <w:p w14:paraId="3CB17AA0" w14:textId="2126B6A4" w:rsidR="00BD1176" w:rsidRDefault="5D19CDBC" w:rsidP="00CB2B46">
            <w:pPr>
              <w:jc w:val="both"/>
              <w:rPr>
                <w:rFonts w:eastAsia="Arial" w:cs="Arial"/>
                <w:color w:val="000000" w:themeColor="text1"/>
                <w:sz w:val="24"/>
                <w:szCs w:val="24"/>
              </w:rPr>
            </w:pPr>
            <w:r w:rsidRPr="1F8D88A3">
              <w:rPr>
                <w:rFonts w:eastAsia="Arial" w:cs="Arial"/>
                <w:color w:val="000000" w:themeColor="text1"/>
                <w:sz w:val="24"/>
                <w:szCs w:val="24"/>
              </w:rPr>
              <w:t>In addition to supporting students, I share effective practices with colleagues, particularly around student engagement in online and hybrid environments (</w:t>
            </w:r>
            <w:r w:rsidR="00A14D3E">
              <w:rPr>
                <w:rFonts w:eastAsia="Arial" w:cs="Arial"/>
                <w:color w:val="000000" w:themeColor="text1"/>
                <w:sz w:val="24"/>
                <w:szCs w:val="24"/>
              </w:rPr>
              <w:t xml:space="preserve">K4, </w:t>
            </w:r>
            <w:r w:rsidRPr="1F8D88A3">
              <w:rPr>
                <w:rFonts w:eastAsia="Arial" w:cs="Arial"/>
                <w:color w:val="000000" w:themeColor="text1"/>
                <w:sz w:val="24"/>
                <w:szCs w:val="24"/>
              </w:rPr>
              <w:t xml:space="preserve">V5). </w:t>
            </w:r>
            <w:r w:rsidR="00CC62AB" w:rsidRPr="00CC62AB">
              <w:rPr>
                <w:rFonts w:eastAsia="Arial" w:cs="Arial"/>
                <w:color w:val="000000" w:themeColor="text1"/>
                <w:sz w:val="24"/>
                <w:szCs w:val="24"/>
              </w:rPr>
              <w:t>For example, I have contributed to team discussions and informal staff development conversations on enhancing communication and interaction within the Moodle VLE, sharing practical strategies for using collaborative tools to support active learning, including structured pair programming activities and interactive task design</w:t>
            </w:r>
            <w:r w:rsidR="00936D37" w:rsidRPr="00936D37">
              <w:rPr>
                <w:rFonts w:eastAsia="Arial" w:cs="Arial"/>
                <w:color w:val="000000" w:themeColor="text1"/>
                <w:sz w:val="24"/>
                <w:szCs w:val="24"/>
              </w:rPr>
              <w:t xml:space="preserve">, </w:t>
            </w:r>
            <w:r w:rsidR="00123B01">
              <w:rPr>
                <w:rFonts w:eastAsia="Arial" w:cs="Arial"/>
                <w:color w:val="000000" w:themeColor="text1"/>
                <w:sz w:val="24"/>
                <w:szCs w:val="24"/>
              </w:rPr>
              <w:t>based</w:t>
            </w:r>
            <w:r w:rsidR="002260C6">
              <w:rPr>
                <w:rFonts w:eastAsia="Arial" w:cs="Arial"/>
                <w:color w:val="000000" w:themeColor="text1"/>
                <w:sz w:val="24"/>
                <w:szCs w:val="24"/>
              </w:rPr>
              <w:t xml:space="preserve"> </w:t>
            </w:r>
            <w:r w:rsidR="00936D37" w:rsidRPr="00936D37">
              <w:rPr>
                <w:rFonts w:eastAsia="Arial" w:cs="Arial"/>
                <w:color w:val="000000" w:themeColor="text1"/>
                <w:sz w:val="24"/>
                <w:szCs w:val="24"/>
              </w:rPr>
              <w:t xml:space="preserve">on the Community of Inquiry </w:t>
            </w:r>
            <w:r w:rsidR="00123B01" w:rsidRPr="00936D37">
              <w:rPr>
                <w:rFonts w:eastAsia="Arial" w:cs="Arial"/>
                <w:color w:val="000000" w:themeColor="text1"/>
                <w:sz w:val="24"/>
                <w:szCs w:val="24"/>
              </w:rPr>
              <w:t>context</w:t>
            </w:r>
            <w:r w:rsidR="00936D37" w:rsidRPr="00936D37">
              <w:rPr>
                <w:rFonts w:eastAsia="Arial" w:cs="Arial"/>
                <w:color w:val="000000" w:themeColor="text1"/>
                <w:sz w:val="24"/>
                <w:szCs w:val="24"/>
              </w:rPr>
              <w:t xml:space="preserve">, </w:t>
            </w:r>
            <w:r w:rsidR="00123B01">
              <w:rPr>
                <w:rFonts w:eastAsia="Arial" w:cs="Arial"/>
                <w:color w:val="000000" w:themeColor="text1"/>
                <w:sz w:val="24"/>
                <w:szCs w:val="24"/>
              </w:rPr>
              <w:t>that</w:t>
            </w:r>
            <w:r w:rsidR="00936D37" w:rsidRPr="00936D37">
              <w:rPr>
                <w:rFonts w:eastAsia="Arial" w:cs="Arial"/>
                <w:color w:val="000000" w:themeColor="text1"/>
                <w:sz w:val="24"/>
                <w:szCs w:val="24"/>
              </w:rPr>
              <w:t xml:space="preserve"> </w:t>
            </w:r>
            <w:r w:rsidR="00123B01">
              <w:rPr>
                <w:rFonts w:eastAsia="Arial" w:cs="Arial"/>
                <w:color w:val="000000" w:themeColor="text1"/>
                <w:sz w:val="24"/>
                <w:szCs w:val="24"/>
              </w:rPr>
              <w:t>recognises</w:t>
            </w:r>
            <w:r w:rsidR="00936D37" w:rsidRPr="00936D37">
              <w:rPr>
                <w:rFonts w:eastAsia="Arial" w:cs="Arial"/>
                <w:color w:val="000000" w:themeColor="text1"/>
                <w:sz w:val="24"/>
                <w:szCs w:val="24"/>
              </w:rPr>
              <w:t xml:space="preserve"> social, cognitive and teaching presence as jointly necessary for </w:t>
            </w:r>
            <w:r w:rsidR="002260C6">
              <w:rPr>
                <w:rFonts w:eastAsia="Arial" w:cs="Arial"/>
                <w:color w:val="000000" w:themeColor="text1"/>
                <w:sz w:val="24"/>
                <w:szCs w:val="24"/>
              </w:rPr>
              <w:t xml:space="preserve">an </w:t>
            </w:r>
            <w:r w:rsidR="00936D37" w:rsidRPr="00936D37">
              <w:rPr>
                <w:rFonts w:eastAsia="Arial" w:cs="Arial"/>
                <w:color w:val="000000" w:themeColor="text1"/>
                <w:sz w:val="24"/>
                <w:szCs w:val="24"/>
              </w:rPr>
              <w:t xml:space="preserve">effective online learning (Garrison, Anderson and Archer, 2000). </w:t>
            </w:r>
            <w:r w:rsidR="00E262E9">
              <w:rPr>
                <w:rFonts w:eastAsia="Arial" w:cs="Arial"/>
                <w:color w:val="000000" w:themeColor="text1"/>
                <w:sz w:val="24"/>
                <w:szCs w:val="24"/>
              </w:rPr>
              <w:t xml:space="preserve"> </w:t>
            </w:r>
            <w:r w:rsidR="00043C07" w:rsidRPr="00043C07">
              <w:rPr>
                <w:rFonts w:eastAsia="Arial" w:cs="Arial"/>
                <w:color w:val="000000" w:themeColor="text1"/>
                <w:sz w:val="24"/>
                <w:szCs w:val="24"/>
              </w:rPr>
              <w:t>This impact was evidenced through colleagues adopting and adapting these approaches in their own modules, with follow-up discussions, shared teaching practices, and team feedback highlighting improved student participation, peer interaction, engagement, and communication in online sessions.</w:t>
            </w:r>
          </w:p>
          <w:p w14:paraId="43753588" w14:textId="77777777" w:rsidR="00512606" w:rsidRDefault="00512606" w:rsidP="00BD1176">
            <w:pPr>
              <w:rPr>
                <w:rFonts w:eastAsia="Arial" w:cs="Arial"/>
                <w:color w:val="000000" w:themeColor="text1"/>
                <w:sz w:val="24"/>
                <w:szCs w:val="24"/>
              </w:rPr>
            </w:pPr>
          </w:p>
          <w:p w14:paraId="09AC3656" w14:textId="49F5AABB" w:rsidR="00CD7AFE" w:rsidRPr="00CD7AFE" w:rsidRDefault="00CD7AFE" w:rsidP="00CB2B46">
            <w:pPr>
              <w:jc w:val="both"/>
              <w:rPr>
                <w:rFonts w:eastAsia="Arial" w:cs="Arial"/>
                <w:color w:val="000000" w:themeColor="text1"/>
                <w:sz w:val="24"/>
                <w:szCs w:val="24"/>
              </w:rPr>
            </w:pPr>
            <w:r w:rsidRPr="00CD7AFE">
              <w:rPr>
                <w:rFonts w:eastAsia="Arial" w:cs="Arial"/>
                <w:color w:val="000000" w:themeColor="text1"/>
                <w:sz w:val="24"/>
                <w:szCs w:val="24"/>
              </w:rPr>
              <w:t xml:space="preserve">My practice extends beyond direct teaching through programme management, quality assurance, </w:t>
            </w:r>
            <w:r w:rsidR="00822E29" w:rsidRPr="00822E29">
              <w:rPr>
                <w:rFonts w:eastAsia="Arial" w:cs="Arial"/>
                <w:color w:val="000000" w:themeColor="text1"/>
                <w:sz w:val="24"/>
                <w:szCs w:val="24"/>
              </w:rPr>
              <w:t>and institutional processes (A5, K5). At the University of Wales Trinity Saint David, I contribute to programme boards, staff–student committees, and institutional forums. As Programme Manager, I have formal responsibility for annual programme monitoring and enhancement, including reviewing External Examiner and student feedback, agreeing action plans with module teams, and approving curriculum and assessment amendments for institutional consideration. Through these roles, I contribute directly to decisions shaping curriculum design, assessment strategies, and the student learning experience, with agreed changes implemented across the teaching team.</w:t>
            </w:r>
          </w:p>
          <w:p w14:paraId="2EAD44D4" w14:textId="77777777" w:rsidR="00CD7AFE" w:rsidRPr="00CD7AFE" w:rsidRDefault="00CD7AFE" w:rsidP="00CD7AFE">
            <w:pPr>
              <w:rPr>
                <w:rFonts w:eastAsia="Arial" w:cs="Arial"/>
                <w:color w:val="000000" w:themeColor="text1"/>
                <w:sz w:val="24"/>
                <w:szCs w:val="24"/>
              </w:rPr>
            </w:pPr>
          </w:p>
          <w:p w14:paraId="48364CB6" w14:textId="4BD305EC" w:rsidR="00CD7AFE" w:rsidRPr="00CD7AFE" w:rsidRDefault="00CD7AFE" w:rsidP="00CB2B46">
            <w:pPr>
              <w:jc w:val="both"/>
              <w:rPr>
                <w:rFonts w:eastAsia="Arial" w:cs="Arial"/>
                <w:color w:val="000000" w:themeColor="text1"/>
                <w:sz w:val="24"/>
                <w:szCs w:val="24"/>
              </w:rPr>
            </w:pPr>
            <w:r w:rsidRPr="00CD7AFE">
              <w:rPr>
                <w:rFonts w:eastAsia="Arial" w:cs="Arial"/>
                <w:color w:val="000000" w:themeColor="text1"/>
                <w:sz w:val="24"/>
                <w:szCs w:val="24"/>
              </w:rPr>
              <w:t xml:space="preserve">My input has supported colleagues in reviewing and revising module content and assessment approaches in response to student feedback and programme evaluation data, leading to more consistent approaches to assessment design and improved responsiveness to student needs across teaching teams. </w:t>
            </w:r>
            <w:r w:rsidR="00936D37" w:rsidRPr="00936D37">
              <w:rPr>
                <w:rFonts w:eastAsia="Arial" w:cs="Arial"/>
                <w:color w:val="000000" w:themeColor="text1"/>
                <w:sz w:val="24"/>
                <w:szCs w:val="24"/>
              </w:rPr>
              <w:t>Concretely, following the most recent annual monitoring cycle, three module leaders amended their assessment briefs in line with actions I had agreed with them at programme board, and a shared assessment-mapping document I introduced is now used by the whole team to check that assessment load and timing are balanced across the programme</w:t>
            </w:r>
            <w:r w:rsidR="00936D37">
              <w:rPr>
                <w:rFonts w:eastAsia="Arial" w:cs="Arial"/>
                <w:color w:val="000000" w:themeColor="text1"/>
                <w:sz w:val="24"/>
                <w:szCs w:val="24"/>
              </w:rPr>
              <w:t xml:space="preserve">. </w:t>
            </w:r>
            <w:r w:rsidRPr="00CD7AFE">
              <w:rPr>
                <w:rFonts w:eastAsia="Arial" w:cs="Arial"/>
                <w:color w:val="000000" w:themeColor="text1"/>
                <w:sz w:val="24"/>
                <w:szCs w:val="24"/>
              </w:rPr>
              <w:t xml:space="preserve">I also organise SEEF activities, including inviting industry guest speakers to share current professional practice. These sessions have influenced colleagues’ teaching by encouraging greater integration of industry perspectives into curriculum delivery and assessment contexts, </w:t>
            </w:r>
            <w:r w:rsidR="00936D37" w:rsidRPr="00936D37">
              <w:rPr>
                <w:rFonts w:eastAsia="Arial" w:cs="Arial"/>
                <w:color w:val="000000" w:themeColor="text1"/>
                <w:sz w:val="24"/>
                <w:szCs w:val="24"/>
              </w:rPr>
              <w:t>for example prompting two colleagues to redesign coursework briefs around case studies drawn from the guest speakers’ organisations</w:t>
            </w:r>
            <w:r w:rsidRPr="00CD7AFE">
              <w:rPr>
                <w:rFonts w:eastAsia="Arial" w:cs="Arial"/>
                <w:color w:val="000000" w:themeColor="text1"/>
                <w:sz w:val="24"/>
                <w:szCs w:val="24"/>
              </w:rPr>
              <w:t>.</w:t>
            </w:r>
          </w:p>
          <w:p w14:paraId="6629B7D5" w14:textId="77777777" w:rsidR="00CD7AFE" w:rsidRPr="00CD7AFE" w:rsidRDefault="00CD7AFE" w:rsidP="00CD7AFE">
            <w:pPr>
              <w:rPr>
                <w:rFonts w:eastAsia="Arial" w:cs="Arial"/>
                <w:color w:val="000000" w:themeColor="text1"/>
                <w:sz w:val="24"/>
                <w:szCs w:val="24"/>
              </w:rPr>
            </w:pPr>
          </w:p>
          <w:p w14:paraId="697E5EC9" w14:textId="5C5409B3" w:rsidR="00CD7AFE" w:rsidRPr="00CD7AFE" w:rsidRDefault="00CD7AFE" w:rsidP="00CB2B46">
            <w:pPr>
              <w:jc w:val="both"/>
              <w:rPr>
                <w:rFonts w:eastAsia="Arial" w:cs="Arial"/>
                <w:color w:val="000000" w:themeColor="text1"/>
                <w:sz w:val="24"/>
                <w:szCs w:val="24"/>
              </w:rPr>
            </w:pPr>
            <w:r w:rsidRPr="00CD7AFE">
              <w:rPr>
                <w:rFonts w:eastAsia="Arial" w:cs="Arial"/>
                <w:color w:val="000000" w:themeColor="text1"/>
                <w:sz w:val="24"/>
                <w:szCs w:val="24"/>
              </w:rPr>
              <w:t xml:space="preserve">In addition, I have embedded hands-on block-based programming activities at Level 4 to support </w:t>
            </w:r>
            <w:proofErr w:type="spellStart"/>
            <w:r w:rsidRPr="00CD7AFE">
              <w:rPr>
                <w:rFonts w:eastAsia="Arial" w:cs="Arial"/>
                <w:color w:val="000000" w:themeColor="text1"/>
                <w:sz w:val="24"/>
                <w:szCs w:val="24"/>
              </w:rPr>
              <w:t>CertHE</w:t>
            </w:r>
            <w:proofErr w:type="spellEnd"/>
            <w:r w:rsidRPr="00CD7AFE">
              <w:rPr>
                <w:rFonts w:eastAsia="Arial" w:cs="Arial"/>
                <w:color w:val="000000" w:themeColor="text1"/>
                <w:sz w:val="24"/>
                <w:szCs w:val="24"/>
              </w:rPr>
              <w:t xml:space="preserve"> Computing students with mixed prior experience in developing foundational programming concepts.</w:t>
            </w:r>
            <w:r w:rsidR="00A14D3E">
              <w:rPr>
                <w:rFonts w:eastAsia="Arial" w:cs="Arial"/>
                <w:color w:val="000000" w:themeColor="text1"/>
                <w:sz w:val="24"/>
                <w:szCs w:val="24"/>
              </w:rPr>
              <w:t xml:space="preserve"> </w:t>
            </w:r>
            <w:r w:rsidR="00A14D3E" w:rsidRPr="00A14D3E">
              <w:rPr>
                <w:rFonts w:eastAsia="Arial" w:cs="Arial"/>
                <w:color w:val="000000" w:themeColor="text1"/>
                <w:sz w:val="24"/>
                <w:szCs w:val="24"/>
              </w:rPr>
              <w:t xml:space="preserve">This </w:t>
            </w:r>
            <w:r w:rsidR="00F956D3" w:rsidRPr="00F956D3">
              <w:rPr>
                <w:rFonts w:eastAsia="Arial" w:cs="Arial"/>
                <w:color w:val="000000" w:themeColor="text1"/>
                <w:sz w:val="24"/>
                <w:szCs w:val="24"/>
              </w:rPr>
              <w:t>inclusive design reduces reliance on unfamiliar English-language syntax and terminology that can disadvantage students with no prior coding background or those studying in a second language, using visual block manipulation and worked examples of increasing complexity so that it responds directly to the mixed prior attainment and varied educational backgrounds typical of our widening-participation Level 4 cohort, ensuring that students without prior coding experience are not disadvantaged relative to peers with a computing background</w:t>
            </w:r>
            <w:r w:rsidR="00A14D3E" w:rsidRPr="00A14D3E">
              <w:rPr>
                <w:rFonts w:eastAsia="Arial" w:cs="Arial"/>
                <w:color w:val="000000" w:themeColor="text1"/>
                <w:sz w:val="24"/>
                <w:szCs w:val="24"/>
              </w:rPr>
              <w:t xml:space="preserve"> </w:t>
            </w:r>
            <w:r w:rsidR="00C513B1" w:rsidRPr="00C513B1">
              <w:rPr>
                <w:rFonts w:eastAsia="Arial" w:cs="Arial"/>
                <w:color w:val="000000" w:themeColor="text1"/>
                <w:sz w:val="24"/>
                <w:szCs w:val="24"/>
              </w:rPr>
              <w:t xml:space="preserve">(Stripe and </w:t>
            </w:r>
            <w:proofErr w:type="spellStart"/>
            <w:r w:rsidR="00C513B1" w:rsidRPr="00C513B1">
              <w:rPr>
                <w:rFonts w:eastAsia="Arial" w:cs="Arial"/>
                <w:color w:val="000000" w:themeColor="text1"/>
                <w:sz w:val="24"/>
                <w:szCs w:val="24"/>
              </w:rPr>
              <w:t>Ntonia</w:t>
            </w:r>
            <w:proofErr w:type="spellEnd"/>
            <w:r w:rsidR="00C513B1" w:rsidRPr="00C513B1">
              <w:rPr>
                <w:rFonts w:eastAsia="Arial" w:cs="Arial"/>
                <w:color w:val="000000" w:themeColor="text1"/>
                <w:sz w:val="24"/>
                <w:szCs w:val="24"/>
              </w:rPr>
              <w:t>, 2023)</w:t>
            </w:r>
            <w:r w:rsidR="00C513B1">
              <w:rPr>
                <w:rFonts w:eastAsia="Arial" w:cs="Arial"/>
                <w:color w:val="000000" w:themeColor="text1"/>
                <w:sz w:val="24"/>
                <w:szCs w:val="24"/>
              </w:rPr>
              <w:t xml:space="preserve"> (</w:t>
            </w:r>
            <w:r w:rsidR="00A14D3E" w:rsidRPr="00A14D3E">
              <w:rPr>
                <w:rFonts w:eastAsia="Arial" w:cs="Arial"/>
                <w:color w:val="000000" w:themeColor="text1"/>
                <w:sz w:val="24"/>
                <w:szCs w:val="24"/>
              </w:rPr>
              <w:t>K2, V2).</w:t>
            </w:r>
            <w:r w:rsidRPr="00CD7AFE">
              <w:rPr>
                <w:rFonts w:eastAsia="Arial" w:cs="Arial"/>
                <w:color w:val="000000" w:themeColor="text1"/>
                <w:sz w:val="24"/>
                <w:szCs w:val="24"/>
              </w:rPr>
              <w:t xml:space="preserve"> This approach is informed by computing education research indicating that block-based environments improve novice learners’ conceptual understanding, engagement, and problem-solving ability, while also supporting progression to text-based programming at higher levels through reduced cognitive load and stronger conceptual grounding (</w:t>
            </w:r>
            <w:r w:rsidR="00912655" w:rsidRPr="00912655">
              <w:rPr>
                <w:rFonts w:eastAsia="Arial" w:cs="Arial"/>
                <w:color w:val="000000" w:themeColor="text1"/>
                <w:sz w:val="24"/>
                <w:szCs w:val="24"/>
              </w:rPr>
              <w:t>Sun, Looi, Li, Zhu, Zhu and Cheng, 2024</w:t>
            </w:r>
            <w:r w:rsidR="00014A64">
              <w:rPr>
                <w:rFonts w:eastAsia="Arial" w:cs="Arial"/>
                <w:color w:val="000000" w:themeColor="text1"/>
                <w:sz w:val="24"/>
                <w:szCs w:val="24"/>
              </w:rPr>
              <w:t xml:space="preserve"> </w:t>
            </w:r>
            <w:r w:rsidR="0090444E" w:rsidRPr="0090444E">
              <w:rPr>
                <w:rFonts w:eastAsia="Arial" w:cs="Arial"/>
                <w:color w:val="000000" w:themeColor="text1"/>
                <w:sz w:val="24"/>
                <w:szCs w:val="24"/>
              </w:rPr>
              <w:t>; Grover and Pea, 2013</w:t>
            </w:r>
            <w:r w:rsidRPr="00CD7AFE">
              <w:rPr>
                <w:rFonts w:eastAsia="Arial" w:cs="Arial"/>
                <w:color w:val="000000" w:themeColor="text1"/>
                <w:sz w:val="24"/>
                <w:szCs w:val="24"/>
              </w:rPr>
              <w:t xml:space="preserve">). </w:t>
            </w:r>
            <w:r w:rsidR="00F956D3" w:rsidRPr="00F956D3">
              <w:rPr>
                <w:rFonts w:eastAsia="Arial" w:cs="Arial"/>
                <w:color w:val="000000" w:themeColor="text1"/>
                <w:sz w:val="24"/>
                <w:szCs w:val="24"/>
              </w:rPr>
              <w:t xml:space="preserve">As Module Leader, I proposed this redesign to the module team and led its adoption; the resulting curriculum design decisions were aimed at strengthening progression from introductory programming to more </w:t>
            </w:r>
            <w:r w:rsidRPr="00CD7AFE">
              <w:rPr>
                <w:rFonts w:eastAsia="Arial" w:cs="Arial"/>
                <w:color w:val="000000" w:themeColor="text1"/>
                <w:sz w:val="24"/>
                <w:szCs w:val="24"/>
              </w:rPr>
              <w:t>advanced modules at Levels 5 and 6.</w:t>
            </w:r>
          </w:p>
          <w:p w14:paraId="30074140" w14:textId="77777777" w:rsidR="00CD7AFE" w:rsidRPr="00CD7AFE" w:rsidRDefault="00CD7AFE" w:rsidP="00CD7AFE">
            <w:pPr>
              <w:rPr>
                <w:rFonts w:eastAsia="Arial" w:cs="Arial"/>
                <w:color w:val="000000" w:themeColor="text1"/>
                <w:sz w:val="24"/>
                <w:szCs w:val="24"/>
              </w:rPr>
            </w:pPr>
          </w:p>
          <w:p w14:paraId="57980F6C" w14:textId="42314147" w:rsidR="00CD7AFE" w:rsidRDefault="00361D07" w:rsidP="006257C5">
            <w:pPr>
              <w:jc w:val="both"/>
              <w:rPr>
                <w:rFonts w:eastAsia="Arial" w:cs="Arial"/>
                <w:color w:val="000000" w:themeColor="text1"/>
                <w:sz w:val="24"/>
                <w:szCs w:val="24"/>
              </w:rPr>
            </w:pPr>
            <w:r w:rsidRPr="00361D07">
              <w:rPr>
                <w:rFonts w:eastAsia="Arial" w:cs="Arial"/>
                <w:color w:val="000000" w:themeColor="text1"/>
                <w:sz w:val="24"/>
                <w:szCs w:val="24"/>
              </w:rPr>
              <w:t>The Learning and Teaching Board has formally recognised this block-based programming work as an example of effective learning and teaching practice at UWTSD</w:t>
            </w:r>
            <w:r w:rsidR="00F956D3">
              <w:rPr>
                <w:rFonts w:eastAsia="Arial" w:cs="Arial"/>
                <w:color w:val="000000" w:themeColor="text1"/>
                <w:sz w:val="24"/>
                <w:szCs w:val="24"/>
              </w:rPr>
              <w:t xml:space="preserve"> </w:t>
            </w:r>
            <w:r w:rsidR="00F956D3" w:rsidRPr="00F956D3">
              <w:rPr>
                <w:rFonts w:eastAsia="Arial" w:cs="Arial"/>
                <w:color w:val="000000" w:themeColor="text1"/>
                <w:sz w:val="24"/>
                <w:szCs w:val="24"/>
              </w:rPr>
              <w:t>selecting it from among the department’s submissions as a model for wider dissemination</w:t>
            </w:r>
            <w:r w:rsidRPr="00361D07">
              <w:rPr>
                <w:rFonts w:eastAsia="Arial" w:cs="Arial"/>
                <w:color w:val="000000" w:themeColor="text1"/>
                <w:sz w:val="24"/>
                <w:szCs w:val="24"/>
              </w:rPr>
              <w:t xml:space="preserve">. </w:t>
            </w:r>
            <w:r w:rsidR="00822E29" w:rsidRPr="00822E29">
              <w:rPr>
                <w:rFonts w:eastAsia="Arial" w:cs="Arial"/>
                <w:color w:val="000000" w:themeColor="text1"/>
                <w:sz w:val="24"/>
                <w:szCs w:val="24"/>
              </w:rPr>
              <w:t>Following this recognition, I shared the approach and its rationale with colleagues within and beyond Computing through team meetings and informal discussions, encouraging the adaptation of active, applied programming activities across their own modules.</w:t>
            </w:r>
            <w:r w:rsidR="00822E29">
              <w:rPr>
                <w:rFonts w:eastAsia="Arial" w:cs="Arial"/>
                <w:color w:val="000000" w:themeColor="text1"/>
                <w:sz w:val="24"/>
                <w:szCs w:val="24"/>
              </w:rPr>
              <w:t xml:space="preserve"> </w:t>
            </w:r>
            <w:r w:rsidR="00F956D3" w:rsidRPr="00F956D3">
              <w:rPr>
                <w:rFonts w:eastAsia="Arial" w:cs="Arial"/>
                <w:color w:val="000000" w:themeColor="text1"/>
                <w:sz w:val="24"/>
                <w:szCs w:val="24"/>
              </w:rPr>
              <w:t xml:space="preserve">Two colleagues have since trialled similar approaches in their teaching: one has introduced block-based warm-up exercises into a Level 4 programming module, and the other has adapted the worked-example structure for a non-computing digital skills module, and the work has contributed to broader departmental discussions on curriculum design for students with mixed prior experience, informing an emerging department-level position that Level 4 modules should build in a low-stakes, visual entry point before moving to text-based tools. </w:t>
            </w:r>
            <w:r w:rsidR="00043C07" w:rsidRPr="00043C07">
              <w:rPr>
                <w:rFonts w:eastAsia="Arial" w:cs="Arial"/>
                <w:color w:val="000000" w:themeColor="text1"/>
                <w:sz w:val="24"/>
                <w:szCs w:val="24"/>
              </w:rPr>
              <w:t>As evidence of institutional recognition, I delivered ‘From LEGO to Logic: Preparing Computing Students for Programming Success’ at the UWTSD Celebration and Showcase of Practice 2026 (NEXUS), demonstrating how hands-on LEGO activities develop computational thinking and programming skills. The session attracted colleagues across three campuses and multiple disciplines, and I was subsequently invited to deliver a condensed version to the Birmingham module team, demonstrating its reach and influence beyond my own institute (A5, V3, V5).</w:t>
            </w:r>
          </w:p>
          <w:p w14:paraId="2A669ED3" w14:textId="77777777" w:rsidR="00361D07" w:rsidRPr="00CD7AFE" w:rsidRDefault="00361D07" w:rsidP="00CD7AFE">
            <w:pPr>
              <w:rPr>
                <w:rFonts w:eastAsia="Arial" w:cs="Arial"/>
                <w:color w:val="000000" w:themeColor="text1"/>
                <w:sz w:val="24"/>
                <w:szCs w:val="24"/>
              </w:rPr>
            </w:pPr>
          </w:p>
          <w:p w14:paraId="6C3DEF25" w14:textId="6642E0B3" w:rsidR="00512606" w:rsidRDefault="00512606" w:rsidP="00A070E9">
            <w:pPr>
              <w:jc w:val="both"/>
              <w:rPr>
                <w:rFonts w:eastAsia="Arial" w:cs="Arial"/>
                <w:color w:val="000000" w:themeColor="text1"/>
                <w:sz w:val="24"/>
                <w:szCs w:val="24"/>
              </w:rPr>
            </w:pPr>
            <w:r w:rsidRPr="00512606">
              <w:rPr>
                <w:rFonts w:eastAsia="Arial" w:cs="Arial"/>
                <w:color w:val="000000" w:themeColor="text1"/>
                <w:sz w:val="24"/>
                <w:szCs w:val="24"/>
              </w:rPr>
              <w:t xml:space="preserve">At Swansea University, my involvement in the </w:t>
            </w:r>
            <w:proofErr w:type="spellStart"/>
            <w:r w:rsidRPr="00512606">
              <w:rPr>
                <w:rFonts w:eastAsia="Arial" w:cs="Arial"/>
                <w:color w:val="000000" w:themeColor="text1"/>
                <w:sz w:val="24"/>
                <w:szCs w:val="24"/>
              </w:rPr>
              <w:t>Technocamps</w:t>
            </w:r>
            <w:proofErr w:type="spellEnd"/>
            <w:r w:rsidRPr="00512606">
              <w:rPr>
                <w:rFonts w:eastAsia="Arial" w:cs="Arial"/>
                <w:color w:val="000000" w:themeColor="text1"/>
                <w:sz w:val="24"/>
                <w:szCs w:val="24"/>
              </w:rPr>
              <w:t xml:space="preserve"> initiative extended my work beyond the university, engaging with schools, teachers, and industry stakeholders to promote computing education (V4). This contributed to raising awareness of computing among school students and developing links with external </w:t>
            </w:r>
            <w:r w:rsidR="00F956D3" w:rsidRPr="00512606">
              <w:rPr>
                <w:rFonts w:eastAsia="Arial" w:cs="Arial"/>
                <w:color w:val="000000" w:themeColor="text1"/>
                <w:sz w:val="24"/>
                <w:szCs w:val="24"/>
              </w:rPr>
              <w:t>partners</w:t>
            </w:r>
            <w:r w:rsidR="00F956D3">
              <w:rPr>
                <w:rFonts w:eastAsia="Arial" w:cs="Arial"/>
                <w:color w:val="000000" w:themeColor="text1"/>
                <w:sz w:val="24"/>
                <w:szCs w:val="24"/>
              </w:rPr>
              <w:t>,</w:t>
            </w:r>
            <w:r w:rsidR="00F956D3" w:rsidRPr="00F956D3">
              <w:rPr>
                <w:rFonts w:eastAsia="Arial" w:cs="Arial"/>
                <w:color w:val="000000" w:themeColor="text1"/>
                <w:sz w:val="24"/>
                <w:szCs w:val="24"/>
              </w:rPr>
              <w:t xml:space="preserve"> and the outreach resources and session plans I helped develop were subsequently reused by other </w:t>
            </w:r>
            <w:proofErr w:type="spellStart"/>
            <w:r w:rsidR="00F956D3" w:rsidRPr="00F956D3">
              <w:rPr>
                <w:rFonts w:eastAsia="Arial" w:cs="Arial"/>
                <w:color w:val="000000" w:themeColor="text1"/>
                <w:sz w:val="24"/>
                <w:szCs w:val="24"/>
              </w:rPr>
              <w:t>Technocamps</w:t>
            </w:r>
            <w:proofErr w:type="spellEnd"/>
            <w:r w:rsidR="00F956D3" w:rsidRPr="00F956D3">
              <w:rPr>
                <w:rFonts w:eastAsia="Arial" w:cs="Arial"/>
                <w:color w:val="000000" w:themeColor="text1"/>
                <w:sz w:val="24"/>
                <w:szCs w:val="24"/>
              </w:rPr>
              <w:t>-affiliated tutors for follow-on school visits, extending their reach beyond the sessions I delivered personally</w:t>
            </w:r>
            <w:r w:rsidRPr="00512606">
              <w:rPr>
                <w:rFonts w:eastAsia="Arial" w:cs="Arial"/>
                <w:color w:val="000000" w:themeColor="text1"/>
                <w:sz w:val="24"/>
                <w:szCs w:val="24"/>
              </w:rPr>
              <w:t xml:space="preserve">. In addition, my participation in professional development activities, such as Open University </w:t>
            </w:r>
            <w:proofErr w:type="spellStart"/>
            <w:r w:rsidRPr="00512606">
              <w:rPr>
                <w:rFonts w:eastAsia="Arial" w:cs="Arial"/>
                <w:color w:val="000000" w:themeColor="text1"/>
                <w:sz w:val="24"/>
                <w:szCs w:val="24"/>
              </w:rPr>
              <w:t>eSTEeM</w:t>
            </w:r>
            <w:proofErr w:type="spellEnd"/>
            <w:r w:rsidRPr="00512606">
              <w:rPr>
                <w:rFonts w:eastAsia="Arial" w:cs="Arial"/>
                <w:color w:val="000000" w:themeColor="text1"/>
                <w:sz w:val="24"/>
                <w:szCs w:val="24"/>
              </w:rPr>
              <w:t xml:space="preserve"> Conference, enables me to engage with current scholarship and practice, which I apply in my own teaching and share with colleagues</w:t>
            </w:r>
            <w:r w:rsidR="00F956D3">
              <w:rPr>
                <w:rFonts w:eastAsia="Arial" w:cs="Arial"/>
                <w:color w:val="000000" w:themeColor="text1"/>
                <w:sz w:val="24"/>
                <w:szCs w:val="24"/>
              </w:rPr>
              <w:t xml:space="preserve"> </w:t>
            </w:r>
            <w:r w:rsidR="00F956D3" w:rsidRPr="00F956D3">
              <w:rPr>
                <w:rFonts w:eastAsia="Arial" w:cs="Arial"/>
                <w:color w:val="000000" w:themeColor="text1"/>
                <w:sz w:val="24"/>
                <w:szCs w:val="24"/>
              </w:rPr>
              <w:t xml:space="preserve">through debrief discussions at module team meetings; following one such conference, a colleague on my team adopted a formative-quiz approach I had brought back and shared </w:t>
            </w:r>
            <w:r w:rsidRPr="00512606">
              <w:rPr>
                <w:rFonts w:eastAsia="Arial" w:cs="Arial"/>
                <w:color w:val="000000" w:themeColor="text1"/>
                <w:sz w:val="24"/>
                <w:szCs w:val="24"/>
              </w:rPr>
              <w:t xml:space="preserve"> (A5, V3).</w:t>
            </w:r>
          </w:p>
          <w:p w14:paraId="0C4CFAE2" w14:textId="77777777" w:rsidR="00FD09D3" w:rsidRDefault="00FD09D3" w:rsidP="00512606">
            <w:pPr>
              <w:rPr>
                <w:rFonts w:eastAsia="Arial" w:cs="Arial"/>
                <w:color w:val="000000" w:themeColor="text1"/>
                <w:sz w:val="24"/>
                <w:szCs w:val="24"/>
              </w:rPr>
            </w:pPr>
          </w:p>
          <w:p w14:paraId="2572EC48" w14:textId="6C88EFBE" w:rsidR="00FD09D3" w:rsidRDefault="00547F57" w:rsidP="00A070E9">
            <w:pPr>
              <w:jc w:val="both"/>
              <w:rPr>
                <w:rFonts w:eastAsia="Arial" w:cs="Arial"/>
                <w:color w:val="000000" w:themeColor="text1"/>
                <w:sz w:val="24"/>
                <w:szCs w:val="24"/>
              </w:rPr>
            </w:pPr>
            <w:r w:rsidRPr="00547F57">
              <w:rPr>
                <w:rFonts w:eastAsia="Arial" w:cs="Arial"/>
                <w:color w:val="000000" w:themeColor="text1"/>
                <w:sz w:val="24"/>
                <w:szCs w:val="24"/>
              </w:rPr>
              <w:t>I</w:t>
            </w:r>
            <w:r w:rsidR="006C654F" w:rsidRPr="006C654F">
              <w:rPr>
                <w:rFonts w:eastAsia="Arial" w:cs="Arial"/>
                <w:color w:val="000000" w:themeColor="text1"/>
                <w:sz w:val="24"/>
                <w:szCs w:val="24"/>
              </w:rPr>
              <w:t xml:space="preserve"> regularly reflect on my practice through student feedback, peer discussions, and self-evaluation (K3), consistent with </w:t>
            </w:r>
            <w:r w:rsidR="00242500" w:rsidRPr="00242500">
              <w:rPr>
                <w:rFonts w:eastAsia="Arial" w:cs="Arial"/>
                <w:color w:val="000000" w:themeColor="text1"/>
                <w:sz w:val="24"/>
                <w:szCs w:val="24"/>
              </w:rPr>
              <w:t>Erbay-Cetinkaya</w:t>
            </w:r>
            <w:r w:rsidR="00242500">
              <w:rPr>
                <w:rFonts w:eastAsia="Arial" w:cs="Arial"/>
                <w:color w:val="000000" w:themeColor="text1"/>
                <w:sz w:val="24"/>
                <w:szCs w:val="24"/>
              </w:rPr>
              <w:t>’s</w:t>
            </w:r>
            <w:r w:rsidR="00242500" w:rsidRPr="00242500">
              <w:rPr>
                <w:rFonts w:eastAsia="Arial" w:cs="Arial"/>
                <w:color w:val="000000" w:themeColor="text1"/>
                <w:sz w:val="24"/>
                <w:szCs w:val="24"/>
              </w:rPr>
              <w:t xml:space="preserve"> (2026)</w:t>
            </w:r>
            <w:r w:rsidR="00242500" w:rsidRPr="00242500">
              <w:rPr>
                <w:rFonts w:eastAsia="Arial" w:cs="Arial"/>
                <w:color w:val="000000" w:themeColor="text1"/>
                <w:sz w:val="24"/>
                <w:szCs w:val="24"/>
              </w:rPr>
              <w:t xml:space="preserve"> </w:t>
            </w:r>
            <w:r w:rsidR="006C654F" w:rsidRPr="006C654F">
              <w:rPr>
                <w:rFonts w:eastAsia="Arial" w:cs="Arial"/>
                <w:color w:val="000000" w:themeColor="text1"/>
                <w:sz w:val="24"/>
                <w:szCs w:val="24"/>
              </w:rPr>
              <w:t>view that critical reflection should consider multiple perspectives, including those of teachers, students, colleagues, and the wider literature. I also maintain my professional development through conferences, workshops, and institutional training. Engagement with computing education literature on active learning and live coding, particularly the value of immediate feedback and student-centred exploration (Hundhausen and Brown, 2008; Rubin, 2013), informed my use of interactive, code-based activities in Jupyter Notebooks, enabling students to construct, test, and refine algorithms rather than passively follow solutions. Drawing on research into block-based programming and novice learners, which highlights reduced cognitive load and improved conceptual understanding (Grover and Pea, 2013), I also introduced block-based activities at Level 4 to support students transitioning to text-based programming at higher levels.</w:t>
            </w:r>
          </w:p>
          <w:p w14:paraId="72EE2ADD" w14:textId="77777777" w:rsidR="00547F57" w:rsidRPr="00FD09D3" w:rsidRDefault="00547F57" w:rsidP="00547F57">
            <w:pPr>
              <w:rPr>
                <w:rFonts w:eastAsia="Arial" w:cs="Arial"/>
                <w:color w:val="000000" w:themeColor="text1"/>
                <w:sz w:val="24"/>
                <w:szCs w:val="24"/>
              </w:rPr>
            </w:pPr>
          </w:p>
          <w:p w14:paraId="730A5EC3" w14:textId="05AB64AE" w:rsidR="18891B72" w:rsidRDefault="003A69B6" w:rsidP="00531D5E">
            <w:pPr>
              <w:jc w:val="both"/>
              <w:rPr>
                <w:rFonts w:cs="Arial"/>
                <w:b/>
                <w:bCs/>
                <w:sz w:val="32"/>
                <w:szCs w:val="32"/>
              </w:rPr>
            </w:pPr>
            <w:r w:rsidRPr="003A69B6">
              <w:rPr>
                <w:rFonts w:eastAsia="Arial" w:cs="Arial"/>
                <w:color w:val="000000" w:themeColor="text1"/>
                <w:sz w:val="24"/>
                <w:szCs w:val="24"/>
              </w:rPr>
              <w:t xml:space="preserve">This reflective approach supports the development of my teaching and leadership practice and enables me to share effective approaches with colleagues (A5, V3). I systematically review student feedback and module evaluation data, discuss observations with peers, record actions in a shared team log, and refine teaching through interactive, problem-based activities and tools such as Jupyter Notebooks and block-based programming. As Programme Manager, I share these insights through structured programme reviews, encouraging colleagues to adapt successful approaches. This has contributed to improved student engagement and satisfaction, </w:t>
            </w:r>
            <w:r w:rsidRPr="003A69B6">
              <w:rPr>
                <w:rFonts w:eastAsia="Arial" w:cs="Arial"/>
                <w:color w:val="000000" w:themeColor="text1"/>
                <w:sz w:val="24"/>
                <w:szCs w:val="24"/>
              </w:rPr>
              <w:lastRenderedPageBreak/>
              <w:t>more responsive teaching, and the adoption of similar approaches across teaching teams. Through programme management, moderation, and mentoring, I also shape colleagues’ responses to quality enhancement and student feedback, embedding inclusive, evidence-informed practice across my teaching, leadership, and mentoring roles.</w:t>
            </w:r>
            <w:r w:rsidR="00D5355C" w:rsidRPr="00D5355C">
              <w:rPr>
                <w:rFonts w:eastAsia="Arial" w:cs="Arial"/>
                <w:color w:val="000000" w:themeColor="text1"/>
                <w:sz w:val="24"/>
                <w:szCs w:val="24"/>
              </w:rPr>
              <w:t xml:space="preserve"> </w:t>
            </w:r>
            <w:r w:rsidR="006257C5" w:rsidRPr="006257C5">
              <w:rPr>
                <w:rFonts w:eastAsia="Arial" w:cs="Arial"/>
                <w:color w:val="000000" w:themeColor="text1"/>
                <w:sz w:val="24"/>
                <w:szCs w:val="24"/>
              </w:rPr>
              <w:t>(K2, V1, V2).</w:t>
            </w:r>
          </w:p>
        </w:tc>
      </w:tr>
    </w:tbl>
    <w:p w14:paraId="36277DA7" w14:textId="77777777" w:rsidR="00DB028C" w:rsidRDefault="00DB028C" w:rsidP="4F7FBBAB">
      <w:pPr>
        <w:rPr>
          <w:rFonts w:cs="Arial"/>
          <w:b/>
          <w:bCs/>
          <w:sz w:val="32"/>
          <w:szCs w:val="32"/>
        </w:rPr>
      </w:pPr>
    </w:p>
    <w:p w14:paraId="06EB4C36" w14:textId="77777777" w:rsidR="00DB028C" w:rsidRDefault="00DB028C">
      <w:pPr>
        <w:spacing w:after="200" w:line="276" w:lineRule="auto"/>
        <w:rPr>
          <w:rFonts w:cs="Arial"/>
          <w:b/>
          <w:bCs/>
          <w:sz w:val="32"/>
          <w:szCs w:val="32"/>
        </w:rPr>
      </w:pPr>
      <w:r>
        <w:rPr>
          <w:rFonts w:cs="Arial"/>
          <w:b/>
          <w:bCs/>
          <w:sz w:val="32"/>
          <w:szCs w:val="32"/>
        </w:rPr>
        <w:br w:type="page"/>
      </w:r>
    </w:p>
    <w:p w14:paraId="18E0D41E" w14:textId="77777777" w:rsidR="0012441E" w:rsidRDefault="0012441E" w:rsidP="4F7FBBAB">
      <w:pPr>
        <w:rPr>
          <w:rFonts w:cs="Arial"/>
          <w:b/>
          <w:bCs/>
          <w:sz w:val="32"/>
          <w:szCs w:val="32"/>
        </w:rPr>
      </w:pPr>
      <w:r>
        <w:rPr>
          <w:rFonts w:cs="Arial"/>
          <w:b/>
          <w:bCs/>
          <w:sz w:val="32"/>
          <w:szCs w:val="32"/>
        </w:rPr>
        <w:lastRenderedPageBreak/>
        <w:t>SECTION 4: CASE STUDIES</w:t>
      </w:r>
    </w:p>
    <w:p w14:paraId="1D50C788" w14:textId="23D0B5F2" w:rsidR="2A65FF4F" w:rsidRDefault="2A65FF4F" w:rsidP="4F7FBBAB">
      <w:pPr>
        <w:rPr>
          <w:rFonts w:cs="Arial"/>
          <w:b/>
          <w:bCs/>
          <w:sz w:val="32"/>
          <w:szCs w:val="32"/>
        </w:rPr>
      </w:pPr>
      <w:r w:rsidRPr="4F7FBBAB">
        <w:rPr>
          <w:rFonts w:cs="Arial"/>
          <w:b/>
          <w:bCs/>
          <w:sz w:val="32"/>
          <w:szCs w:val="32"/>
        </w:rPr>
        <w:t>Case Study 1</w:t>
      </w:r>
    </w:p>
    <w:p w14:paraId="73AC2F0F" w14:textId="19C43BD1" w:rsidR="4F7FBBAB" w:rsidRDefault="4F7FBBAB" w:rsidP="4F7FBBAB">
      <w:pPr>
        <w:rPr>
          <w:rFonts w:cs="Arial"/>
          <w:b/>
          <w:bCs/>
          <w:sz w:val="32"/>
          <w:szCs w:val="3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050"/>
      </w:tblGrid>
      <w:tr w:rsidR="00DB028C" w14:paraId="55948E75" w14:textId="77777777" w:rsidTr="1F8D88A3">
        <w:trPr>
          <w:trHeight w:val="300"/>
        </w:trPr>
        <w:tc>
          <w:tcPr>
            <w:tcW w:w="10050" w:type="dxa"/>
            <w:tcBorders>
              <w:top w:val="single" w:sz="6" w:space="0" w:color="auto"/>
              <w:left w:val="single" w:sz="6" w:space="0" w:color="auto"/>
              <w:bottom w:val="single" w:sz="12" w:space="0" w:color="000000" w:themeColor="text1"/>
              <w:right w:val="single" w:sz="6" w:space="0" w:color="auto"/>
            </w:tcBorders>
            <w:tcMar>
              <w:left w:w="105" w:type="dxa"/>
              <w:right w:w="105" w:type="dxa"/>
            </w:tcMar>
          </w:tcPr>
          <w:p w14:paraId="1402DE8D" w14:textId="0D0F2A28" w:rsidR="00DB028C" w:rsidRDefault="00DB028C" w:rsidP="4F7FBBAB">
            <w:pPr>
              <w:rPr>
                <w:rFonts w:eastAsia="Arial" w:cs="Arial"/>
                <w:color w:val="000000" w:themeColor="text1"/>
                <w:sz w:val="24"/>
                <w:szCs w:val="24"/>
              </w:rPr>
            </w:pPr>
            <w:r w:rsidRPr="1F8D88A3">
              <w:rPr>
                <w:rFonts w:eastAsia="Arial" w:cs="Arial"/>
                <w:color w:val="000000" w:themeColor="text1"/>
                <w:sz w:val="24"/>
                <w:szCs w:val="24"/>
              </w:rPr>
              <w:t>Case Study 1</w:t>
            </w:r>
            <w:r w:rsidR="001360BC">
              <w:rPr>
                <w:rFonts w:eastAsia="Arial" w:cs="Arial"/>
                <w:color w:val="000000" w:themeColor="text1"/>
                <w:sz w:val="24"/>
                <w:szCs w:val="24"/>
              </w:rPr>
              <w:t xml:space="preserve"> - </w:t>
            </w:r>
            <w:r w:rsidR="001360BC" w:rsidRPr="001360BC">
              <w:rPr>
                <w:rFonts w:eastAsia="Arial" w:cs="Arial"/>
                <w:color w:val="000000" w:themeColor="text1"/>
                <w:sz w:val="24"/>
                <w:szCs w:val="24"/>
              </w:rPr>
              <w:t>Leading a Programme-Wide Feedback Literacy Initiative in Level 4 Computing</w:t>
            </w:r>
          </w:p>
        </w:tc>
      </w:tr>
      <w:tr w:rsidR="4F7FBBAB" w14:paraId="5AFD5875" w14:textId="77777777" w:rsidTr="1F8D88A3">
        <w:trPr>
          <w:trHeight w:val="2895"/>
        </w:trPr>
        <w:tc>
          <w:tcPr>
            <w:tcW w:w="10050" w:type="dxa"/>
            <w:tcBorders>
              <w:top w:val="single" w:sz="12" w:space="0" w:color="000000" w:themeColor="text1"/>
              <w:left w:val="single" w:sz="6" w:space="0" w:color="auto"/>
              <w:bottom w:val="single" w:sz="6" w:space="0" w:color="auto"/>
              <w:right w:val="single" w:sz="6" w:space="0" w:color="auto"/>
            </w:tcBorders>
            <w:tcMar>
              <w:left w:w="105" w:type="dxa"/>
              <w:right w:w="105" w:type="dxa"/>
            </w:tcMar>
          </w:tcPr>
          <w:p w14:paraId="5812C254" w14:textId="24782263" w:rsidR="4F7FBBAB" w:rsidRDefault="4F7FBBAB" w:rsidP="4F7FBBAB">
            <w:pPr>
              <w:rPr>
                <w:rFonts w:eastAsia="Arial" w:cs="Arial"/>
                <w:color w:val="000000" w:themeColor="text1"/>
                <w:sz w:val="24"/>
                <w:szCs w:val="24"/>
              </w:rPr>
            </w:pPr>
            <w:r w:rsidRPr="4F7FBBAB">
              <w:rPr>
                <w:rFonts w:eastAsia="Arial" w:cs="Arial"/>
                <w:color w:val="000000" w:themeColor="text1"/>
                <w:sz w:val="24"/>
                <w:szCs w:val="24"/>
              </w:rPr>
              <w:t>Write your first case study here. References and citations are to be listed in a dedicated field below</w:t>
            </w:r>
            <w:r w:rsidR="4FE11C5D" w:rsidRPr="4F7FBBAB">
              <w:rPr>
                <w:rFonts w:eastAsia="Arial" w:cs="Arial"/>
                <w:color w:val="000000" w:themeColor="text1"/>
                <w:sz w:val="24"/>
                <w:szCs w:val="24"/>
              </w:rPr>
              <w:t>.</w:t>
            </w:r>
          </w:p>
          <w:p w14:paraId="78E98B88" w14:textId="19D0EB05" w:rsidR="00386351" w:rsidRDefault="00386351" w:rsidP="00515FFE">
            <w:pPr>
              <w:rPr>
                <w:rFonts w:eastAsia="Arial" w:cs="Arial"/>
                <w:color w:val="000000" w:themeColor="text1"/>
                <w:sz w:val="24"/>
                <w:szCs w:val="24"/>
              </w:rPr>
            </w:pPr>
          </w:p>
          <w:p w14:paraId="4E996372" w14:textId="5BF9AB7F" w:rsidR="00515FFE" w:rsidRPr="00515FFE" w:rsidRDefault="00515FFE" w:rsidP="006257C5">
            <w:pPr>
              <w:jc w:val="both"/>
              <w:rPr>
                <w:rFonts w:eastAsia="Arial" w:cs="Arial"/>
                <w:color w:val="000000" w:themeColor="text1"/>
                <w:sz w:val="24"/>
                <w:szCs w:val="24"/>
              </w:rPr>
            </w:pPr>
            <w:r w:rsidRPr="00515FFE">
              <w:rPr>
                <w:rFonts w:eastAsia="Arial" w:cs="Arial"/>
                <w:color w:val="000000" w:themeColor="text1"/>
                <w:sz w:val="24"/>
                <w:szCs w:val="24"/>
              </w:rPr>
              <w:t xml:space="preserve">I focus this case study on my leadership of a programme-level feedback literacy intervention within the </w:t>
            </w:r>
            <w:proofErr w:type="spellStart"/>
            <w:r w:rsidRPr="00515FFE">
              <w:rPr>
                <w:rFonts w:eastAsia="Arial" w:cs="Arial"/>
                <w:color w:val="000000" w:themeColor="text1"/>
                <w:sz w:val="24"/>
                <w:szCs w:val="24"/>
              </w:rPr>
              <w:t>CertHE</w:t>
            </w:r>
            <w:proofErr w:type="spellEnd"/>
            <w:r w:rsidRPr="00515FFE">
              <w:rPr>
                <w:rFonts w:eastAsia="Arial" w:cs="Arial"/>
                <w:color w:val="000000" w:themeColor="text1"/>
                <w:sz w:val="24"/>
                <w:szCs w:val="24"/>
              </w:rPr>
              <w:t xml:space="preserve"> Computing Skills for the Workplace programme at the IICL London Campus, developed through my roles as Programme Manager and Module Leader for ACCA4023 Introduction to Web and Database Concepts</w:t>
            </w:r>
            <w:r w:rsidR="009A2A44">
              <w:rPr>
                <w:rFonts w:eastAsia="Arial" w:cs="Arial"/>
                <w:color w:val="000000" w:themeColor="text1"/>
                <w:sz w:val="24"/>
                <w:szCs w:val="24"/>
              </w:rPr>
              <w:t xml:space="preserve">, </w:t>
            </w:r>
            <w:r w:rsidRPr="00515FFE">
              <w:rPr>
                <w:rFonts w:eastAsia="Arial" w:cs="Arial"/>
                <w:color w:val="000000" w:themeColor="text1"/>
                <w:sz w:val="24"/>
                <w:szCs w:val="24"/>
              </w:rPr>
              <w:t>a Level 4 module introducing students to relational database concepts using Microsoft Access and web development using HTML and CSS. The module includes two coursework assessments weighted equally at 50%, with Assessment 1 focusing on relational database implementation and Assessment 2 focusing on HTML and CSS web development. The intervention was designed to address recurring challenges relating to assessment engagement, feedback interpretation, learner confidence, and progression across large and diverse Level 4 cohorts. My aim was not only to improve student engagement within my own module, but also to influence broader teaching and feedback practices across the programme through a structured and scalable framework that could be adopted by colleagues teaching across multiple modules and cohorts.</w:t>
            </w:r>
          </w:p>
          <w:p w14:paraId="6D88FE27" w14:textId="77777777" w:rsidR="00515FFE" w:rsidRPr="00515FFE" w:rsidRDefault="00515FFE" w:rsidP="00515FFE">
            <w:pPr>
              <w:rPr>
                <w:rFonts w:eastAsia="Arial" w:cs="Arial"/>
                <w:color w:val="000000" w:themeColor="text1"/>
                <w:sz w:val="24"/>
                <w:szCs w:val="24"/>
              </w:rPr>
            </w:pPr>
          </w:p>
          <w:p w14:paraId="3B8B1408" w14:textId="65E6EFA6" w:rsidR="00515FFE" w:rsidRPr="00515FFE" w:rsidRDefault="00515FFE" w:rsidP="006257C5">
            <w:pPr>
              <w:jc w:val="both"/>
              <w:rPr>
                <w:rFonts w:eastAsia="Arial" w:cs="Arial"/>
                <w:color w:val="000000" w:themeColor="text1"/>
                <w:sz w:val="24"/>
                <w:szCs w:val="24"/>
              </w:rPr>
            </w:pPr>
            <w:r w:rsidRPr="00515FFE">
              <w:rPr>
                <w:rFonts w:eastAsia="Arial" w:cs="Arial"/>
                <w:color w:val="000000" w:themeColor="text1"/>
                <w:sz w:val="24"/>
                <w:szCs w:val="24"/>
              </w:rPr>
              <w:t xml:space="preserve">The context of teaching at the IICL London Campus significantly shaped my approach to curriculum delivery and learner support. The institution has a large and diverse student population with three annual intakes, large Level 4 cohorts, and substantial use of hourly paid lecturers. Many students are mature learners balancing employment and caring responsibilities, many are first-generation higher education students, and for many English is an additional language. </w:t>
            </w:r>
            <w:r w:rsidR="006257C5" w:rsidRPr="006257C5">
              <w:rPr>
                <w:rFonts w:eastAsia="Arial" w:cs="Arial"/>
                <w:color w:val="000000" w:themeColor="text1"/>
                <w:sz w:val="24"/>
                <w:szCs w:val="24"/>
              </w:rPr>
              <w:t xml:space="preserve">This profile reflects a widening-participation cohort whose learning needs are consistent with andragogical principles of adult learning, including the value of relevance, autonomy and prior-experience-based learning (Knowles, 1984), and shaped my decision to design an intervention that was explicitly inclusive of these varied starting points. </w:t>
            </w:r>
            <w:r w:rsidRPr="00515FFE">
              <w:rPr>
                <w:rFonts w:eastAsia="Arial" w:cs="Arial"/>
                <w:color w:val="000000" w:themeColor="text1"/>
                <w:sz w:val="24"/>
                <w:szCs w:val="24"/>
              </w:rPr>
              <w:t>Students often arrive with limited understanding of higher education expectations, assessment conventions, and academic feedback processes. Across several modules within the programme, teaching teams observed that students frequently focused primarily on assessment grades while engaging minimally with written feedback provided on coursework submissions. Within ACCA4023, this became particularly noticeable between Assessment 1 and Assessment 2, where similar mistakes relating to structure, validation, referencing, and implementation reappeared despite detailed written comments and feedforward guidance provided after the first assessment (A3, K1, K2, V1</w:t>
            </w:r>
            <w:r w:rsidR="006257C5">
              <w:rPr>
                <w:rFonts w:eastAsia="Arial" w:cs="Arial"/>
                <w:color w:val="000000" w:themeColor="text1"/>
                <w:sz w:val="24"/>
                <w:szCs w:val="24"/>
              </w:rPr>
              <w:t>, V2</w:t>
            </w:r>
            <w:r w:rsidRPr="00515FFE">
              <w:rPr>
                <w:rFonts w:eastAsia="Arial" w:cs="Arial"/>
                <w:color w:val="000000" w:themeColor="text1"/>
                <w:sz w:val="24"/>
                <w:szCs w:val="24"/>
              </w:rPr>
              <w:t>).</w:t>
            </w:r>
          </w:p>
          <w:p w14:paraId="618C461B" w14:textId="77777777" w:rsidR="00515FFE" w:rsidRPr="00515FFE" w:rsidRDefault="00515FFE" w:rsidP="00515FFE">
            <w:pPr>
              <w:rPr>
                <w:rFonts w:eastAsia="Arial" w:cs="Arial"/>
                <w:color w:val="000000" w:themeColor="text1"/>
                <w:sz w:val="24"/>
                <w:szCs w:val="24"/>
              </w:rPr>
            </w:pPr>
          </w:p>
          <w:p w14:paraId="530F395D" w14:textId="53E9FD5A" w:rsidR="00515FFE" w:rsidRDefault="00A84020" w:rsidP="00A84020">
            <w:pPr>
              <w:jc w:val="both"/>
              <w:rPr>
                <w:rFonts w:eastAsia="Arial" w:cs="Arial"/>
                <w:color w:val="000000" w:themeColor="text1"/>
                <w:sz w:val="24"/>
                <w:szCs w:val="24"/>
              </w:rPr>
            </w:pPr>
            <w:r w:rsidRPr="00A84020">
              <w:rPr>
                <w:rFonts w:eastAsia="Arial" w:cs="Arial"/>
                <w:color w:val="000000" w:themeColor="text1"/>
                <w:sz w:val="24"/>
                <w:szCs w:val="24"/>
              </w:rPr>
              <w:t xml:space="preserve">Through tutorials, module discussions, and individual student meetings, I identified that many learners lacked confidence in interpreting feedback terminology and were uncertain about how comments could inform future work. Several students openly stated that they focused only on final grades because they did not understand how to translate feedback into practical improvement strategies. This reflected Carless and Boud’s (2018) definition of feedback literacy as the understandings and capacities required for learners to interpret and use feedback effectively. Sutton (2012) similarly conceptualises feedback literacy as having epistemological, ontological and practical dimensions through which learners experience the process of becoming feedback literate, while Boud and Molloy (2013) argue that learners must </w:t>
            </w:r>
            <w:r w:rsidRPr="00A84020">
              <w:rPr>
                <w:rFonts w:eastAsia="Arial" w:cs="Arial"/>
                <w:color w:val="000000" w:themeColor="text1"/>
                <w:sz w:val="24"/>
                <w:szCs w:val="24"/>
              </w:rPr>
              <w:lastRenderedPageBreak/>
              <w:t xml:space="preserve">become </w:t>
            </w:r>
            <w:r w:rsidR="002260C6">
              <w:rPr>
                <w:rFonts w:eastAsia="Arial" w:cs="Arial"/>
                <w:color w:val="000000" w:themeColor="text1"/>
                <w:sz w:val="24"/>
                <w:szCs w:val="24"/>
              </w:rPr>
              <w:t>engaging</w:t>
            </w:r>
            <w:r w:rsidRPr="00A84020">
              <w:rPr>
                <w:rFonts w:eastAsia="Arial" w:cs="Arial"/>
                <w:color w:val="000000" w:themeColor="text1"/>
                <w:sz w:val="24"/>
                <w:szCs w:val="24"/>
              </w:rPr>
              <w:t xml:space="preserve"> </w:t>
            </w:r>
            <w:r w:rsidR="002260C6" w:rsidRPr="00A84020">
              <w:rPr>
                <w:rFonts w:eastAsia="Arial" w:cs="Arial"/>
                <w:color w:val="000000" w:themeColor="text1"/>
                <w:sz w:val="24"/>
                <w:szCs w:val="24"/>
              </w:rPr>
              <w:t>members</w:t>
            </w:r>
            <w:r w:rsidRPr="00A84020">
              <w:rPr>
                <w:rFonts w:eastAsia="Arial" w:cs="Arial"/>
                <w:color w:val="000000" w:themeColor="text1"/>
                <w:sz w:val="24"/>
                <w:szCs w:val="24"/>
              </w:rPr>
              <w:t xml:space="preserve"> in feedback processes than </w:t>
            </w:r>
            <w:r w:rsidR="00C76BBD">
              <w:rPr>
                <w:rFonts w:eastAsia="Arial" w:cs="Arial"/>
                <w:color w:val="000000" w:themeColor="text1"/>
                <w:sz w:val="24"/>
                <w:szCs w:val="24"/>
              </w:rPr>
              <w:t xml:space="preserve">being </w:t>
            </w:r>
            <w:r w:rsidRPr="00A84020">
              <w:rPr>
                <w:rFonts w:eastAsia="Arial" w:cs="Arial"/>
                <w:color w:val="000000" w:themeColor="text1"/>
                <w:sz w:val="24"/>
                <w:szCs w:val="24"/>
              </w:rPr>
              <w:t xml:space="preserve">passive </w:t>
            </w:r>
            <w:r w:rsidR="00C76BBD" w:rsidRPr="00A84020">
              <w:rPr>
                <w:rFonts w:eastAsia="Arial" w:cs="Arial"/>
                <w:color w:val="000000" w:themeColor="text1"/>
                <w:sz w:val="24"/>
                <w:szCs w:val="24"/>
              </w:rPr>
              <w:t>receivers</w:t>
            </w:r>
            <w:r w:rsidRPr="00A84020">
              <w:rPr>
                <w:rFonts w:eastAsia="Arial" w:cs="Arial"/>
                <w:color w:val="000000" w:themeColor="text1"/>
                <w:sz w:val="24"/>
                <w:szCs w:val="24"/>
              </w:rPr>
              <w:t xml:space="preserve"> of tutor comments</w:t>
            </w:r>
            <w:r w:rsidR="0055165A">
              <w:rPr>
                <w:rFonts w:eastAsia="Arial" w:cs="Arial"/>
                <w:color w:val="000000" w:themeColor="text1"/>
                <w:sz w:val="24"/>
                <w:szCs w:val="24"/>
              </w:rPr>
              <w:t xml:space="preserve"> (K1)</w:t>
            </w:r>
            <w:r w:rsidRPr="00A84020">
              <w:rPr>
                <w:rFonts w:eastAsia="Arial" w:cs="Arial"/>
                <w:color w:val="000000" w:themeColor="text1"/>
                <w:sz w:val="24"/>
                <w:szCs w:val="24"/>
              </w:rPr>
              <w:t>.</w:t>
            </w:r>
          </w:p>
          <w:p w14:paraId="33B79052" w14:textId="77777777" w:rsidR="0060227B" w:rsidRPr="00515FFE" w:rsidRDefault="0060227B" w:rsidP="00A84020">
            <w:pPr>
              <w:jc w:val="both"/>
              <w:rPr>
                <w:rFonts w:eastAsia="Arial" w:cs="Arial"/>
                <w:color w:val="000000" w:themeColor="text1"/>
                <w:sz w:val="24"/>
                <w:szCs w:val="24"/>
              </w:rPr>
            </w:pPr>
          </w:p>
          <w:p w14:paraId="0A188A8B" w14:textId="4760DF5E" w:rsidR="00515FFE" w:rsidRPr="00515FFE" w:rsidRDefault="00515FFE" w:rsidP="00C87F7F">
            <w:pPr>
              <w:jc w:val="both"/>
              <w:rPr>
                <w:rFonts w:eastAsia="Arial" w:cs="Arial"/>
                <w:color w:val="000000" w:themeColor="text1"/>
                <w:sz w:val="24"/>
                <w:szCs w:val="24"/>
              </w:rPr>
            </w:pPr>
            <w:r w:rsidRPr="00515FFE">
              <w:rPr>
                <w:rFonts w:eastAsia="Arial" w:cs="Arial"/>
                <w:color w:val="000000" w:themeColor="text1"/>
                <w:sz w:val="24"/>
                <w:szCs w:val="24"/>
              </w:rPr>
              <w:t>In response, I designed and implemented a scaffolded feedback literacy intervention during the first five teaching weeks of the module. The intervention aligned with institutional priorities focused on improving attendance, engagement, retention, progression, and academic integrity. Rather than treating feedback as a separate post-assessment activity, I embedded feedback literacy directly into weekly teaching activities and practical workshops (A1, A2, A3, V2). My intention was to help students engage with feedback as an ongoing learning process while also creating a model that could later be adapted across the wider programme</w:t>
            </w:r>
            <w:r w:rsidR="0055165A">
              <w:rPr>
                <w:rFonts w:eastAsia="Arial" w:cs="Arial"/>
                <w:color w:val="000000" w:themeColor="text1"/>
                <w:sz w:val="24"/>
                <w:szCs w:val="24"/>
              </w:rPr>
              <w:t xml:space="preserve"> (K5)</w:t>
            </w:r>
            <w:r w:rsidRPr="00515FFE">
              <w:rPr>
                <w:rFonts w:eastAsia="Arial" w:cs="Arial"/>
                <w:color w:val="000000" w:themeColor="text1"/>
                <w:sz w:val="24"/>
                <w:szCs w:val="24"/>
              </w:rPr>
              <w:t>.</w:t>
            </w:r>
          </w:p>
          <w:p w14:paraId="6A879D3B" w14:textId="77777777" w:rsidR="00515FFE" w:rsidRPr="00515FFE" w:rsidRDefault="00515FFE" w:rsidP="00515FFE">
            <w:pPr>
              <w:rPr>
                <w:rFonts w:eastAsia="Arial" w:cs="Arial"/>
                <w:color w:val="000000" w:themeColor="text1"/>
                <w:sz w:val="24"/>
                <w:szCs w:val="24"/>
              </w:rPr>
            </w:pPr>
          </w:p>
          <w:p w14:paraId="15DA84F8" w14:textId="6F5F01DF" w:rsidR="00515FFE" w:rsidRDefault="002C3F8F" w:rsidP="002C3F8F">
            <w:pPr>
              <w:jc w:val="both"/>
              <w:rPr>
                <w:rFonts w:eastAsia="Arial" w:cs="Arial"/>
                <w:color w:val="000000" w:themeColor="text1"/>
                <w:sz w:val="24"/>
                <w:szCs w:val="24"/>
              </w:rPr>
            </w:pPr>
            <w:r w:rsidRPr="002C3F8F">
              <w:rPr>
                <w:rFonts w:eastAsia="Arial" w:cs="Arial"/>
                <w:color w:val="000000" w:themeColor="text1"/>
                <w:sz w:val="24"/>
                <w:szCs w:val="24"/>
              </w:rPr>
              <w:t>The intervention was introduced during practical workshops covering database concepts using Microsoft Access and introductory web development using Notepad++. The design was informed by Sadler’s (1989) formative assessment framework, in which students develop understanding through opportunities to compare their work against standards and progressively act upon feedback over time. I designed weekly practical activities where students completed short technical tasks and received immediate formative feedback linked directly to module assessment criteria. During the early weeks, I explicitly modelled how feedback comments should be interpreted by breaking comments into actionable stages. For example, when students created poorly structured database relationships in Access, I guided them through identifying where entity relationships lacked integrity constraints and demonstrated how this issue connected to later assessment requirements. Similarly, during HTML exercises, I explained how incomplete semantic structure or accessibility issues would affect later validation activities required in Assessment 2. Price, Handley and Millar (2011) argue that students often fail to engage meaningfully with feedback because they do not fully understand its role within ongoing learning processes</w:t>
            </w:r>
            <w:r w:rsidR="0055165A">
              <w:rPr>
                <w:rFonts w:eastAsia="Arial" w:cs="Arial"/>
                <w:color w:val="000000" w:themeColor="text1"/>
                <w:sz w:val="24"/>
                <w:szCs w:val="24"/>
              </w:rPr>
              <w:t xml:space="preserve"> (K2,V3)</w:t>
            </w:r>
            <w:r w:rsidRPr="002C3F8F">
              <w:rPr>
                <w:rFonts w:eastAsia="Arial" w:cs="Arial"/>
                <w:color w:val="000000" w:themeColor="text1"/>
                <w:sz w:val="24"/>
                <w:szCs w:val="24"/>
              </w:rPr>
              <w:t>.</w:t>
            </w:r>
          </w:p>
          <w:p w14:paraId="4A3434A4" w14:textId="77777777" w:rsidR="002C3F8F" w:rsidRPr="00515FFE" w:rsidRDefault="002C3F8F" w:rsidP="00515FFE">
            <w:pPr>
              <w:rPr>
                <w:rFonts w:eastAsia="Arial" w:cs="Arial"/>
                <w:color w:val="000000" w:themeColor="text1"/>
                <w:sz w:val="24"/>
                <w:szCs w:val="24"/>
              </w:rPr>
            </w:pPr>
          </w:p>
          <w:p w14:paraId="7B2BD311" w14:textId="77777777" w:rsidR="00515FFE" w:rsidRPr="00515FFE" w:rsidRDefault="00515FFE" w:rsidP="009E45CE">
            <w:pPr>
              <w:jc w:val="both"/>
              <w:rPr>
                <w:rFonts w:eastAsia="Arial" w:cs="Arial"/>
                <w:color w:val="000000" w:themeColor="text1"/>
                <w:sz w:val="24"/>
                <w:szCs w:val="24"/>
              </w:rPr>
            </w:pPr>
            <w:r w:rsidRPr="00515FFE">
              <w:rPr>
                <w:rFonts w:eastAsia="Arial" w:cs="Arial"/>
                <w:color w:val="000000" w:themeColor="text1"/>
                <w:sz w:val="24"/>
                <w:szCs w:val="24"/>
              </w:rPr>
              <w:t>I also integrated the responsible use of Generative AI into workshop activities because both assessment specifications permitted limited and controlled AI use for research and proofreading purposes. Rather than allowing unrestricted AI-generated responses, I designed guided activities where students compared tutor feedback with AI-generated suggestions and evaluated which comments were useful, inaccurate, or incomplete. This encouraged students to engage critically with feedback rather than accepting automated responses uncritically. Students discussed why particular feedback mattered within the context of database integrity, accessibility standards, and validation practices. This approach also supported academic integrity by helping students understand the boundaries between legitimate support and inappropriate AI use (K4, V4).</w:t>
            </w:r>
          </w:p>
          <w:p w14:paraId="5B4D1D20" w14:textId="77777777" w:rsidR="00515FFE" w:rsidRPr="00515FFE" w:rsidRDefault="00515FFE" w:rsidP="00515FFE">
            <w:pPr>
              <w:rPr>
                <w:rFonts w:eastAsia="Arial" w:cs="Arial"/>
                <w:color w:val="000000" w:themeColor="text1"/>
                <w:sz w:val="24"/>
                <w:szCs w:val="24"/>
              </w:rPr>
            </w:pPr>
          </w:p>
          <w:p w14:paraId="38632878" w14:textId="430DEB41"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 xml:space="preserve">As the intervention progressed, I gradually reduced the level of explanation and tutor intervention provided during workshops. Students were increasingly expected to interpret feedback independently, identify recurring patterns within their work, and propose actions before tutor guidance was provided. I also introduced peer discussion activities where students reviewed examples of HTML pages or database structures and identified strengths and weaknesses using simplified marking guidance linked directly to assessment criteria. These activities encouraged students to become more familiar with assessment language and quality expectations while reducing anxiety associated with receiving criticism from tutors (A2, A3, A4, V1). Students were additionally encouraged to store feedback digitally and revisit earlier comments before attempting new exercises, </w:t>
            </w:r>
            <w:r w:rsidR="00E538B3" w:rsidRPr="00E538B3">
              <w:rPr>
                <w:rFonts w:eastAsia="Arial" w:cs="Arial"/>
                <w:color w:val="000000" w:themeColor="text1"/>
                <w:sz w:val="24"/>
                <w:szCs w:val="24"/>
              </w:rPr>
              <w:t>reflecting Carless and Boud's (2018) argument that learners benefit from using technology to revisit and act upon feedback over time</w:t>
            </w:r>
            <w:r w:rsidR="0055165A">
              <w:rPr>
                <w:rFonts w:eastAsia="Arial" w:cs="Arial"/>
                <w:color w:val="000000" w:themeColor="text1"/>
                <w:sz w:val="24"/>
                <w:szCs w:val="24"/>
              </w:rPr>
              <w:t xml:space="preserve"> </w:t>
            </w:r>
            <w:r w:rsidR="0055165A" w:rsidRPr="00515FFE">
              <w:rPr>
                <w:rFonts w:eastAsia="Arial" w:cs="Arial"/>
                <w:color w:val="000000" w:themeColor="text1"/>
                <w:sz w:val="24"/>
                <w:szCs w:val="24"/>
              </w:rPr>
              <w:t>(K4, V4)</w:t>
            </w:r>
            <w:r w:rsidRPr="00515FFE">
              <w:rPr>
                <w:rFonts w:eastAsia="Arial" w:cs="Arial"/>
                <w:color w:val="000000" w:themeColor="text1"/>
                <w:sz w:val="24"/>
                <w:szCs w:val="24"/>
              </w:rPr>
              <w:t>.</w:t>
            </w:r>
          </w:p>
          <w:p w14:paraId="4F14673F" w14:textId="77777777" w:rsidR="00515FFE" w:rsidRPr="00515FFE" w:rsidRDefault="00515FFE" w:rsidP="00515FFE">
            <w:pPr>
              <w:rPr>
                <w:rFonts w:eastAsia="Arial" w:cs="Arial"/>
                <w:color w:val="000000" w:themeColor="text1"/>
                <w:sz w:val="24"/>
                <w:szCs w:val="24"/>
              </w:rPr>
            </w:pPr>
          </w:p>
          <w:p w14:paraId="5CC9CC0E" w14:textId="77777777"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lastRenderedPageBreak/>
              <w:t>I evaluated the effectiveness of the intervention through weekly observation, workshop participation, formative submission quality, student discussions, and informal learner feedback (K3). Within my pilot group of 30 students, approximately 80% of learners were independently identifying and correcting recurring mistakes by the middle of the term. Students increasingly referred to earlier feedback comments during practical sessions and began asking more focused questions relating to improvement strategies rather than requesting only grades. I also observed increased confidence among students during formative activities, particularly among mature learners and students who had initially appeared hesitant to participate in technical discussions. This shift suggested that students were beginning to engage with feedback as part of an ongoing developmental learning process rather than viewing feedback solely as justification for grades (K3, V2).</w:t>
            </w:r>
          </w:p>
          <w:p w14:paraId="44A60BB4" w14:textId="77777777" w:rsidR="00515FFE" w:rsidRPr="00515FFE" w:rsidRDefault="00515FFE" w:rsidP="00515FFE">
            <w:pPr>
              <w:rPr>
                <w:rFonts w:eastAsia="Arial" w:cs="Arial"/>
                <w:color w:val="000000" w:themeColor="text1"/>
                <w:sz w:val="24"/>
                <w:szCs w:val="24"/>
              </w:rPr>
            </w:pPr>
          </w:p>
          <w:p w14:paraId="311BD155" w14:textId="77777777"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The intervention also influenced assessment engagement patterns and coursework quality. Students completing Assessment 2 demonstrated greater awareness of accessibility, validation, and usability requirements compared with earlier formative tasks. Several students explicitly referenced earlier workshop activities when explaining design decisions within their reports, and the quality of reflective commentary within submissions became more consistent because students were increasingly familiar with evaluative language introduced through scaffolded feedback discussions.</w:t>
            </w:r>
          </w:p>
          <w:p w14:paraId="133A74A9" w14:textId="77777777" w:rsidR="00515FFE" w:rsidRPr="00515FFE" w:rsidRDefault="00515FFE" w:rsidP="00515FFE">
            <w:pPr>
              <w:rPr>
                <w:rFonts w:eastAsia="Arial" w:cs="Arial"/>
                <w:color w:val="000000" w:themeColor="text1"/>
                <w:sz w:val="24"/>
                <w:szCs w:val="24"/>
              </w:rPr>
            </w:pPr>
          </w:p>
          <w:p w14:paraId="449A3583" w14:textId="517ED875" w:rsidR="00515FFE" w:rsidRPr="00515FFE" w:rsidRDefault="00515FFE" w:rsidP="009A2A44">
            <w:pPr>
              <w:jc w:val="both"/>
              <w:rPr>
                <w:rFonts w:eastAsia="Arial" w:cs="Arial"/>
                <w:color w:val="000000" w:themeColor="text1"/>
                <w:sz w:val="24"/>
                <w:szCs w:val="24"/>
              </w:rPr>
            </w:pPr>
            <w:r w:rsidRPr="00515FFE">
              <w:rPr>
                <w:rFonts w:eastAsia="Arial" w:cs="Arial"/>
                <w:color w:val="000000" w:themeColor="text1"/>
                <w:sz w:val="24"/>
                <w:szCs w:val="24"/>
              </w:rPr>
              <w:t xml:space="preserve">Following the positive outcomes from the pilot group, I strategically extended the intervention beyond my own module by developing a structured feedback literacy framework that could be adapted across other modules within the </w:t>
            </w:r>
            <w:proofErr w:type="spellStart"/>
            <w:r w:rsidRPr="00515FFE">
              <w:rPr>
                <w:rFonts w:eastAsia="Arial" w:cs="Arial"/>
                <w:color w:val="000000" w:themeColor="text1"/>
                <w:sz w:val="24"/>
                <w:szCs w:val="24"/>
              </w:rPr>
              <w:t>CertHE</w:t>
            </w:r>
            <w:proofErr w:type="spellEnd"/>
            <w:r w:rsidRPr="00515FFE">
              <w:rPr>
                <w:rFonts w:eastAsia="Arial" w:cs="Arial"/>
                <w:color w:val="000000" w:themeColor="text1"/>
                <w:sz w:val="24"/>
                <w:szCs w:val="24"/>
              </w:rPr>
              <w:t xml:space="preserve"> Computing Skills for the Workplace programme. The framework included weekly planning guidance, examples of scaffolded feedback activities, approaches for integrating AI-supported feedback tasks responsibly, and methods for progressively increasing learner independence across Level 4 teaching contexts</w:t>
            </w:r>
            <w:r w:rsidR="009A2A44" w:rsidRPr="009A2A44">
              <w:t xml:space="preserve"> </w:t>
            </w:r>
            <w:r w:rsidR="009A2A44" w:rsidRPr="009A2A44">
              <w:rPr>
                <w:rFonts w:eastAsia="Arial" w:cs="Arial"/>
                <w:color w:val="000000" w:themeColor="text1"/>
                <w:sz w:val="24"/>
                <w:szCs w:val="24"/>
              </w:rPr>
              <w:t>(K1, V2</w:t>
            </w:r>
            <w:r w:rsidR="0055165A">
              <w:rPr>
                <w:rFonts w:eastAsia="Arial" w:cs="Arial"/>
                <w:color w:val="000000" w:themeColor="text1"/>
                <w:sz w:val="24"/>
                <w:szCs w:val="24"/>
              </w:rPr>
              <w:t>, A1</w:t>
            </w:r>
            <w:r w:rsidR="009A2A44" w:rsidRPr="009A2A44">
              <w:rPr>
                <w:rFonts w:eastAsia="Arial" w:cs="Arial"/>
                <w:color w:val="000000" w:themeColor="text1"/>
                <w:sz w:val="24"/>
                <w:szCs w:val="24"/>
              </w:rPr>
              <w:t>)</w:t>
            </w:r>
            <w:r w:rsidRPr="00515FFE">
              <w:rPr>
                <w:rFonts w:eastAsia="Arial" w:cs="Arial"/>
                <w:color w:val="000000" w:themeColor="text1"/>
                <w:sz w:val="24"/>
                <w:szCs w:val="24"/>
              </w:rPr>
              <w:t>.</w:t>
            </w:r>
          </w:p>
          <w:p w14:paraId="6B03AC51" w14:textId="77777777" w:rsidR="00515FFE" w:rsidRPr="00515FFE" w:rsidRDefault="00515FFE" w:rsidP="00515FFE">
            <w:pPr>
              <w:rPr>
                <w:rFonts w:eastAsia="Arial" w:cs="Arial"/>
                <w:color w:val="000000" w:themeColor="text1"/>
                <w:sz w:val="24"/>
                <w:szCs w:val="24"/>
              </w:rPr>
            </w:pPr>
          </w:p>
          <w:p w14:paraId="06F69571" w14:textId="2CD4EC56"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To support wider implementation, I designed and delivered a workshop for module leaders and lecturers across the programme. The workshop focused on the pedagogical rationale underpinning the intervention, practical implementation strategies suitable for large and diverse Level 4 cohorts, and approaches for embedding feedback literacy activities directly into weekly teaching sessions rather than relying solely on post-assessment written comments (D3.1, D3.3). The workshop also created opportunities for colleagues to discuss shared challenges relating to assessment engagement, learner confidence, and feedback interpretation within their own modules</w:t>
            </w:r>
            <w:r w:rsidR="0055165A">
              <w:rPr>
                <w:rFonts w:eastAsia="Arial" w:cs="Arial"/>
                <w:color w:val="000000" w:themeColor="text1"/>
                <w:sz w:val="24"/>
                <w:szCs w:val="24"/>
              </w:rPr>
              <w:t xml:space="preserve"> (A1, A2, K2, K5, V1, V2, V5)</w:t>
            </w:r>
            <w:r w:rsidRPr="00515FFE">
              <w:rPr>
                <w:rFonts w:eastAsia="Arial" w:cs="Arial"/>
                <w:color w:val="000000" w:themeColor="text1"/>
                <w:sz w:val="24"/>
                <w:szCs w:val="24"/>
              </w:rPr>
              <w:t>.</w:t>
            </w:r>
          </w:p>
          <w:p w14:paraId="3CCFC6D3" w14:textId="77777777" w:rsidR="00515FFE" w:rsidRPr="00515FFE" w:rsidRDefault="00515FFE" w:rsidP="00515FFE">
            <w:pPr>
              <w:rPr>
                <w:rFonts w:eastAsia="Arial" w:cs="Arial"/>
                <w:color w:val="000000" w:themeColor="text1"/>
                <w:sz w:val="24"/>
                <w:szCs w:val="24"/>
              </w:rPr>
            </w:pPr>
          </w:p>
          <w:p w14:paraId="0A0B5E07" w14:textId="77777777"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The framework was subsequently introduced across several modules including Learning in the Digital Era, Software Solutions for Business, Computer Architecture and Organisation, Analysing and Solving Problems, and Networks and Cyber Security Essentials. Approximately 75% of lecturers participating in the workshop reported that the framework influenced how they approached formative feedback activities within weekly teaching sessions. In practice, colleagues adapted the intervention in different ways depending on module context and learner needs. Some introduced structured reflective checkpoints into workshops, requiring students to identify recurring feedback themes independently before tutor intervention, while others embedded peer review tasks linked directly to formative coursework activities.</w:t>
            </w:r>
          </w:p>
          <w:p w14:paraId="7122F00E" w14:textId="77777777" w:rsidR="00515FFE" w:rsidRPr="00515FFE" w:rsidRDefault="00515FFE" w:rsidP="00515FFE">
            <w:pPr>
              <w:rPr>
                <w:rFonts w:eastAsia="Arial" w:cs="Arial"/>
                <w:color w:val="000000" w:themeColor="text1"/>
                <w:sz w:val="24"/>
                <w:szCs w:val="24"/>
              </w:rPr>
            </w:pPr>
          </w:p>
          <w:p w14:paraId="64604E28" w14:textId="36D8DBC6"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 xml:space="preserve">Several lecturers reported that the framework helped reposition feedback as an ongoing developmental process integrated within teaching activities rather than isolated written comments provided after assessment submission. Follow-up discussions within teaching teams also indicated greater consistency in the language used to discuss assessment </w:t>
            </w:r>
            <w:r w:rsidRPr="00515FFE">
              <w:rPr>
                <w:rFonts w:eastAsia="Arial" w:cs="Arial"/>
                <w:color w:val="000000" w:themeColor="text1"/>
                <w:sz w:val="24"/>
                <w:szCs w:val="24"/>
              </w:rPr>
              <w:lastRenderedPageBreak/>
              <w:t xml:space="preserve">expectations, learner improvement strategies, and formative reflection across Level 4 modules. This demonstrated my influence beyond my own teaching practice and contributed to programme-level enhancement discussions relating to learner independence, assessment engagement, and inclusive feedback practice (V5, A5, </w:t>
            </w:r>
            <w:r w:rsidR="00622CF1">
              <w:rPr>
                <w:rFonts w:eastAsia="Arial" w:cs="Arial"/>
                <w:color w:val="000000" w:themeColor="text1"/>
                <w:sz w:val="24"/>
                <w:szCs w:val="24"/>
              </w:rPr>
              <w:t xml:space="preserve">K5, </w:t>
            </w:r>
            <w:r w:rsidRPr="00515FFE">
              <w:rPr>
                <w:rFonts w:eastAsia="Arial" w:cs="Arial"/>
                <w:color w:val="000000" w:themeColor="text1"/>
                <w:sz w:val="24"/>
                <w:szCs w:val="24"/>
              </w:rPr>
              <w:t>D3.1).</w:t>
            </w:r>
          </w:p>
          <w:p w14:paraId="5DA34526" w14:textId="77777777" w:rsidR="00515FFE" w:rsidRPr="00515FFE" w:rsidRDefault="00515FFE" w:rsidP="00515FFE">
            <w:pPr>
              <w:rPr>
                <w:rFonts w:eastAsia="Arial" w:cs="Arial"/>
                <w:color w:val="000000" w:themeColor="text1"/>
                <w:sz w:val="24"/>
                <w:szCs w:val="24"/>
              </w:rPr>
            </w:pPr>
          </w:p>
          <w:p w14:paraId="5BA09CDE" w14:textId="48D8066A"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The intervention also influenced student outcomes beyond my own module. Colleagues reported increased participation during workshops, greater willingness among students to engage with formative tasks, and improved use of earlier feedback within subsequent coursework activities</w:t>
            </w:r>
            <w:r w:rsidR="00622CF1">
              <w:rPr>
                <w:rFonts w:eastAsia="Arial" w:cs="Arial"/>
                <w:color w:val="000000" w:themeColor="text1"/>
                <w:sz w:val="24"/>
                <w:szCs w:val="24"/>
              </w:rPr>
              <w:t xml:space="preserve"> </w:t>
            </w:r>
            <w:r w:rsidR="00622CF1" w:rsidRPr="00622CF1">
              <w:rPr>
                <w:rFonts w:eastAsia="Arial" w:cs="Arial"/>
                <w:color w:val="000000" w:themeColor="text1"/>
                <w:sz w:val="24"/>
                <w:szCs w:val="24"/>
              </w:rPr>
              <w:t>(A3, K3)</w:t>
            </w:r>
            <w:r w:rsidRPr="00515FFE">
              <w:rPr>
                <w:rFonts w:eastAsia="Arial" w:cs="Arial"/>
                <w:color w:val="000000" w:themeColor="text1"/>
                <w:sz w:val="24"/>
                <w:szCs w:val="24"/>
              </w:rPr>
              <w:t>. Within ACCA4023, students demonstrated fewer repeated issues relating to accessibility, validation, and implementation practices within Assessment 2 submissions compared with earlier formative activities. Students also became more confident discussing assessment criteria and identifying specific actions for improvement during tutorials and peer review discussions</w:t>
            </w:r>
            <w:r w:rsidR="00622CF1">
              <w:rPr>
                <w:rFonts w:eastAsia="Arial" w:cs="Arial"/>
                <w:color w:val="000000" w:themeColor="text1"/>
                <w:sz w:val="24"/>
                <w:szCs w:val="24"/>
              </w:rPr>
              <w:t xml:space="preserve"> </w:t>
            </w:r>
            <w:r w:rsidR="00622CF1" w:rsidRPr="00622CF1">
              <w:rPr>
                <w:rFonts w:eastAsia="Arial" w:cs="Arial"/>
                <w:color w:val="000000" w:themeColor="text1"/>
                <w:sz w:val="24"/>
                <w:szCs w:val="24"/>
              </w:rPr>
              <w:t>(A4, V1)</w:t>
            </w:r>
            <w:r w:rsidRPr="00515FFE">
              <w:rPr>
                <w:rFonts w:eastAsia="Arial" w:cs="Arial"/>
                <w:color w:val="000000" w:themeColor="text1"/>
                <w:sz w:val="24"/>
                <w:szCs w:val="24"/>
              </w:rPr>
              <w:t>. These outcomes suggested that embedding scaffolded feedback literacy activities directly within teaching sessions contributed positively to learner confidence, assessment engagement, and independent learning practices across the programme</w:t>
            </w:r>
            <w:r w:rsidR="00622CF1">
              <w:rPr>
                <w:rFonts w:eastAsia="Arial" w:cs="Arial"/>
                <w:color w:val="000000" w:themeColor="text1"/>
                <w:sz w:val="24"/>
                <w:szCs w:val="24"/>
              </w:rPr>
              <w:t xml:space="preserve"> </w:t>
            </w:r>
            <w:r w:rsidR="00622CF1" w:rsidRPr="00622CF1">
              <w:rPr>
                <w:rFonts w:eastAsia="Arial" w:cs="Arial"/>
                <w:color w:val="000000" w:themeColor="text1"/>
                <w:sz w:val="24"/>
                <w:szCs w:val="24"/>
              </w:rPr>
              <w:t>(K1,</w:t>
            </w:r>
            <w:r w:rsidR="00622CF1">
              <w:rPr>
                <w:rFonts w:eastAsia="Arial" w:cs="Arial"/>
                <w:color w:val="000000" w:themeColor="text1"/>
                <w:sz w:val="24"/>
                <w:szCs w:val="24"/>
              </w:rPr>
              <w:t xml:space="preserve"> </w:t>
            </w:r>
            <w:r w:rsidR="00622CF1" w:rsidRPr="00622CF1">
              <w:rPr>
                <w:rFonts w:eastAsia="Arial" w:cs="Arial"/>
                <w:color w:val="000000" w:themeColor="text1"/>
                <w:sz w:val="24"/>
                <w:szCs w:val="24"/>
              </w:rPr>
              <w:t>V2)</w:t>
            </w:r>
            <w:r w:rsidRPr="00515FFE">
              <w:rPr>
                <w:rFonts w:eastAsia="Arial" w:cs="Arial"/>
                <w:color w:val="000000" w:themeColor="text1"/>
                <w:sz w:val="24"/>
                <w:szCs w:val="24"/>
              </w:rPr>
              <w:t>.</w:t>
            </w:r>
          </w:p>
          <w:p w14:paraId="3BAED73A" w14:textId="77777777" w:rsidR="00515FFE" w:rsidRPr="00515FFE" w:rsidRDefault="00515FFE" w:rsidP="00515FFE">
            <w:pPr>
              <w:rPr>
                <w:rFonts w:eastAsia="Arial" w:cs="Arial"/>
                <w:color w:val="000000" w:themeColor="text1"/>
                <w:sz w:val="24"/>
                <w:szCs w:val="24"/>
              </w:rPr>
            </w:pPr>
          </w:p>
          <w:p w14:paraId="3D839919" w14:textId="01B0D351" w:rsidR="00515FFE" w:rsidRPr="00515FFE"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One challenge during this work involved balancing scaffolded guidance with learner dependency. Some students initially expected tutors to continue providing highly detailed explanations for every feedback comment. To address this, I gradually shifted responsibility towards students by requiring them to identify recurring themes within feedback before tutor intervention</w:t>
            </w:r>
            <w:r w:rsidR="00622CF1">
              <w:rPr>
                <w:rFonts w:eastAsia="Arial" w:cs="Arial"/>
                <w:color w:val="000000" w:themeColor="text1"/>
                <w:sz w:val="24"/>
                <w:szCs w:val="24"/>
              </w:rPr>
              <w:t xml:space="preserve"> </w:t>
            </w:r>
            <w:r w:rsidR="00622CF1" w:rsidRPr="00622CF1">
              <w:rPr>
                <w:rFonts w:eastAsia="Arial" w:cs="Arial"/>
                <w:color w:val="000000" w:themeColor="text1"/>
                <w:sz w:val="24"/>
                <w:szCs w:val="24"/>
              </w:rPr>
              <w:t>(K1, A4)</w:t>
            </w:r>
            <w:r w:rsidRPr="00515FFE">
              <w:rPr>
                <w:rFonts w:eastAsia="Arial" w:cs="Arial"/>
                <w:color w:val="000000" w:themeColor="text1"/>
                <w:sz w:val="24"/>
                <w:szCs w:val="24"/>
              </w:rPr>
              <w:t>. Another challenge involved maintaining consistency among teaching staff delivering across multiple cohorts. The workshop and framework documentation provided a shared structure while still allowing lecturers flexibility to adapt activities for their own modules and learner groups</w:t>
            </w:r>
            <w:r w:rsidR="00622CF1">
              <w:rPr>
                <w:rFonts w:eastAsia="Arial" w:cs="Arial"/>
                <w:color w:val="000000" w:themeColor="text1"/>
                <w:sz w:val="24"/>
                <w:szCs w:val="24"/>
              </w:rPr>
              <w:t xml:space="preserve"> (K5, V5)</w:t>
            </w:r>
            <w:r w:rsidRPr="00515FFE">
              <w:rPr>
                <w:rFonts w:eastAsia="Arial" w:cs="Arial"/>
                <w:color w:val="000000" w:themeColor="text1"/>
                <w:sz w:val="24"/>
                <w:szCs w:val="24"/>
              </w:rPr>
              <w:t xml:space="preserve">. </w:t>
            </w:r>
            <w:r w:rsidR="00E922E3" w:rsidRPr="00E922E3">
              <w:rPr>
                <w:rFonts w:eastAsia="Arial" w:cs="Arial"/>
                <w:color w:val="000000" w:themeColor="text1"/>
                <w:sz w:val="24"/>
                <w:szCs w:val="24"/>
              </w:rPr>
              <w:t>This reflected</w:t>
            </w:r>
            <w:r w:rsidR="00E922E3">
              <w:rPr>
                <w:rFonts w:eastAsia="Arial" w:cs="Arial"/>
                <w:color w:val="000000" w:themeColor="text1"/>
                <w:sz w:val="24"/>
                <w:szCs w:val="24"/>
              </w:rPr>
              <w:t xml:space="preserve"> </w:t>
            </w:r>
            <w:r w:rsidRPr="00515FFE">
              <w:rPr>
                <w:rFonts w:eastAsia="Arial" w:cs="Arial"/>
                <w:color w:val="000000" w:themeColor="text1"/>
                <w:sz w:val="24"/>
                <w:szCs w:val="24"/>
              </w:rPr>
              <w:t>Boud and Molloy’s (2013) argument that curriculum-wide approaches to feedback create opportunities for learners to engage progressively with feedback throughout their studies</w:t>
            </w:r>
            <w:r w:rsidR="00622CF1">
              <w:rPr>
                <w:rFonts w:eastAsia="Arial" w:cs="Arial"/>
                <w:color w:val="000000" w:themeColor="text1"/>
                <w:sz w:val="24"/>
                <w:szCs w:val="24"/>
              </w:rPr>
              <w:t xml:space="preserve"> </w:t>
            </w:r>
            <w:r w:rsidR="00622CF1" w:rsidRPr="00622CF1">
              <w:rPr>
                <w:rFonts w:eastAsia="Arial" w:cs="Arial"/>
                <w:color w:val="000000" w:themeColor="text1"/>
                <w:sz w:val="24"/>
                <w:szCs w:val="24"/>
              </w:rPr>
              <w:t>(</w:t>
            </w:r>
            <w:r w:rsidR="00622CF1">
              <w:rPr>
                <w:rFonts w:eastAsia="Arial" w:cs="Arial"/>
                <w:color w:val="000000" w:themeColor="text1"/>
                <w:sz w:val="24"/>
                <w:szCs w:val="24"/>
              </w:rPr>
              <w:t>V3</w:t>
            </w:r>
            <w:r w:rsidR="00622CF1" w:rsidRPr="00622CF1">
              <w:rPr>
                <w:rFonts w:eastAsia="Arial" w:cs="Arial"/>
                <w:color w:val="000000" w:themeColor="text1"/>
                <w:sz w:val="24"/>
                <w:szCs w:val="24"/>
              </w:rPr>
              <w:t>)</w:t>
            </w:r>
            <w:r w:rsidRPr="00515FFE">
              <w:rPr>
                <w:rFonts w:eastAsia="Arial" w:cs="Arial"/>
                <w:color w:val="000000" w:themeColor="text1"/>
                <w:sz w:val="24"/>
                <w:szCs w:val="24"/>
              </w:rPr>
              <w:t>.</w:t>
            </w:r>
          </w:p>
          <w:p w14:paraId="7C95236D" w14:textId="77777777" w:rsidR="00515FFE" w:rsidRPr="00515FFE" w:rsidRDefault="00515FFE" w:rsidP="00515FFE">
            <w:pPr>
              <w:rPr>
                <w:rFonts w:eastAsia="Arial" w:cs="Arial"/>
                <w:color w:val="000000" w:themeColor="text1"/>
                <w:sz w:val="24"/>
                <w:szCs w:val="24"/>
              </w:rPr>
            </w:pPr>
          </w:p>
          <w:p w14:paraId="7F14B44D" w14:textId="1E30E5CC" w:rsidR="4F7FBBAB" w:rsidRDefault="00515FFE" w:rsidP="00C251F5">
            <w:pPr>
              <w:jc w:val="both"/>
              <w:rPr>
                <w:rFonts w:eastAsia="Arial" w:cs="Arial"/>
                <w:color w:val="000000" w:themeColor="text1"/>
                <w:sz w:val="24"/>
                <w:szCs w:val="24"/>
              </w:rPr>
            </w:pPr>
            <w:r w:rsidRPr="00515FFE">
              <w:rPr>
                <w:rFonts w:eastAsia="Arial" w:cs="Arial"/>
                <w:color w:val="000000" w:themeColor="text1"/>
                <w:sz w:val="24"/>
                <w:szCs w:val="24"/>
              </w:rPr>
              <w:t>Reflecting on this experience,</w:t>
            </w:r>
            <w:r w:rsidR="005540C4">
              <w:rPr>
                <w:rFonts w:eastAsia="Arial" w:cs="Arial"/>
                <w:color w:val="000000" w:themeColor="text1"/>
                <w:sz w:val="24"/>
                <w:szCs w:val="24"/>
              </w:rPr>
              <w:t xml:space="preserve"> </w:t>
            </w:r>
            <w:r w:rsidR="005540C4" w:rsidRPr="005540C4">
              <w:rPr>
                <w:rFonts w:eastAsia="Arial" w:cs="Arial"/>
                <w:color w:val="000000" w:themeColor="text1"/>
                <w:sz w:val="24"/>
                <w:szCs w:val="24"/>
              </w:rPr>
              <w:t>drawing on Schön’s (19</w:t>
            </w:r>
            <w:r w:rsidR="003C5E06">
              <w:rPr>
                <w:rFonts w:eastAsia="Arial" w:cs="Arial"/>
                <w:color w:val="000000" w:themeColor="text1"/>
                <w:sz w:val="24"/>
                <w:szCs w:val="24"/>
              </w:rPr>
              <w:t>92</w:t>
            </w:r>
            <w:r w:rsidR="005540C4" w:rsidRPr="005540C4">
              <w:rPr>
                <w:rFonts w:eastAsia="Arial" w:cs="Arial"/>
                <w:color w:val="000000" w:themeColor="text1"/>
                <w:sz w:val="24"/>
                <w:szCs w:val="24"/>
              </w:rPr>
              <w:t>) concept of reflection-on-action</w:t>
            </w:r>
            <w:r w:rsidR="005540C4">
              <w:rPr>
                <w:rFonts w:eastAsia="Arial" w:cs="Arial"/>
                <w:color w:val="000000" w:themeColor="text1"/>
                <w:sz w:val="24"/>
                <w:szCs w:val="24"/>
              </w:rPr>
              <w:t>,</w:t>
            </w:r>
            <w:r w:rsidRPr="00515FFE">
              <w:rPr>
                <w:rFonts w:eastAsia="Arial" w:cs="Arial"/>
                <w:color w:val="000000" w:themeColor="text1"/>
                <w:sz w:val="24"/>
                <w:szCs w:val="24"/>
              </w:rPr>
              <w:t xml:space="preserve"> I recognise that students entering Level 4 often require explicit support in understanding how feedback operates within higher education learning environments. I also recognise that feedback literacy develops not through isolated written comments, but through repeated opportunities for interpretation, discussion, reflection, and action embedded within teaching activities. This experience reinforced the importance of programme-level approaches to feedback literacy and strengthened my understanding of strategic educational leadership, collaborative enhancement, and inclusive assessment practice. It also demonstrated the value of supporting colleagues to embed scaffolded and developmental feedback approaches across modules and teaching teams in ways that promote learner confidence, engagement, and independence over time (A5, V3, V5).</w:t>
            </w:r>
          </w:p>
          <w:p w14:paraId="46831BED" w14:textId="36438608" w:rsidR="4F7FBBAB" w:rsidRDefault="4F7FBBAB" w:rsidP="4F7FBBAB">
            <w:pPr>
              <w:rPr>
                <w:rFonts w:eastAsia="Arial" w:cs="Arial"/>
                <w:color w:val="000000" w:themeColor="text1"/>
                <w:sz w:val="24"/>
                <w:szCs w:val="24"/>
              </w:rPr>
            </w:pPr>
          </w:p>
        </w:tc>
      </w:tr>
    </w:tbl>
    <w:p w14:paraId="0C125F58" w14:textId="74A6064C" w:rsidR="4F7FBBAB" w:rsidRDefault="4F7FBBAB" w:rsidP="4F7FBBAB">
      <w:pPr>
        <w:rPr>
          <w:rFonts w:cs="Arial"/>
          <w:b/>
          <w:bCs/>
          <w:sz w:val="32"/>
          <w:szCs w:val="32"/>
        </w:rPr>
      </w:pPr>
    </w:p>
    <w:p w14:paraId="011E2BEF" w14:textId="77777777" w:rsidR="00DB028C" w:rsidRDefault="00DB028C">
      <w:pPr>
        <w:spacing w:after="200" w:line="276" w:lineRule="auto"/>
        <w:rPr>
          <w:rFonts w:cs="Arial"/>
          <w:b/>
          <w:bCs/>
          <w:sz w:val="32"/>
          <w:szCs w:val="32"/>
        </w:rPr>
      </w:pPr>
      <w:r>
        <w:rPr>
          <w:rFonts w:cs="Arial"/>
          <w:b/>
          <w:bCs/>
          <w:sz w:val="32"/>
          <w:szCs w:val="32"/>
        </w:rPr>
        <w:br w:type="page"/>
      </w:r>
    </w:p>
    <w:p w14:paraId="24377614" w14:textId="29F39815" w:rsidR="41F6C0B5" w:rsidRDefault="41F6C0B5" w:rsidP="4F7FBBAB">
      <w:pPr>
        <w:rPr>
          <w:rFonts w:cs="Arial"/>
          <w:b/>
          <w:bCs/>
          <w:sz w:val="32"/>
          <w:szCs w:val="32"/>
        </w:rPr>
      </w:pPr>
      <w:r w:rsidRPr="4F7FBBAB">
        <w:rPr>
          <w:rFonts w:cs="Arial"/>
          <w:b/>
          <w:bCs/>
          <w:sz w:val="32"/>
          <w:szCs w:val="32"/>
        </w:rPr>
        <w:lastRenderedPageBreak/>
        <w:t>Case Study 2</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050"/>
      </w:tblGrid>
      <w:tr w:rsidR="00DB028C" w14:paraId="0F06C07D" w14:textId="77777777" w:rsidTr="174F903D">
        <w:trPr>
          <w:trHeight w:val="300"/>
        </w:trPr>
        <w:tc>
          <w:tcPr>
            <w:tcW w:w="10050" w:type="dxa"/>
            <w:tcBorders>
              <w:top w:val="single" w:sz="6" w:space="0" w:color="auto"/>
              <w:left w:val="single" w:sz="6" w:space="0" w:color="auto"/>
              <w:bottom w:val="single" w:sz="12" w:space="0" w:color="000000" w:themeColor="text1"/>
              <w:right w:val="single" w:sz="6" w:space="0" w:color="auto"/>
            </w:tcBorders>
            <w:tcMar>
              <w:left w:w="105" w:type="dxa"/>
              <w:right w:w="105" w:type="dxa"/>
            </w:tcMar>
          </w:tcPr>
          <w:p w14:paraId="06B07072" w14:textId="28F06971" w:rsidR="00DB028C" w:rsidRDefault="00DB028C" w:rsidP="009D2CAD">
            <w:pPr>
              <w:rPr>
                <w:rFonts w:eastAsia="Arial" w:cs="Arial"/>
                <w:color w:val="000000" w:themeColor="text1"/>
                <w:sz w:val="24"/>
                <w:szCs w:val="24"/>
              </w:rPr>
            </w:pPr>
            <w:r w:rsidRPr="174F903D">
              <w:rPr>
                <w:rFonts w:eastAsia="Arial" w:cs="Arial"/>
                <w:color w:val="000000" w:themeColor="text1"/>
                <w:sz w:val="24"/>
                <w:szCs w:val="24"/>
              </w:rPr>
              <w:t>Case Study 2</w:t>
            </w:r>
            <w:r w:rsidR="006257C5" w:rsidRPr="174F903D">
              <w:rPr>
                <w:rFonts w:eastAsia="Arial" w:cs="Arial"/>
                <w:color w:val="000000" w:themeColor="text1"/>
                <w:sz w:val="24"/>
                <w:szCs w:val="24"/>
              </w:rPr>
              <w:t>-</w:t>
            </w:r>
            <w:r w:rsidR="00AE1E75" w:rsidRPr="174F903D">
              <w:rPr>
                <w:rFonts w:eastAsia="Arial" w:cs="Arial"/>
                <w:color w:val="000000" w:themeColor="text1"/>
                <w:sz w:val="24"/>
                <w:szCs w:val="24"/>
              </w:rPr>
              <w:t xml:space="preserve"> </w:t>
            </w:r>
            <w:r w:rsidR="00495EC0" w:rsidRPr="00495EC0">
              <w:rPr>
                <w:rFonts w:eastAsia="Arial" w:cs="Arial"/>
                <w:color w:val="000000" w:themeColor="text1"/>
                <w:sz w:val="24"/>
                <w:szCs w:val="24"/>
              </w:rPr>
              <w:t>Designing a Python Programming Bridging Intervention and Leading its Adoption Across Tutor Clusters at The Open University</w:t>
            </w:r>
          </w:p>
        </w:tc>
      </w:tr>
      <w:tr w:rsidR="4F7FBBAB" w14:paraId="7EC35592" w14:textId="77777777" w:rsidTr="174F903D">
        <w:trPr>
          <w:trHeight w:val="2895"/>
        </w:trPr>
        <w:tc>
          <w:tcPr>
            <w:tcW w:w="10050" w:type="dxa"/>
            <w:tcBorders>
              <w:top w:val="single" w:sz="12" w:space="0" w:color="000000" w:themeColor="text1"/>
              <w:left w:val="single" w:sz="6" w:space="0" w:color="auto"/>
              <w:bottom w:val="single" w:sz="6" w:space="0" w:color="auto"/>
              <w:right w:val="single" w:sz="6" w:space="0" w:color="auto"/>
            </w:tcBorders>
            <w:tcMar>
              <w:left w:w="105" w:type="dxa"/>
              <w:right w:w="105" w:type="dxa"/>
            </w:tcMar>
          </w:tcPr>
          <w:p w14:paraId="51D36175" w14:textId="7DE65EB1" w:rsidR="4F7FBBAB" w:rsidRDefault="4F7FBBAB" w:rsidP="4F7FBBAB">
            <w:pPr>
              <w:rPr>
                <w:rFonts w:eastAsia="Arial" w:cs="Arial"/>
                <w:color w:val="000000" w:themeColor="text1"/>
                <w:sz w:val="24"/>
                <w:szCs w:val="24"/>
              </w:rPr>
            </w:pPr>
            <w:r w:rsidRPr="4F7FBBAB">
              <w:rPr>
                <w:rFonts w:eastAsia="Arial" w:cs="Arial"/>
                <w:color w:val="000000" w:themeColor="text1"/>
                <w:sz w:val="24"/>
                <w:szCs w:val="24"/>
              </w:rPr>
              <w:t xml:space="preserve">Write your </w:t>
            </w:r>
            <w:r w:rsidR="5EBB541B" w:rsidRPr="4F7FBBAB">
              <w:rPr>
                <w:rFonts w:eastAsia="Arial" w:cs="Arial"/>
                <w:color w:val="000000" w:themeColor="text1"/>
                <w:sz w:val="24"/>
                <w:szCs w:val="24"/>
              </w:rPr>
              <w:t xml:space="preserve">second </w:t>
            </w:r>
            <w:r w:rsidRPr="4F7FBBAB">
              <w:rPr>
                <w:rFonts w:eastAsia="Arial" w:cs="Arial"/>
                <w:color w:val="000000" w:themeColor="text1"/>
                <w:sz w:val="24"/>
                <w:szCs w:val="24"/>
              </w:rPr>
              <w:t>case study here. References and citations are to be listed in a dedicated field below</w:t>
            </w:r>
            <w:r w:rsidR="2F976D2A" w:rsidRPr="4F7FBBAB">
              <w:rPr>
                <w:rFonts w:eastAsia="Arial" w:cs="Arial"/>
                <w:color w:val="000000" w:themeColor="text1"/>
                <w:sz w:val="24"/>
                <w:szCs w:val="24"/>
              </w:rPr>
              <w:t>.</w:t>
            </w:r>
          </w:p>
          <w:p w14:paraId="2DC3140B" w14:textId="6555DEB9" w:rsidR="00FB462F" w:rsidRPr="00FB462F" w:rsidRDefault="005540C4" w:rsidP="004D4095">
            <w:pPr>
              <w:jc w:val="both"/>
              <w:rPr>
                <w:rFonts w:eastAsia="Arial" w:cs="Arial"/>
                <w:color w:val="000000" w:themeColor="text1"/>
                <w:sz w:val="24"/>
                <w:szCs w:val="24"/>
              </w:rPr>
            </w:pPr>
            <w:r w:rsidRPr="005540C4">
              <w:rPr>
                <w:rFonts w:eastAsia="Arial" w:cs="Arial"/>
                <w:color w:val="000000" w:themeColor="text1"/>
                <w:sz w:val="24"/>
                <w:szCs w:val="24"/>
                <w:lang w:val="en-US"/>
              </w:rPr>
              <w:t xml:space="preserve">This case study </w:t>
            </w:r>
            <w:r w:rsidR="00075613">
              <w:rPr>
                <w:rFonts w:eastAsia="Arial" w:cs="Arial"/>
                <w:color w:val="000000" w:themeColor="text1"/>
                <w:sz w:val="24"/>
                <w:szCs w:val="24"/>
                <w:lang w:val="en-US"/>
              </w:rPr>
              <w:t>describes</w:t>
            </w:r>
            <w:r w:rsidRPr="005540C4">
              <w:rPr>
                <w:rFonts w:eastAsia="Arial" w:cs="Arial"/>
                <w:color w:val="000000" w:themeColor="text1"/>
                <w:sz w:val="24"/>
                <w:szCs w:val="24"/>
                <w:lang w:val="en-US"/>
              </w:rPr>
              <w:t xml:space="preserve"> on how I used a Python programming bridging intervention, originally designed for my own tutor cluster, as a vehicle to influence teaching practice across multiple tutor clusters on The Open University’s M269 (Algorithms, Data Structures and Computability) module</w:t>
            </w:r>
            <w:r w:rsidR="009A2A44">
              <w:rPr>
                <w:rFonts w:eastAsia="Arial" w:cs="Arial"/>
                <w:color w:val="000000" w:themeColor="text1"/>
                <w:sz w:val="24"/>
                <w:szCs w:val="24"/>
                <w:lang w:val="en-US"/>
              </w:rPr>
              <w:t>,</w:t>
            </w:r>
            <w:r w:rsidRPr="005540C4">
              <w:rPr>
                <w:rFonts w:eastAsia="Arial" w:cs="Arial"/>
                <w:color w:val="000000" w:themeColor="text1"/>
                <w:sz w:val="24"/>
                <w:szCs w:val="24"/>
                <w:lang w:val="en-US"/>
              </w:rPr>
              <w:t xml:space="preserve"> working with colleagues to change how they prepared distance learners for a technically demanding module, and evidencing that change in their subsequent practice.</w:t>
            </w:r>
            <w:r w:rsidR="004D4095">
              <w:rPr>
                <w:rFonts w:eastAsia="Arial" w:cs="Arial"/>
                <w:color w:val="000000" w:themeColor="text1"/>
                <w:sz w:val="24"/>
                <w:szCs w:val="24"/>
                <w:lang w:val="en-US"/>
              </w:rPr>
              <w:t xml:space="preserve"> </w:t>
            </w:r>
            <w:r w:rsidR="00FB462F" w:rsidRPr="00FB462F">
              <w:rPr>
                <w:rFonts w:eastAsia="Arial" w:cs="Arial"/>
                <w:color w:val="000000" w:themeColor="text1"/>
                <w:sz w:val="24"/>
                <w:szCs w:val="24"/>
              </w:rPr>
              <w:t>M269 is a Level 2 undergraduate module delivered fully online in tutor clusters, with a diverse cohort of distance learners. In my first presentation of the module, I observed through tutorial interactions, forum discussions, and student queries that many learners struggled with Python programming, which is a fundamental requirement for engaging with algorithmic problem-solving in the module (K1, K2). Research in computing education highlights that novice learners often struggle with programming due to cognitive load and lack of prior experience (Robins, Rountree and Rountree, 2003). The existing study plan began with a generic induction and quickly progressed into core module content, assuming prior familiarity with Python. This created a barrier to learning for a significant proportion of students, impacting their confidence and early engagement</w:t>
            </w:r>
            <w:r>
              <w:rPr>
                <w:rFonts w:eastAsia="Arial" w:cs="Arial"/>
                <w:color w:val="000000" w:themeColor="text1"/>
                <w:sz w:val="24"/>
                <w:szCs w:val="24"/>
              </w:rPr>
              <w:t xml:space="preserve"> </w:t>
            </w:r>
            <w:r w:rsidRPr="005540C4">
              <w:rPr>
                <w:rFonts w:eastAsia="Arial" w:cs="Arial"/>
                <w:color w:val="000000" w:themeColor="text1"/>
                <w:sz w:val="24"/>
                <w:szCs w:val="24"/>
              </w:rPr>
              <w:t>, and because tutor clusters share a common study plan and assessment schedule</w:t>
            </w:r>
            <w:r>
              <w:rPr>
                <w:rFonts w:eastAsia="Arial" w:cs="Arial"/>
                <w:color w:val="000000" w:themeColor="text1"/>
                <w:sz w:val="24"/>
                <w:szCs w:val="24"/>
              </w:rPr>
              <w:t xml:space="preserve">, </w:t>
            </w:r>
            <w:r w:rsidRPr="005540C4">
              <w:rPr>
                <w:rFonts w:eastAsia="Arial" w:cs="Arial"/>
                <w:color w:val="000000" w:themeColor="text1"/>
                <w:sz w:val="24"/>
                <w:szCs w:val="24"/>
              </w:rPr>
              <w:t>I recognised that a gap of this kind in the induction period was likely to be affecting colleagues’ students as much as my own, not just mine</w:t>
            </w:r>
            <w:r w:rsidR="00622CF1">
              <w:rPr>
                <w:rFonts w:eastAsia="Arial" w:cs="Arial"/>
                <w:color w:val="000000" w:themeColor="text1"/>
                <w:sz w:val="24"/>
                <w:szCs w:val="24"/>
              </w:rPr>
              <w:t xml:space="preserve"> (K1, V4)</w:t>
            </w:r>
            <w:r w:rsidRPr="005540C4">
              <w:rPr>
                <w:rFonts w:eastAsia="Arial" w:cs="Arial"/>
                <w:color w:val="000000" w:themeColor="text1"/>
                <w:sz w:val="24"/>
                <w:szCs w:val="24"/>
              </w:rPr>
              <w:t>.</w:t>
            </w:r>
          </w:p>
          <w:p w14:paraId="2FE4B407" w14:textId="77777777" w:rsidR="00FB462F" w:rsidRPr="00FB462F" w:rsidRDefault="00FB462F" w:rsidP="00D75E22">
            <w:pPr>
              <w:jc w:val="both"/>
              <w:rPr>
                <w:rFonts w:eastAsia="Arial" w:cs="Arial"/>
                <w:color w:val="000000" w:themeColor="text1"/>
                <w:sz w:val="24"/>
                <w:szCs w:val="24"/>
              </w:rPr>
            </w:pPr>
          </w:p>
          <w:p w14:paraId="73DB35B3" w14:textId="441ED78E" w:rsidR="00FB462F" w:rsidRPr="00FB462F" w:rsidRDefault="00FB462F" w:rsidP="00D75E22">
            <w:pPr>
              <w:jc w:val="both"/>
              <w:rPr>
                <w:rFonts w:eastAsia="Arial" w:cs="Arial"/>
                <w:color w:val="000000" w:themeColor="text1"/>
                <w:sz w:val="24"/>
                <w:szCs w:val="24"/>
              </w:rPr>
            </w:pPr>
            <w:r w:rsidRPr="00FB462F">
              <w:rPr>
                <w:rFonts w:eastAsia="Arial" w:cs="Arial"/>
                <w:color w:val="000000" w:themeColor="text1"/>
                <w:sz w:val="24"/>
                <w:szCs w:val="24"/>
              </w:rPr>
              <w:t>Recognising this gap, I aimed to design an intervention that would support students’ transition into the module by strengthening their foundational programming skills</w:t>
            </w:r>
            <w:r w:rsidR="005540C4" w:rsidRPr="005540C4">
              <w:rPr>
                <w:rFonts w:eastAsia="Arial" w:cs="Arial"/>
                <w:color w:val="000000" w:themeColor="text1"/>
                <w:sz w:val="24"/>
                <w:szCs w:val="24"/>
              </w:rPr>
              <w:t>, with the explicit intention from the outset of testing it within my own cluster before proposing it as shared practice across clusters</w:t>
            </w:r>
            <w:r w:rsidRPr="00FB462F">
              <w:rPr>
                <w:rFonts w:eastAsia="Arial" w:cs="Arial"/>
                <w:color w:val="000000" w:themeColor="text1"/>
                <w:sz w:val="24"/>
                <w:szCs w:val="24"/>
              </w:rPr>
              <w:t xml:space="preserve">. </w:t>
            </w:r>
            <w:r w:rsidR="000D5FB6" w:rsidRPr="000D5FB6">
              <w:rPr>
                <w:rFonts w:eastAsia="Arial" w:cs="Arial"/>
                <w:color w:val="000000" w:themeColor="text1"/>
                <w:sz w:val="24"/>
                <w:szCs w:val="24"/>
              </w:rPr>
              <w:t>Drawing on scaffolding principles for novice programmers in online settings (Zheng et al., 2022)</w:t>
            </w:r>
            <w:r w:rsidR="000D5FB6">
              <w:rPr>
                <w:rFonts w:eastAsia="Arial" w:cs="Arial"/>
                <w:color w:val="000000" w:themeColor="text1"/>
                <w:sz w:val="24"/>
                <w:szCs w:val="24"/>
              </w:rPr>
              <w:t xml:space="preserve"> </w:t>
            </w:r>
            <w:r w:rsidR="006257C5" w:rsidRPr="006257C5">
              <w:rPr>
                <w:rFonts w:eastAsia="Arial" w:cs="Arial"/>
                <w:color w:val="000000" w:themeColor="text1"/>
                <w:sz w:val="24"/>
                <w:szCs w:val="24"/>
              </w:rPr>
              <w:t xml:space="preserve">structured online learning design principles (Salmon, 2013), and inclusive learning and teaching principles for diverse cohorts </w:t>
            </w:r>
            <w:r w:rsidR="00C513B1" w:rsidRPr="00C513B1">
              <w:rPr>
                <w:rFonts w:eastAsia="Arial" w:cs="Arial"/>
                <w:color w:val="000000" w:themeColor="text1"/>
                <w:sz w:val="24"/>
                <w:szCs w:val="24"/>
              </w:rPr>
              <w:t xml:space="preserve">(Stripe and </w:t>
            </w:r>
            <w:proofErr w:type="spellStart"/>
            <w:r w:rsidR="00C513B1" w:rsidRPr="00C513B1">
              <w:rPr>
                <w:rFonts w:eastAsia="Arial" w:cs="Arial"/>
                <w:color w:val="000000" w:themeColor="text1"/>
                <w:sz w:val="24"/>
                <w:szCs w:val="24"/>
              </w:rPr>
              <w:t>Ntonia</w:t>
            </w:r>
            <w:proofErr w:type="spellEnd"/>
            <w:r w:rsidR="00C513B1" w:rsidRPr="00C513B1">
              <w:rPr>
                <w:rFonts w:eastAsia="Arial" w:cs="Arial"/>
                <w:color w:val="000000" w:themeColor="text1"/>
                <w:sz w:val="24"/>
                <w:szCs w:val="24"/>
              </w:rPr>
              <w:t>, 2023)</w:t>
            </w:r>
            <w:r w:rsidR="006257C5" w:rsidRPr="006257C5">
              <w:rPr>
                <w:rFonts w:eastAsia="Arial" w:cs="Arial"/>
                <w:color w:val="000000" w:themeColor="text1"/>
                <w:sz w:val="24"/>
                <w:szCs w:val="24"/>
              </w:rPr>
              <w:t>,</w:t>
            </w:r>
            <w:r w:rsidRPr="00FB462F">
              <w:rPr>
                <w:rFonts w:eastAsia="Arial" w:cs="Arial"/>
                <w:color w:val="000000" w:themeColor="text1"/>
                <w:sz w:val="24"/>
                <w:szCs w:val="24"/>
              </w:rPr>
              <w:t xml:space="preserve"> I developed a Python programming refresher course to be delivered during the induction week (A1, </w:t>
            </w:r>
            <w:r w:rsidR="006257C5">
              <w:rPr>
                <w:rFonts w:eastAsia="Arial" w:cs="Arial"/>
                <w:color w:val="000000" w:themeColor="text1"/>
                <w:sz w:val="24"/>
                <w:szCs w:val="24"/>
              </w:rPr>
              <w:t xml:space="preserve">K2, </w:t>
            </w:r>
            <w:r w:rsidRPr="00FB462F">
              <w:rPr>
                <w:rFonts w:eastAsia="Arial" w:cs="Arial"/>
                <w:color w:val="000000" w:themeColor="text1"/>
                <w:sz w:val="24"/>
                <w:szCs w:val="24"/>
              </w:rPr>
              <w:t>V3). The intention was to provide an inclusive starting point for all learners, regardless of prior experience, thereby promoting equity, participation and confidence (</w:t>
            </w:r>
            <w:r w:rsidR="00234959">
              <w:rPr>
                <w:rFonts w:eastAsia="Arial" w:cs="Arial"/>
                <w:color w:val="000000" w:themeColor="text1"/>
                <w:sz w:val="24"/>
                <w:szCs w:val="24"/>
              </w:rPr>
              <w:t xml:space="preserve">A1,A4, </w:t>
            </w:r>
            <w:r w:rsidRPr="00FB462F">
              <w:rPr>
                <w:rFonts w:eastAsia="Arial" w:cs="Arial"/>
                <w:color w:val="000000" w:themeColor="text1"/>
                <w:sz w:val="24"/>
                <w:szCs w:val="24"/>
              </w:rPr>
              <w:t>V1, V2</w:t>
            </w:r>
            <w:r w:rsidR="00234959">
              <w:rPr>
                <w:rFonts w:eastAsia="Arial" w:cs="Arial"/>
                <w:color w:val="000000" w:themeColor="text1"/>
                <w:sz w:val="24"/>
                <w:szCs w:val="24"/>
              </w:rPr>
              <w:t>, V3</w:t>
            </w:r>
            <w:r w:rsidRPr="00FB462F">
              <w:rPr>
                <w:rFonts w:eastAsia="Arial" w:cs="Arial"/>
                <w:color w:val="000000" w:themeColor="text1"/>
                <w:sz w:val="24"/>
                <w:szCs w:val="24"/>
              </w:rPr>
              <w:t>).</w:t>
            </w:r>
          </w:p>
          <w:p w14:paraId="3BA806F8" w14:textId="77777777" w:rsidR="00FB462F" w:rsidRPr="00FB462F" w:rsidRDefault="00FB462F" w:rsidP="00D75E22">
            <w:pPr>
              <w:jc w:val="both"/>
              <w:rPr>
                <w:rFonts w:eastAsia="Arial" w:cs="Arial"/>
                <w:color w:val="000000" w:themeColor="text1"/>
                <w:sz w:val="24"/>
                <w:szCs w:val="24"/>
              </w:rPr>
            </w:pPr>
          </w:p>
          <w:p w14:paraId="38202426" w14:textId="2AB3BEA3" w:rsidR="00FB462F" w:rsidRPr="00FB462F" w:rsidRDefault="00FB462F" w:rsidP="00D75E22">
            <w:pPr>
              <w:jc w:val="both"/>
              <w:rPr>
                <w:rFonts w:eastAsia="Arial" w:cs="Arial"/>
                <w:color w:val="000000" w:themeColor="text1"/>
                <w:sz w:val="24"/>
                <w:szCs w:val="24"/>
              </w:rPr>
            </w:pPr>
            <w:r w:rsidRPr="00FB462F">
              <w:rPr>
                <w:rFonts w:eastAsia="Arial" w:cs="Arial"/>
                <w:color w:val="000000" w:themeColor="text1"/>
                <w:sz w:val="24"/>
                <w:szCs w:val="24"/>
              </w:rPr>
              <w:t xml:space="preserve">I designed and delivered the refresher course fully online using Adobe Connect and Jupyter Notebooks, enabling interactive, practice-based learning </w:t>
            </w:r>
            <w:r w:rsidR="00931628">
              <w:rPr>
                <w:rFonts w:eastAsia="Arial" w:cs="Arial"/>
                <w:color w:val="000000" w:themeColor="text1"/>
                <w:sz w:val="24"/>
                <w:szCs w:val="24"/>
              </w:rPr>
              <w:t>applying</w:t>
            </w:r>
            <w:r w:rsidRPr="00FB462F">
              <w:rPr>
                <w:rFonts w:eastAsia="Arial" w:cs="Arial"/>
                <w:color w:val="000000" w:themeColor="text1"/>
                <w:sz w:val="24"/>
                <w:szCs w:val="24"/>
              </w:rPr>
              <w:t xml:space="preserve"> digital pedagogy principles (</w:t>
            </w:r>
            <w:proofErr w:type="spellStart"/>
            <w:r w:rsidRPr="00FB462F">
              <w:rPr>
                <w:rFonts w:eastAsia="Arial" w:cs="Arial"/>
                <w:color w:val="000000" w:themeColor="text1"/>
                <w:sz w:val="24"/>
                <w:szCs w:val="24"/>
              </w:rPr>
              <w:t>Laurillard</w:t>
            </w:r>
            <w:proofErr w:type="spellEnd"/>
            <w:r w:rsidRPr="00FB462F">
              <w:rPr>
                <w:rFonts w:eastAsia="Arial" w:cs="Arial"/>
                <w:color w:val="000000" w:themeColor="text1"/>
                <w:sz w:val="24"/>
                <w:szCs w:val="24"/>
              </w:rPr>
              <w:t>, 2012) (A2, K4). The sessions were structured to gradually build competence through guided examples, live coding and problem-solving activities. This approach was informed by active learning principles and constructive alignment (Biggs, 1996), ensuring that the activities directly supported the skills required for success in the module (</w:t>
            </w:r>
            <w:r w:rsidR="00234959">
              <w:rPr>
                <w:rFonts w:eastAsia="Arial" w:cs="Arial"/>
                <w:color w:val="000000" w:themeColor="text1"/>
                <w:sz w:val="24"/>
                <w:szCs w:val="24"/>
              </w:rPr>
              <w:t xml:space="preserve">A2, </w:t>
            </w:r>
            <w:r w:rsidRPr="00FB462F">
              <w:rPr>
                <w:rFonts w:eastAsia="Arial" w:cs="Arial"/>
                <w:color w:val="000000" w:themeColor="text1"/>
                <w:sz w:val="24"/>
                <w:szCs w:val="24"/>
              </w:rPr>
              <w:t>K2</w:t>
            </w:r>
            <w:r w:rsidR="00234959">
              <w:rPr>
                <w:rFonts w:eastAsia="Arial" w:cs="Arial"/>
                <w:color w:val="000000" w:themeColor="text1"/>
                <w:sz w:val="24"/>
                <w:szCs w:val="24"/>
              </w:rPr>
              <w:t>, K4</w:t>
            </w:r>
            <w:r w:rsidRPr="00FB462F">
              <w:rPr>
                <w:rFonts w:eastAsia="Arial" w:cs="Arial"/>
                <w:color w:val="000000" w:themeColor="text1"/>
                <w:sz w:val="24"/>
                <w:szCs w:val="24"/>
              </w:rPr>
              <w:t>).</w:t>
            </w:r>
          </w:p>
          <w:p w14:paraId="4417874B" w14:textId="77777777" w:rsidR="00FB462F" w:rsidRPr="00FB462F" w:rsidRDefault="00FB462F" w:rsidP="00D75E22">
            <w:pPr>
              <w:jc w:val="both"/>
              <w:rPr>
                <w:rFonts w:eastAsia="Arial" w:cs="Arial"/>
                <w:color w:val="000000" w:themeColor="text1"/>
                <w:sz w:val="24"/>
                <w:szCs w:val="24"/>
              </w:rPr>
            </w:pPr>
          </w:p>
          <w:p w14:paraId="12F447F6" w14:textId="6003A2C9" w:rsidR="00FB462F" w:rsidRPr="00FB462F" w:rsidRDefault="00FB462F" w:rsidP="00D75E22">
            <w:pPr>
              <w:jc w:val="both"/>
              <w:rPr>
                <w:rFonts w:eastAsia="Arial" w:cs="Arial"/>
                <w:color w:val="000000" w:themeColor="text1"/>
                <w:sz w:val="24"/>
                <w:szCs w:val="24"/>
              </w:rPr>
            </w:pPr>
            <w:r w:rsidRPr="00FB462F">
              <w:rPr>
                <w:rFonts w:eastAsia="Arial" w:cs="Arial"/>
                <w:color w:val="000000" w:themeColor="text1"/>
                <w:sz w:val="24"/>
                <w:szCs w:val="24"/>
              </w:rPr>
              <w:t xml:space="preserve">The intervention was implemented within my tutor cluster and evaluated through student feedback, participation levels and early engagement indicators (K3). Students reported increased confidence in Python programming and a clearer </w:t>
            </w:r>
            <w:r w:rsidR="00C76BBD">
              <w:rPr>
                <w:rFonts w:eastAsia="Arial" w:cs="Arial"/>
                <w:color w:val="000000" w:themeColor="text1"/>
                <w:sz w:val="24"/>
                <w:szCs w:val="24"/>
              </w:rPr>
              <w:t>comprehension</w:t>
            </w:r>
            <w:r w:rsidRPr="00FB462F">
              <w:rPr>
                <w:rFonts w:eastAsia="Arial" w:cs="Arial"/>
                <w:color w:val="000000" w:themeColor="text1"/>
                <w:sz w:val="24"/>
                <w:szCs w:val="24"/>
              </w:rPr>
              <w:t xml:space="preserve"> of how coding skills related to module requirements. </w:t>
            </w:r>
            <w:r w:rsidR="00EB7FF9" w:rsidRPr="00EB7FF9">
              <w:rPr>
                <w:rFonts w:eastAsia="Arial" w:cs="Arial"/>
                <w:color w:val="000000" w:themeColor="text1"/>
                <w:sz w:val="24"/>
                <w:szCs w:val="24"/>
              </w:rPr>
              <w:t xml:space="preserve">In addition to increasing confidence, the refresher course enabled students to engage with programming concepts before they encountered more complex algorithmic content, thereby reducing the cognitive demands placed upon them during the opening weeks of the module. This staged progression reflected principles of adult learning by recognising that learners entered the module with different prior experiences and benefited from opportunities to revisit essential concepts before progressing to more </w:t>
            </w:r>
            <w:r w:rsidR="00EB7FF9" w:rsidRPr="00EB7FF9">
              <w:rPr>
                <w:rFonts w:eastAsia="Arial" w:cs="Arial"/>
                <w:color w:val="000000" w:themeColor="text1"/>
                <w:sz w:val="24"/>
                <w:szCs w:val="24"/>
              </w:rPr>
              <w:lastRenderedPageBreak/>
              <w:t>advanced topics (Knowles, 1984). The emphasis on guided practice and gradual release of responsibility also aligns with evidence that structured support improves learners' development of computational thinking and programming competence (Grover and Pea, 2013)</w:t>
            </w:r>
            <w:r w:rsidR="00234959">
              <w:rPr>
                <w:rFonts w:eastAsia="Arial" w:cs="Arial"/>
                <w:color w:val="000000" w:themeColor="text1"/>
                <w:sz w:val="24"/>
                <w:szCs w:val="24"/>
              </w:rPr>
              <w:t xml:space="preserve"> (V1, A3)</w:t>
            </w:r>
            <w:r w:rsidR="00EB7FF9" w:rsidRPr="00EB7FF9">
              <w:rPr>
                <w:rFonts w:eastAsia="Arial" w:cs="Arial"/>
                <w:color w:val="000000" w:themeColor="text1"/>
                <w:sz w:val="24"/>
                <w:szCs w:val="24"/>
              </w:rPr>
              <w:t>.</w:t>
            </w:r>
          </w:p>
          <w:p w14:paraId="40796FED" w14:textId="0718A3CD" w:rsidR="00FB462F" w:rsidRPr="00FB462F" w:rsidRDefault="005540C4" w:rsidP="00D75E22">
            <w:pPr>
              <w:jc w:val="both"/>
              <w:rPr>
                <w:rFonts w:eastAsia="Arial" w:cs="Arial"/>
                <w:color w:val="000000" w:themeColor="text1"/>
                <w:sz w:val="24"/>
                <w:szCs w:val="24"/>
              </w:rPr>
            </w:pPr>
            <w:r w:rsidRPr="005540C4">
              <w:rPr>
                <w:rFonts w:eastAsia="Arial" w:cs="Arial"/>
                <w:color w:val="000000" w:themeColor="text1"/>
                <w:sz w:val="24"/>
                <w:szCs w:val="24"/>
              </w:rPr>
              <w:t>Having established that the intervention worked within my own cluster, I set out to influence how other tutors prepared their students for the module rather than keeping the approach to myself</w:t>
            </w:r>
            <w:r>
              <w:rPr>
                <w:rFonts w:eastAsia="Arial" w:cs="Arial"/>
                <w:color w:val="000000" w:themeColor="text1"/>
                <w:sz w:val="24"/>
                <w:szCs w:val="24"/>
              </w:rPr>
              <w:t xml:space="preserve">. </w:t>
            </w:r>
            <w:r w:rsidR="00FB462F" w:rsidRPr="00FB462F">
              <w:rPr>
                <w:rFonts w:eastAsia="Arial" w:cs="Arial"/>
                <w:color w:val="000000" w:themeColor="text1"/>
                <w:sz w:val="24"/>
                <w:szCs w:val="24"/>
              </w:rPr>
              <w:t>Recognising the broader relevance of this intervention, I shared the materials and approach with tutors in other clusters</w:t>
            </w:r>
            <w:r w:rsidRPr="005540C4">
              <w:rPr>
                <w:rFonts w:eastAsia="Arial" w:cs="Arial"/>
                <w:color w:val="000000" w:themeColor="text1"/>
                <w:sz w:val="24"/>
                <w:szCs w:val="24"/>
              </w:rPr>
              <w:t>, first informally through the tutor forum and then formally through a briefing session that I proposed to, and had approved by, the Staff Tutor responsible for M269 tutor coordination</w:t>
            </w:r>
            <w:r>
              <w:rPr>
                <w:rFonts w:eastAsia="Arial" w:cs="Arial"/>
                <w:color w:val="000000" w:themeColor="text1"/>
                <w:sz w:val="24"/>
                <w:szCs w:val="24"/>
              </w:rPr>
              <w:t>,</w:t>
            </w:r>
            <w:r w:rsidRPr="005540C4">
              <w:rPr>
                <w:rFonts w:eastAsia="Arial" w:cs="Arial"/>
                <w:color w:val="000000" w:themeColor="text1"/>
                <w:sz w:val="24"/>
                <w:szCs w:val="24"/>
              </w:rPr>
              <w:t xml:space="preserve"> a step that gave the dissemination a level of institutional standing beyond an individual colleague simply passing on a tip. In the session I walked tutors through the evidence of the gap, the design rationale, and the materials themselves, and provided the Jupyter Notebook resources in an editable format so that colleagues could adapt them to their own tutorial style rather than adopt them across-the-board</w:t>
            </w:r>
            <w:r w:rsidR="00FB462F" w:rsidRPr="00FB462F">
              <w:rPr>
                <w:rFonts w:eastAsia="Arial" w:cs="Arial"/>
                <w:color w:val="000000" w:themeColor="text1"/>
                <w:sz w:val="24"/>
                <w:szCs w:val="24"/>
              </w:rPr>
              <w:t xml:space="preserve">. </w:t>
            </w:r>
            <w:r w:rsidR="00EB7FF9" w:rsidRPr="00EB7FF9">
              <w:rPr>
                <w:rFonts w:eastAsia="Arial" w:cs="Arial"/>
                <w:color w:val="000000" w:themeColor="text1"/>
                <w:sz w:val="24"/>
                <w:szCs w:val="24"/>
              </w:rPr>
              <w:t>In planning the dissemination, I was conscious that influencing colleagues required more than simply distributing teaching materials. Rather than expecting tutors to replicate my approach, I encouraged them to adapt the resources to suit the needs of their own tutor groups while retaining the underlying pedagogical principles. This recognised colleagues as experienced practitioners capable of contextualising the intervention within their own teaching environments, an approach consistent with Billett's (2001) view that workplace learning is strengthened when professionals actively adapt and apply new practices within their own contexts. Providing editable resources alongside a facilitator guide therefore reduced barriers to adoption while encouraging genuine ownership of the approach.</w:t>
            </w:r>
            <w:r w:rsidR="00EB7FF9">
              <w:rPr>
                <w:rFonts w:eastAsia="Arial" w:cs="Arial"/>
                <w:color w:val="000000" w:themeColor="text1"/>
                <w:sz w:val="24"/>
                <w:szCs w:val="24"/>
              </w:rPr>
              <w:t xml:space="preserve"> </w:t>
            </w:r>
            <w:r w:rsidR="00FB462F" w:rsidRPr="00FB462F">
              <w:rPr>
                <w:rFonts w:eastAsia="Arial" w:cs="Arial"/>
                <w:color w:val="000000" w:themeColor="text1"/>
                <w:sz w:val="24"/>
                <w:szCs w:val="24"/>
              </w:rPr>
              <w:t xml:space="preserve">I conducted a briefing session to explain the rationale, structure and intended outcomes of the refresher course, encouraging colleagues to adopt and adapt the approach within their own teaching contexts (V5). </w:t>
            </w:r>
            <w:r w:rsidR="0052457C" w:rsidRPr="0052457C">
              <w:rPr>
                <w:rFonts w:eastAsia="Arial" w:cs="Arial"/>
                <w:color w:val="000000" w:themeColor="text1"/>
                <w:sz w:val="24"/>
                <w:szCs w:val="24"/>
              </w:rPr>
              <w:t>This collaborative approach is supported by research on facilitating instructional change in higher education, which identifies the sharing of evidence-based practices across teaching communities as a key mechanism for improving student learning (Henderson, Beach and Finkelstein, 2011)</w:t>
            </w:r>
            <w:r w:rsidR="00D75E22">
              <w:rPr>
                <w:rFonts w:eastAsia="Arial" w:cs="Arial"/>
                <w:color w:val="000000" w:themeColor="text1"/>
                <w:sz w:val="24"/>
                <w:szCs w:val="24"/>
              </w:rPr>
              <w:t xml:space="preserve">. </w:t>
            </w:r>
            <w:r w:rsidR="004060E2" w:rsidRPr="004060E2">
              <w:rPr>
                <w:rFonts w:eastAsia="Arial" w:cs="Arial"/>
                <w:color w:val="000000" w:themeColor="text1"/>
                <w:sz w:val="24"/>
                <w:szCs w:val="24"/>
              </w:rPr>
              <w:t>Of the tutors present at the briefing, four colleagues subsequently ran a version of the refresher course with their own clusters in the same presentation, and a fifth adapted the Jupyter Notebook materials into a set of self-study resources for students who could not attend a live session. I know this happened, rather than assuming it from the briefing alone, because I followed up directly with each tutor after induction week to ask whether and how they had used the materials, and because the module’s shared tutor forum showed colleagues posting questions to each other about scheduling and adapting the sessions evidence that the practice had genuinely transferred into other tutors’ teaching rather than remaining a one-off briefing</w:t>
            </w:r>
            <w:r w:rsidR="00234959">
              <w:rPr>
                <w:rFonts w:eastAsia="Arial" w:cs="Arial"/>
                <w:color w:val="000000" w:themeColor="text1"/>
                <w:sz w:val="24"/>
                <w:szCs w:val="24"/>
              </w:rPr>
              <w:t xml:space="preserve"> (K4, V5)</w:t>
            </w:r>
            <w:r w:rsidR="004060E2" w:rsidRPr="004060E2">
              <w:rPr>
                <w:rFonts w:eastAsia="Arial" w:cs="Arial"/>
                <w:color w:val="000000" w:themeColor="text1"/>
                <w:sz w:val="24"/>
                <w:szCs w:val="24"/>
              </w:rPr>
              <w:t>.</w:t>
            </w:r>
            <w:r w:rsidR="00EB7FF9" w:rsidRPr="00EB7FF9">
              <w:t xml:space="preserve"> </w:t>
            </w:r>
            <w:r w:rsidR="00EB7FF9" w:rsidRPr="00EB7FF9">
              <w:rPr>
                <w:rFonts w:eastAsia="Arial" w:cs="Arial"/>
                <w:color w:val="000000" w:themeColor="text1"/>
                <w:sz w:val="24"/>
                <w:szCs w:val="24"/>
              </w:rPr>
              <w:t xml:space="preserve">The follow-up conversations also became valuable opportunities for reciprocal professional learning. Colleagues shared modifications they had made to examples, pacing and activities to better suit their own students, several of which I subsequently incorporated into later iterations of the refresher materials. This iterative exchange demonstrated that the intervention had developed beyond the dissemination of resources into collaborative enhancement of teaching practice, reflecting Wenger's (1998) </w:t>
            </w:r>
            <w:r w:rsidR="00C76BBD">
              <w:rPr>
                <w:rFonts w:eastAsia="Arial" w:cs="Arial"/>
                <w:color w:val="000000" w:themeColor="text1"/>
                <w:sz w:val="24"/>
                <w:szCs w:val="24"/>
              </w:rPr>
              <w:t xml:space="preserve">community practice </w:t>
            </w:r>
            <w:r w:rsidR="00EB7FF9" w:rsidRPr="00EB7FF9">
              <w:rPr>
                <w:rFonts w:eastAsia="Arial" w:cs="Arial"/>
                <w:color w:val="000000" w:themeColor="text1"/>
                <w:sz w:val="24"/>
                <w:szCs w:val="24"/>
              </w:rPr>
              <w:t>concept in which knowledge is continually refined through shared experience.</w:t>
            </w:r>
            <w:r w:rsidR="004060E2" w:rsidRPr="004060E2">
              <w:rPr>
                <w:rFonts w:eastAsia="Arial" w:cs="Arial"/>
                <w:color w:val="000000" w:themeColor="text1"/>
                <w:sz w:val="24"/>
                <w:szCs w:val="24"/>
              </w:rPr>
              <w:t xml:space="preserve"> Two of these colleagues told me during follow-up conversations that their own students’ early tutorial participation and forum engagement had visibly improved compared with the previous presentation, echoing what I had observed in my own cluster, which gives me some confidence that the change was linked to the shared intervention rather than being coincidental.</w:t>
            </w:r>
            <w:r w:rsidR="004060E2">
              <w:rPr>
                <w:rFonts w:eastAsia="Arial" w:cs="Arial"/>
                <w:color w:val="000000" w:themeColor="text1"/>
                <w:sz w:val="24"/>
                <w:szCs w:val="24"/>
              </w:rPr>
              <w:t xml:space="preserve"> </w:t>
            </w:r>
            <w:r w:rsidR="00FB462F" w:rsidRPr="00FB462F">
              <w:rPr>
                <w:rFonts w:eastAsia="Arial" w:cs="Arial"/>
                <w:color w:val="000000" w:themeColor="text1"/>
                <w:sz w:val="24"/>
                <w:szCs w:val="24"/>
              </w:rPr>
              <w:t>Through this, my influence extended beyond my own teaching practice, contributing to a more consistent and supportive student experience across clusters (D3.1).</w:t>
            </w:r>
            <w:r w:rsidR="004060E2">
              <w:rPr>
                <w:rFonts w:eastAsia="Arial" w:cs="Arial"/>
                <w:color w:val="000000" w:themeColor="text1"/>
                <w:sz w:val="24"/>
                <w:szCs w:val="24"/>
              </w:rPr>
              <w:t xml:space="preserve"> </w:t>
            </w:r>
            <w:r w:rsidR="004060E2" w:rsidRPr="004060E2">
              <w:rPr>
                <w:rFonts w:eastAsia="Arial" w:cs="Arial"/>
                <w:color w:val="000000" w:themeColor="text1"/>
                <w:sz w:val="24"/>
                <w:szCs w:val="24"/>
              </w:rPr>
              <w:t xml:space="preserve">Following this, the Staff Tutor asked me to write up the rationale and materials as a short guidance note for inclusion in the tutor handbook for the following year, which I take as a mark of the intervention moving from my individual practice </w:t>
            </w:r>
            <w:r w:rsidR="004060E2" w:rsidRPr="004060E2">
              <w:rPr>
                <w:rFonts w:eastAsia="Arial" w:cs="Arial"/>
                <w:color w:val="000000" w:themeColor="text1"/>
                <w:sz w:val="24"/>
                <w:szCs w:val="24"/>
              </w:rPr>
              <w:lastRenderedPageBreak/>
              <w:t>into shared, sustained departmental practice rather than a single episode of sharing</w:t>
            </w:r>
            <w:r w:rsidR="004C038D">
              <w:rPr>
                <w:rFonts w:eastAsia="Arial" w:cs="Arial"/>
                <w:color w:val="000000" w:themeColor="text1"/>
                <w:sz w:val="24"/>
                <w:szCs w:val="24"/>
              </w:rPr>
              <w:t xml:space="preserve"> (K5, V3, V5, A5)</w:t>
            </w:r>
            <w:r w:rsidR="004060E2" w:rsidRPr="004060E2">
              <w:rPr>
                <w:rFonts w:eastAsia="Arial" w:cs="Arial"/>
                <w:color w:val="000000" w:themeColor="text1"/>
                <w:sz w:val="24"/>
                <w:szCs w:val="24"/>
              </w:rPr>
              <w:t>.</w:t>
            </w:r>
          </w:p>
          <w:p w14:paraId="0DC79C7C" w14:textId="77777777" w:rsidR="00FB462F" w:rsidRPr="00FB462F" w:rsidRDefault="00FB462F" w:rsidP="00D75E22">
            <w:pPr>
              <w:jc w:val="both"/>
              <w:rPr>
                <w:rFonts w:eastAsia="Arial" w:cs="Arial"/>
                <w:color w:val="000000" w:themeColor="text1"/>
                <w:sz w:val="24"/>
                <w:szCs w:val="24"/>
              </w:rPr>
            </w:pPr>
          </w:p>
          <w:p w14:paraId="3DCAFC2A" w14:textId="35883C77" w:rsidR="00FB462F" w:rsidRPr="00FB462F" w:rsidRDefault="00FB462F" w:rsidP="00D75E22">
            <w:pPr>
              <w:jc w:val="both"/>
              <w:rPr>
                <w:rFonts w:eastAsia="Arial" w:cs="Arial"/>
                <w:color w:val="000000" w:themeColor="text1"/>
                <w:sz w:val="24"/>
                <w:szCs w:val="24"/>
              </w:rPr>
            </w:pPr>
            <w:r w:rsidRPr="00FB462F">
              <w:rPr>
                <w:rFonts w:eastAsia="Arial" w:cs="Arial"/>
                <w:color w:val="000000" w:themeColor="text1"/>
                <w:sz w:val="24"/>
                <w:szCs w:val="24"/>
              </w:rPr>
              <w:t xml:space="preserve">One challenge I encountered was ensuring that the refresher course met the needs of students with varied prior experience. To address this, I designed activities with multiple entry points, </w:t>
            </w:r>
            <w:r w:rsidR="00C76BBD" w:rsidRPr="00FB462F">
              <w:rPr>
                <w:rFonts w:eastAsia="Arial" w:cs="Arial"/>
                <w:color w:val="000000" w:themeColor="text1"/>
                <w:sz w:val="24"/>
                <w:szCs w:val="24"/>
              </w:rPr>
              <w:t>letting</w:t>
            </w:r>
            <w:r w:rsidRPr="00FB462F">
              <w:rPr>
                <w:rFonts w:eastAsia="Arial" w:cs="Arial"/>
                <w:color w:val="000000" w:themeColor="text1"/>
                <w:sz w:val="24"/>
                <w:szCs w:val="24"/>
              </w:rPr>
              <w:t xml:space="preserve"> learners to </w:t>
            </w:r>
            <w:r w:rsidR="00C76BBD" w:rsidRPr="00FB462F">
              <w:rPr>
                <w:rFonts w:eastAsia="Arial" w:cs="Arial"/>
                <w:color w:val="000000" w:themeColor="text1"/>
                <w:sz w:val="24"/>
                <w:szCs w:val="24"/>
              </w:rPr>
              <w:t>advance</w:t>
            </w:r>
            <w:r w:rsidRPr="00FB462F">
              <w:rPr>
                <w:rFonts w:eastAsia="Arial" w:cs="Arial"/>
                <w:color w:val="000000" w:themeColor="text1"/>
                <w:sz w:val="24"/>
                <w:szCs w:val="24"/>
              </w:rPr>
              <w:t xml:space="preserve"> at their own pace, supporting inclusive practice (V2). </w:t>
            </w:r>
            <w:r w:rsidR="004060E2" w:rsidRPr="004060E2">
              <w:rPr>
                <w:rFonts w:eastAsia="Arial" w:cs="Arial"/>
                <w:color w:val="000000" w:themeColor="text1"/>
                <w:sz w:val="24"/>
                <w:szCs w:val="24"/>
              </w:rPr>
              <w:t>A related challenge in extending the approach to colleagues was that tutors vary in how much preparation time they can give to an optional induction activity alongside their existing workload; I addressed this by providing the materials in a ready-to-use format with an accompanying facilitator guide, which lowered the barrier to adoption and is, I think, part of why uptake among colleagues was as high as it was</w:t>
            </w:r>
            <w:r w:rsidR="004060E2">
              <w:rPr>
                <w:rFonts w:eastAsia="Arial" w:cs="Arial"/>
                <w:color w:val="000000" w:themeColor="text1"/>
                <w:sz w:val="24"/>
                <w:szCs w:val="24"/>
              </w:rPr>
              <w:t xml:space="preserve">, </w:t>
            </w:r>
            <w:r w:rsidRPr="00FB462F">
              <w:rPr>
                <w:rFonts w:eastAsia="Arial" w:cs="Arial"/>
                <w:color w:val="000000" w:themeColor="text1"/>
                <w:sz w:val="24"/>
                <w:szCs w:val="24"/>
              </w:rPr>
              <w:t>Another challenge was encouraging engagement in an optional induction activity; this was mitigated by clearly communicating the importance of Python skills for success in the module and by designing interactive sessions that encouraged participation.</w:t>
            </w:r>
          </w:p>
          <w:p w14:paraId="2F38BD29" w14:textId="77777777" w:rsidR="00FB462F" w:rsidRPr="00FB462F" w:rsidRDefault="00FB462F" w:rsidP="00D75E22">
            <w:pPr>
              <w:jc w:val="both"/>
              <w:rPr>
                <w:rFonts w:eastAsia="Arial" w:cs="Arial"/>
                <w:color w:val="000000" w:themeColor="text1"/>
                <w:sz w:val="24"/>
                <w:szCs w:val="24"/>
              </w:rPr>
            </w:pPr>
          </w:p>
          <w:p w14:paraId="3D06A6E6" w14:textId="26273525" w:rsidR="00FB462F" w:rsidRDefault="00EB7FF9" w:rsidP="00D75E22">
            <w:pPr>
              <w:jc w:val="both"/>
              <w:rPr>
                <w:rFonts w:eastAsia="Arial" w:cs="Arial"/>
                <w:color w:val="000000" w:themeColor="text1"/>
                <w:sz w:val="24"/>
                <w:szCs w:val="24"/>
              </w:rPr>
            </w:pPr>
            <w:r w:rsidRPr="00EB7FF9">
              <w:rPr>
                <w:rFonts w:eastAsia="Arial" w:cs="Arial"/>
                <w:color w:val="000000" w:themeColor="text1"/>
                <w:sz w:val="24"/>
                <w:szCs w:val="24"/>
              </w:rPr>
              <w:t>The impact of this intervention was evident at multiple levels. At the tutor level, colleagues who adopted the refresher approach changed their own induction-week practice and reported improved student preparedness and engagement as a direct result, representing clear evidence that my work had influenced their teaching approaches rather than solely enhancing my own practice (D3.1). At the student level, learners demonstrated improved confidence, willingness to participate in programming activities and readiness to engage with subsequent module content, as reflected in tutorial participation, forum discussions and student feedback. The intervention also strengthened consistency across tutor clusters by providing a shared evidence-informed approach to supporting students' transition into the module while allowing tutors sufficient flexibility to adapt delivery to their own contexts. At the module level, early formative assessment performance and engagement trends suggested improved readiness compared with previous presentations (K3), while the subsequent inclusion of the approach within tutor guidance demonstrated movement towards sustained enhancement beyond an individual presentation, providing evidence that the initiative had become embedded within wider teaching practice (</w:t>
            </w:r>
            <w:r w:rsidR="004C038D">
              <w:rPr>
                <w:rFonts w:eastAsia="Arial" w:cs="Arial"/>
                <w:color w:val="000000" w:themeColor="text1"/>
                <w:sz w:val="24"/>
                <w:szCs w:val="24"/>
              </w:rPr>
              <w:t xml:space="preserve">K5, A4, A3, </w:t>
            </w:r>
            <w:r w:rsidRPr="00EB7FF9">
              <w:rPr>
                <w:rFonts w:eastAsia="Arial" w:cs="Arial"/>
                <w:color w:val="000000" w:themeColor="text1"/>
                <w:sz w:val="24"/>
                <w:szCs w:val="24"/>
              </w:rPr>
              <w:t>D3.3).</w:t>
            </w:r>
          </w:p>
          <w:p w14:paraId="3D643E67" w14:textId="77777777" w:rsidR="00EB7FF9" w:rsidRPr="00FB462F" w:rsidRDefault="00EB7FF9" w:rsidP="00D75E22">
            <w:pPr>
              <w:jc w:val="both"/>
              <w:rPr>
                <w:rFonts w:eastAsia="Arial" w:cs="Arial"/>
                <w:color w:val="000000" w:themeColor="text1"/>
                <w:sz w:val="24"/>
                <w:szCs w:val="24"/>
              </w:rPr>
            </w:pPr>
          </w:p>
          <w:p w14:paraId="66108307" w14:textId="06375B4A" w:rsidR="4F7FBBAB" w:rsidRDefault="004060E2" w:rsidP="007722BC">
            <w:pPr>
              <w:jc w:val="both"/>
              <w:rPr>
                <w:rFonts w:eastAsia="Arial" w:cs="Arial"/>
                <w:color w:val="000000" w:themeColor="text1"/>
                <w:sz w:val="24"/>
                <w:szCs w:val="24"/>
              </w:rPr>
            </w:pPr>
            <w:r w:rsidRPr="004060E2">
              <w:rPr>
                <w:rFonts w:eastAsia="Arial" w:cs="Arial"/>
                <w:color w:val="000000" w:themeColor="text1"/>
                <w:sz w:val="24"/>
                <w:szCs w:val="24"/>
              </w:rPr>
              <w:t>Reflecting on this experience, drawing on Wenger’s (1998) concept of communities of practice, I recognise that sustainable change in colleagues’ teaching depends less on producing good materials than on creating a shared community around them</w:t>
            </w:r>
            <w:r w:rsidR="004C038D">
              <w:rPr>
                <w:rFonts w:eastAsia="Arial" w:cs="Arial"/>
                <w:color w:val="000000" w:themeColor="text1"/>
                <w:sz w:val="24"/>
                <w:szCs w:val="24"/>
              </w:rPr>
              <w:t>,</w:t>
            </w:r>
            <w:r w:rsidRPr="004060E2">
              <w:rPr>
                <w:rFonts w:eastAsia="Arial" w:cs="Arial"/>
                <w:color w:val="000000" w:themeColor="text1"/>
                <w:sz w:val="24"/>
                <w:szCs w:val="24"/>
              </w:rPr>
              <w:t xml:space="preserve"> the follow-up conversations, the tutor forum discussion, and eventually the tutor handbook entry did more to embed the practice than the original briefing session itself.</w:t>
            </w:r>
            <w:r w:rsidR="00EB7FF9">
              <w:rPr>
                <w:rFonts w:eastAsia="Arial" w:cs="Arial"/>
                <w:color w:val="000000" w:themeColor="text1"/>
                <w:sz w:val="24"/>
                <w:szCs w:val="24"/>
              </w:rPr>
              <w:t xml:space="preserve"> </w:t>
            </w:r>
            <w:r w:rsidR="00EB7FF9" w:rsidRPr="00EB7FF9">
              <w:rPr>
                <w:rFonts w:eastAsia="Arial" w:cs="Arial"/>
                <w:color w:val="000000" w:themeColor="text1"/>
                <w:sz w:val="24"/>
                <w:szCs w:val="24"/>
              </w:rPr>
              <w:t xml:space="preserve">Looking back, I also recognise that influencing colleagues required sustained engagement beyond the initial innovation itself. The briefing session provided the catalyst, but continued conversations with tutors, responding to questions, encouraging adaptation rather than standardisation, and gathering feedback from colleagues were equally important in embedding the practice. This experience reinforced my </w:t>
            </w:r>
            <w:r w:rsidR="00123B01">
              <w:rPr>
                <w:rFonts w:eastAsia="Arial" w:cs="Arial"/>
                <w:color w:val="000000" w:themeColor="text1"/>
                <w:sz w:val="24"/>
                <w:szCs w:val="24"/>
              </w:rPr>
              <w:t>appreciation</w:t>
            </w:r>
            <w:r w:rsidR="00EB7FF9" w:rsidRPr="00EB7FF9">
              <w:rPr>
                <w:rFonts w:eastAsia="Arial" w:cs="Arial"/>
                <w:color w:val="000000" w:themeColor="text1"/>
                <w:sz w:val="24"/>
                <w:szCs w:val="24"/>
              </w:rPr>
              <w:t xml:space="preserve"> that </w:t>
            </w:r>
            <w:r w:rsidR="00123B01">
              <w:rPr>
                <w:rFonts w:eastAsia="Arial" w:cs="Arial"/>
                <w:color w:val="000000" w:themeColor="text1"/>
                <w:sz w:val="24"/>
                <w:szCs w:val="24"/>
              </w:rPr>
              <w:t>academic</w:t>
            </w:r>
            <w:r w:rsidR="00EB7FF9" w:rsidRPr="00EB7FF9">
              <w:rPr>
                <w:rFonts w:eastAsia="Arial" w:cs="Arial"/>
                <w:color w:val="000000" w:themeColor="text1"/>
                <w:sz w:val="24"/>
                <w:szCs w:val="24"/>
              </w:rPr>
              <w:t xml:space="preserve"> leadership is frequently </w:t>
            </w:r>
            <w:r w:rsidR="00123B01">
              <w:rPr>
                <w:rFonts w:eastAsia="Arial" w:cs="Arial"/>
                <w:color w:val="000000" w:themeColor="text1"/>
                <w:sz w:val="24"/>
                <w:szCs w:val="24"/>
              </w:rPr>
              <w:t>implemented</w:t>
            </w:r>
            <w:r w:rsidR="00EB7FF9" w:rsidRPr="00EB7FF9">
              <w:rPr>
                <w:rFonts w:eastAsia="Arial" w:cs="Arial"/>
                <w:color w:val="000000" w:themeColor="text1"/>
                <w:sz w:val="24"/>
                <w:szCs w:val="24"/>
              </w:rPr>
              <w:t xml:space="preserve"> </w:t>
            </w:r>
            <w:r w:rsidR="00123B01">
              <w:rPr>
                <w:rFonts w:eastAsia="Arial" w:cs="Arial"/>
                <w:color w:val="000000" w:themeColor="text1"/>
                <w:sz w:val="24"/>
                <w:szCs w:val="24"/>
              </w:rPr>
              <w:t>with</w:t>
            </w:r>
            <w:r w:rsidR="00EB7FF9" w:rsidRPr="00EB7FF9">
              <w:rPr>
                <w:rFonts w:eastAsia="Arial" w:cs="Arial"/>
                <w:color w:val="000000" w:themeColor="text1"/>
                <w:sz w:val="24"/>
                <w:szCs w:val="24"/>
              </w:rPr>
              <w:t xml:space="preserve"> facilitation, collaboration and evidence-informed dialogue rather than formal authority alone (</w:t>
            </w:r>
            <w:r w:rsidR="00550F1A" w:rsidRPr="00550F1A">
              <w:rPr>
                <w:rFonts w:eastAsia="Arial" w:cs="Arial"/>
                <w:color w:val="000000" w:themeColor="text1"/>
                <w:sz w:val="24"/>
                <w:szCs w:val="24"/>
              </w:rPr>
              <w:t>Erbay-Cetinkaya, 2026</w:t>
            </w:r>
            <w:r w:rsidR="00EB7FF9" w:rsidRPr="00EB7FF9">
              <w:rPr>
                <w:rFonts w:eastAsia="Arial" w:cs="Arial"/>
                <w:color w:val="000000" w:themeColor="text1"/>
                <w:sz w:val="24"/>
                <w:szCs w:val="24"/>
              </w:rPr>
              <w:t>), and has shaped how I now introduce and support pedagogic innovations across other teaching contexts.</w:t>
            </w:r>
            <w:r w:rsidRPr="004060E2">
              <w:rPr>
                <w:rFonts w:eastAsia="Arial" w:cs="Arial"/>
                <w:color w:val="000000" w:themeColor="text1"/>
                <w:sz w:val="24"/>
                <w:szCs w:val="24"/>
              </w:rPr>
              <w:t xml:space="preserve"> I recognise the importance of early scaffolding and structured induction in supporting student success in distance learning environments. I have since refined the refresher course based on feedback and would aim to formalise its integration into the module induction process in future presentations (A5). I would also seek to evaluate its impact more systematically using comparative data across </w:t>
            </w:r>
            <w:r w:rsidR="00EB7FF9" w:rsidRPr="004060E2">
              <w:rPr>
                <w:rFonts w:eastAsia="Arial" w:cs="Arial"/>
                <w:color w:val="000000" w:themeColor="text1"/>
                <w:sz w:val="24"/>
                <w:szCs w:val="24"/>
              </w:rPr>
              <w:t>clusters and</w:t>
            </w:r>
            <w:r w:rsidRPr="004060E2">
              <w:rPr>
                <w:rFonts w:eastAsia="Arial" w:cs="Arial"/>
                <w:color w:val="000000" w:themeColor="text1"/>
                <w:sz w:val="24"/>
                <w:szCs w:val="24"/>
              </w:rPr>
              <w:t xml:space="preserve"> build in a more structured way of capturing colleagues’ own evidence of impact on their students from the outset, rather than relying, as I did here, on retrospective follow-up conversations</w:t>
            </w:r>
            <w:r w:rsidR="004C038D">
              <w:rPr>
                <w:rFonts w:eastAsia="Arial" w:cs="Arial"/>
                <w:color w:val="000000" w:themeColor="text1"/>
                <w:sz w:val="24"/>
                <w:szCs w:val="24"/>
              </w:rPr>
              <w:t xml:space="preserve"> (V4, A5)</w:t>
            </w:r>
            <w:r w:rsidRPr="004060E2">
              <w:rPr>
                <w:rFonts w:eastAsia="Arial" w:cs="Arial"/>
                <w:color w:val="000000" w:themeColor="text1"/>
                <w:sz w:val="24"/>
                <w:szCs w:val="24"/>
              </w:rPr>
              <w:t>.</w:t>
            </w:r>
          </w:p>
        </w:tc>
      </w:tr>
    </w:tbl>
    <w:p w14:paraId="4A346146" w14:textId="43059811" w:rsidR="2F976D2A" w:rsidRDefault="0012441E" w:rsidP="4F7FBBAB">
      <w:pPr>
        <w:rPr>
          <w:rFonts w:cs="Arial"/>
          <w:b/>
          <w:bCs/>
          <w:sz w:val="32"/>
          <w:szCs w:val="32"/>
        </w:rPr>
      </w:pPr>
      <w:r w:rsidRPr="1F8D88A3">
        <w:rPr>
          <w:rFonts w:cs="Arial"/>
          <w:b/>
          <w:bCs/>
          <w:sz w:val="32"/>
          <w:szCs w:val="32"/>
        </w:rPr>
        <w:lastRenderedPageBreak/>
        <w:t xml:space="preserve">SECTION 5: </w:t>
      </w:r>
      <w:r w:rsidR="2F976D2A" w:rsidRPr="1F8D88A3">
        <w:rPr>
          <w:rFonts w:cs="Arial"/>
          <w:b/>
          <w:bCs/>
          <w:sz w:val="32"/>
          <w:szCs w:val="32"/>
        </w:rPr>
        <w:t>References and Citations</w:t>
      </w:r>
    </w:p>
    <w:p w14:paraId="536FAF2B" w14:textId="3F20A9FB" w:rsidR="4F7FBBAB" w:rsidRDefault="4F7FBBAB" w:rsidP="4F7FBBAB">
      <w:pPr>
        <w:rPr>
          <w:rFonts w:cs="Arial"/>
          <w:b/>
          <w:bCs/>
          <w:sz w:val="32"/>
          <w:szCs w:val="32"/>
        </w:rPr>
      </w:pPr>
    </w:p>
    <w:tbl>
      <w:tblPr>
        <w:tblStyle w:val="TableGrid"/>
        <w:tblW w:w="0" w:type="auto"/>
        <w:tblLayout w:type="fixed"/>
        <w:tblLook w:val="06A0" w:firstRow="1" w:lastRow="0" w:firstColumn="1" w:lastColumn="0" w:noHBand="1" w:noVBand="1"/>
      </w:tblPr>
      <w:tblGrid>
        <w:gridCol w:w="10455"/>
      </w:tblGrid>
      <w:tr w:rsidR="4F7FBBAB" w14:paraId="213EE48A" w14:textId="77777777" w:rsidTr="4F7FBBAB">
        <w:trPr>
          <w:trHeight w:val="300"/>
        </w:trPr>
        <w:tc>
          <w:tcPr>
            <w:tcW w:w="10455" w:type="dxa"/>
          </w:tcPr>
          <w:p w14:paraId="59757A45" w14:textId="52759CE7" w:rsidR="2F976D2A" w:rsidRPr="00242500" w:rsidRDefault="2F976D2A" w:rsidP="4F7FBBAB">
            <w:pPr>
              <w:rPr>
                <w:rFonts w:eastAsia="Arial" w:cs="Arial"/>
                <w:color w:val="000000" w:themeColor="text1"/>
              </w:rPr>
            </w:pPr>
            <w:r w:rsidRPr="00242500">
              <w:rPr>
                <w:rFonts w:eastAsia="Arial" w:cs="Arial"/>
                <w:color w:val="000000" w:themeColor="text1"/>
              </w:rPr>
              <w:t>Write any references or citations used in your application here:</w:t>
            </w:r>
          </w:p>
          <w:p w14:paraId="41260B16" w14:textId="7728F31D" w:rsidR="00442584" w:rsidRPr="00242500" w:rsidRDefault="00442584" w:rsidP="00442584">
            <w:pPr>
              <w:spacing w:before="80" w:after="80"/>
              <w:ind w:left="720" w:hanging="720"/>
            </w:pPr>
            <w:r w:rsidRPr="00242500">
              <w:rPr>
                <w:rFonts w:eastAsia="Arial" w:cs="Arial"/>
                <w:lang w:eastAsia="zh-CN"/>
              </w:rPr>
              <w:t xml:space="preserve">Biggs, J. (1996) ‘Enhancing teaching through constructive alignment’, </w:t>
            </w:r>
            <w:r w:rsidRPr="00242500">
              <w:rPr>
                <w:rFonts w:eastAsia="Arial" w:cs="Arial"/>
                <w:i/>
                <w:iCs/>
                <w:lang w:eastAsia="zh-CN"/>
              </w:rPr>
              <w:t>Higher Education</w:t>
            </w:r>
            <w:r w:rsidRPr="00242500">
              <w:rPr>
                <w:rFonts w:eastAsia="Arial" w:cs="Arial"/>
                <w:lang w:eastAsia="zh-CN"/>
              </w:rPr>
              <w:t xml:space="preserve">, 32(3), 347–364. </w:t>
            </w:r>
            <w:hyperlink r:id="rId15" w:history="1">
              <w:r w:rsidR="00BB2BF4" w:rsidRPr="00242500">
                <w:rPr>
                  <w:rStyle w:val="Hyperlink"/>
                  <w:rFonts w:eastAsia="Arial" w:cs="Arial"/>
                  <w:lang w:eastAsia="zh-CN"/>
                </w:rPr>
                <w:t>https://doi.org/10.1007/BF00138871</w:t>
              </w:r>
            </w:hyperlink>
          </w:p>
          <w:p w14:paraId="6CB9F325" w14:textId="6394861B" w:rsidR="00CC3EA2" w:rsidRPr="00242500" w:rsidRDefault="00CC3EA2" w:rsidP="00CC3EA2">
            <w:pPr>
              <w:spacing w:before="80" w:after="80"/>
              <w:ind w:left="720" w:hanging="720"/>
              <w:rPr>
                <w:rFonts w:eastAsia="Arial" w:cs="Arial"/>
                <w:lang w:val="en-US" w:eastAsia="zh-CN"/>
              </w:rPr>
            </w:pPr>
            <w:r w:rsidRPr="00242500">
              <w:rPr>
                <w:rFonts w:eastAsia="Arial" w:cs="Arial"/>
                <w:lang w:val="en-US" w:eastAsia="zh-CN"/>
              </w:rPr>
              <w:t>Billett, S. (2001) ‘Learning through work: workplace affordances and individual engagement’, Journal of Workplace Learning, 13(5), 209–214.</w:t>
            </w:r>
            <w:r w:rsidR="007722BC" w:rsidRPr="00242500">
              <w:rPr>
                <w:rFonts w:eastAsia="Arial" w:cs="Arial"/>
                <w:lang w:val="en-US" w:eastAsia="zh-CN"/>
              </w:rPr>
              <w:t xml:space="preserve"> </w:t>
            </w:r>
            <w:hyperlink r:id="rId16" w:history="1">
              <w:r w:rsidRPr="00242500">
                <w:rPr>
                  <w:rStyle w:val="Hyperlink"/>
                  <w:rFonts w:eastAsia="Arial" w:cs="Arial"/>
                  <w:lang w:val="en-US" w:eastAsia="zh-CN"/>
                </w:rPr>
                <w:t>https://doi.org/10.1108/EUM0000000005548</w:t>
              </w:r>
            </w:hyperlink>
          </w:p>
          <w:p w14:paraId="6B8424AE" w14:textId="3EFA5133" w:rsidR="00442584" w:rsidRPr="00242500" w:rsidRDefault="00442584" w:rsidP="00442584">
            <w:pPr>
              <w:spacing w:before="80" w:after="80"/>
              <w:ind w:left="720" w:hanging="720"/>
            </w:pPr>
            <w:r w:rsidRPr="00242500">
              <w:rPr>
                <w:rFonts w:eastAsia="Arial" w:cs="Arial"/>
                <w:lang w:eastAsia="zh-CN"/>
              </w:rPr>
              <w:t xml:space="preserve">Boud, D. and Molloy, E. (2013) ‘Rethinking models of feedback for learning: the challenge of design’, </w:t>
            </w:r>
            <w:r w:rsidRPr="00242500">
              <w:rPr>
                <w:rFonts w:eastAsia="Arial" w:cs="Arial"/>
                <w:i/>
                <w:iCs/>
                <w:lang w:eastAsia="zh-CN"/>
              </w:rPr>
              <w:t>Assessment &amp; Evaluation in Higher Education</w:t>
            </w:r>
            <w:r w:rsidRPr="00242500">
              <w:rPr>
                <w:rFonts w:eastAsia="Arial" w:cs="Arial"/>
                <w:lang w:eastAsia="zh-CN"/>
              </w:rPr>
              <w:t xml:space="preserve">, 38(6), 698–712. </w:t>
            </w:r>
            <w:hyperlink r:id="rId17" w:history="1">
              <w:r w:rsidR="00BB2BF4" w:rsidRPr="00242500">
                <w:rPr>
                  <w:rStyle w:val="Hyperlink"/>
                  <w:rFonts w:eastAsia="Arial" w:cs="Arial"/>
                  <w:lang w:eastAsia="zh-CN"/>
                </w:rPr>
                <w:t>https://doi.org/10.1080/02602938.2012.691462</w:t>
              </w:r>
            </w:hyperlink>
          </w:p>
          <w:p w14:paraId="4780114F" w14:textId="042D5DB0" w:rsidR="00442584" w:rsidRPr="00242500" w:rsidRDefault="00442584" w:rsidP="00442584">
            <w:pPr>
              <w:spacing w:before="80" w:after="80"/>
              <w:ind w:left="720" w:hanging="720"/>
            </w:pPr>
            <w:r w:rsidRPr="00242500">
              <w:rPr>
                <w:rFonts w:eastAsia="Arial" w:cs="Arial"/>
                <w:lang w:eastAsia="zh-CN"/>
              </w:rPr>
              <w:t xml:space="preserve">Carless, D. and Boud, D. (2018) ‘The development of student feedback literacy: enabling uptake of feedback’, </w:t>
            </w:r>
            <w:r w:rsidRPr="00242500">
              <w:rPr>
                <w:rFonts w:eastAsia="Arial" w:cs="Arial"/>
                <w:i/>
                <w:iCs/>
                <w:lang w:eastAsia="zh-CN"/>
              </w:rPr>
              <w:t>Assessment &amp; Evaluation in Higher Education</w:t>
            </w:r>
            <w:r w:rsidRPr="00242500">
              <w:rPr>
                <w:rFonts w:eastAsia="Arial" w:cs="Arial"/>
                <w:lang w:eastAsia="zh-CN"/>
              </w:rPr>
              <w:t>, 43(8),</w:t>
            </w:r>
            <w:r w:rsidR="002479DD">
              <w:rPr>
                <w:rFonts w:eastAsia="Arial" w:cs="Arial"/>
                <w:lang w:eastAsia="zh-CN"/>
              </w:rPr>
              <w:t xml:space="preserve"> </w:t>
            </w:r>
            <w:r w:rsidRPr="00242500">
              <w:rPr>
                <w:rFonts w:eastAsia="Arial" w:cs="Arial"/>
                <w:lang w:eastAsia="zh-CN"/>
              </w:rPr>
              <w:t xml:space="preserve">1315–1325. </w:t>
            </w:r>
            <w:hyperlink r:id="rId18" w:history="1">
              <w:r w:rsidR="00BB2BF4" w:rsidRPr="00242500">
                <w:rPr>
                  <w:rStyle w:val="Hyperlink"/>
                  <w:rFonts w:eastAsia="Arial" w:cs="Arial"/>
                  <w:lang w:eastAsia="zh-CN"/>
                </w:rPr>
                <w:t>https://doi.org/10.1080/02602938.2018.1443541</w:t>
              </w:r>
            </w:hyperlink>
          </w:p>
          <w:p w14:paraId="7E630021" w14:textId="2EE005ED" w:rsidR="00242500" w:rsidRPr="00242500" w:rsidRDefault="00242500" w:rsidP="00242500">
            <w:pPr>
              <w:spacing w:before="80" w:after="80"/>
              <w:ind w:left="720" w:hanging="720"/>
            </w:pPr>
            <w:r w:rsidRPr="00242500">
              <w:t>Erbay-Cetinkaya, S. (2026). From reflective practice to teacher identity development: A qualitative</w:t>
            </w:r>
            <w:r w:rsidRPr="00242500">
              <w:t xml:space="preserve"> </w:t>
            </w:r>
            <w:r w:rsidRPr="00242500">
              <w:t>inquiry into pre-service teachers’ human and AI-enhanced individual and collaborative reflective practice</w:t>
            </w:r>
            <w:r w:rsidRPr="00242500">
              <w:t xml:space="preserve"> </w:t>
            </w:r>
            <w:r w:rsidRPr="00242500">
              <w:t>perceptions and experiences. International Journal of Technology in Education (IJTE), 9(1), 190-207.</w:t>
            </w:r>
            <w:r w:rsidRPr="00242500">
              <w:t xml:space="preserve"> </w:t>
            </w:r>
            <w:hyperlink r:id="rId19" w:history="1">
              <w:r w:rsidRPr="00242500">
                <w:rPr>
                  <w:rStyle w:val="Hyperlink"/>
                </w:rPr>
                <w:t>https://doi.org/10.46328/ijte.5158</w:t>
              </w:r>
            </w:hyperlink>
          </w:p>
          <w:p w14:paraId="254DFE7E" w14:textId="4D6BE4F3" w:rsidR="00CC3EA2" w:rsidRPr="00242500" w:rsidRDefault="00CC3EA2" w:rsidP="00CC3EA2">
            <w:pPr>
              <w:spacing w:before="80" w:after="80"/>
              <w:ind w:left="720" w:hanging="720"/>
              <w:rPr>
                <w:rFonts w:eastAsia="Arial" w:cs="Arial"/>
                <w:lang w:val="en-US" w:eastAsia="zh-CN"/>
              </w:rPr>
            </w:pPr>
            <w:r w:rsidRPr="00242500">
              <w:rPr>
                <w:rFonts w:eastAsia="Arial" w:cs="Arial"/>
                <w:lang w:val="en-US" w:eastAsia="zh-CN"/>
              </w:rPr>
              <w:t xml:space="preserve">Garrison, D.R., Anderson, T. and Archer, W. (2000) ‘Critical inquiry in a text-based environment: computer conferencing in higher education’, The Internet and Higher Education, 2(2–3), 87–105. </w:t>
            </w:r>
            <w:hyperlink r:id="rId20" w:history="1">
              <w:r w:rsidRPr="00BF521D">
                <w:rPr>
                  <w:rStyle w:val="Hyperlink"/>
                  <w:rFonts w:eastAsia="Arial" w:cs="Arial"/>
                  <w:lang w:val="en-US" w:eastAsia="zh-CN"/>
                </w:rPr>
                <w:t>https://doi.org/10.1016/S1096-7516(00)00016-6</w:t>
              </w:r>
            </w:hyperlink>
          </w:p>
          <w:p w14:paraId="1724E555" w14:textId="3F3B2B4C" w:rsidR="00442584" w:rsidRPr="00242500" w:rsidRDefault="00442584" w:rsidP="00442584">
            <w:pPr>
              <w:spacing w:before="80" w:after="80"/>
              <w:ind w:left="720" w:hanging="720"/>
              <w:rPr>
                <w:rFonts w:eastAsia="Arial" w:cs="Arial"/>
                <w:lang w:eastAsia="zh-CN"/>
              </w:rPr>
            </w:pPr>
            <w:r w:rsidRPr="00242500">
              <w:rPr>
                <w:rFonts w:eastAsia="Arial" w:cs="Arial"/>
                <w:lang w:eastAsia="zh-CN"/>
              </w:rPr>
              <w:t xml:space="preserve">Grover, S. and Pea, R. (2013) ‘Computational thinking in K–12: a review of the state of the field’, </w:t>
            </w:r>
            <w:r w:rsidRPr="00242500">
              <w:rPr>
                <w:rFonts w:eastAsia="Arial" w:cs="Arial"/>
                <w:i/>
                <w:iCs/>
                <w:lang w:eastAsia="zh-CN"/>
              </w:rPr>
              <w:t>Educational Researcher</w:t>
            </w:r>
            <w:r w:rsidRPr="00242500">
              <w:rPr>
                <w:rFonts w:eastAsia="Arial" w:cs="Arial"/>
                <w:lang w:eastAsia="zh-CN"/>
              </w:rPr>
              <w:t xml:space="preserve">, 42(1), 38–43. </w:t>
            </w:r>
            <w:hyperlink r:id="rId21" w:history="1">
              <w:r w:rsidR="00BB2BF4" w:rsidRPr="00242500">
                <w:rPr>
                  <w:rStyle w:val="Hyperlink"/>
                  <w:rFonts w:eastAsia="Arial" w:cs="Arial"/>
                  <w:lang w:eastAsia="zh-CN"/>
                </w:rPr>
                <w:t>https://doi.org/10.3102/0013189X12463051</w:t>
              </w:r>
            </w:hyperlink>
          </w:p>
          <w:p w14:paraId="7D7EBB5A" w14:textId="5BF8E776" w:rsidR="00442584" w:rsidRPr="00242500" w:rsidRDefault="00442584" w:rsidP="00442584">
            <w:pPr>
              <w:spacing w:before="80" w:after="80"/>
              <w:ind w:left="720" w:hanging="720"/>
            </w:pPr>
            <w:r w:rsidRPr="00242500">
              <w:rPr>
                <w:rFonts w:eastAsia="Arial" w:cs="Arial"/>
                <w:lang w:eastAsia="zh-CN"/>
              </w:rPr>
              <w:t xml:space="preserve">Henderson, C., Beach, A. and Finkelstein, N. (2011) ‘Facilitating change in undergraduate STEM instructional practices: an analytic review of the literature’, </w:t>
            </w:r>
            <w:r w:rsidRPr="00242500">
              <w:rPr>
                <w:rFonts w:eastAsia="Arial" w:cs="Arial"/>
                <w:i/>
                <w:iCs/>
                <w:lang w:eastAsia="zh-CN"/>
              </w:rPr>
              <w:t>Journal of Research in Science Teaching</w:t>
            </w:r>
            <w:r w:rsidRPr="00242500">
              <w:rPr>
                <w:rFonts w:eastAsia="Arial" w:cs="Arial"/>
                <w:lang w:eastAsia="zh-CN"/>
              </w:rPr>
              <w:t xml:space="preserve">, 48(8), 952–984. </w:t>
            </w:r>
            <w:hyperlink r:id="rId22" w:history="1">
              <w:r w:rsidR="00BB2BF4" w:rsidRPr="00242500">
                <w:rPr>
                  <w:rStyle w:val="Hyperlink"/>
                  <w:rFonts w:eastAsia="Arial" w:cs="Arial"/>
                  <w:lang w:eastAsia="zh-CN"/>
                </w:rPr>
                <w:t>https://doi.org/10.1002/tea.20439</w:t>
              </w:r>
            </w:hyperlink>
          </w:p>
          <w:p w14:paraId="01E664DC" w14:textId="76D4866F" w:rsidR="00442584" w:rsidRPr="00242500" w:rsidRDefault="00442584" w:rsidP="00442584">
            <w:pPr>
              <w:spacing w:before="80" w:after="80"/>
              <w:ind w:left="720" w:hanging="720"/>
            </w:pPr>
            <w:r w:rsidRPr="00242500">
              <w:rPr>
                <w:rFonts w:eastAsia="Arial" w:cs="Arial"/>
                <w:lang w:eastAsia="zh-CN"/>
              </w:rPr>
              <w:t xml:space="preserve">Hundhausen, C.D. and Brown, J.L. (2008) ‘Designing, visualizing, and discussing algorithms within a CS1 studio experience: an empirical study’, </w:t>
            </w:r>
            <w:r w:rsidRPr="00242500">
              <w:rPr>
                <w:rFonts w:eastAsia="Arial" w:cs="Arial"/>
                <w:i/>
                <w:iCs/>
                <w:lang w:eastAsia="zh-CN"/>
              </w:rPr>
              <w:t>Computers &amp; Education</w:t>
            </w:r>
            <w:r w:rsidRPr="00242500">
              <w:rPr>
                <w:rFonts w:eastAsia="Arial" w:cs="Arial"/>
                <w:lang w:eastAsia="zh-CN"/>
              </w:rPr>
              <w:t xml:space="preserve">, 50(1), 301–326. </w:t>
            </w:r>
            <w:hyperlink r:id="rId23" w:history="1">
              <w:r w:rsidR="00BB2BF4" w:rsidRPr="00242500">
                <w:rPr>
                  <w:rStyle w:val="Hyperlink"/>
                  <w:rFonts w:eastAsia="Arial" w:cs="Arial"/>
                  <w:lang w:eastAsia="zh-CN"/>
                </w:rPr>
                <w:t>https://doi.org/10.1016/j.compedu.2006.06.002</w:t>
              </w:r>
            </w:hyperlink>
          </w:p>
          <w:p w14:paraId="54551341" w14:textId="409CE60A" w:rsidR="00654F6C" w:rsidRPr="00242500" w:rsidRDefault="00654F6C" w:rsidP="00442584">
            <w:pPr>
              <w:spacing w:before="80" w:after="80"/>
              <w:ind w:left="720" w:hanging="720"/>
              <w:rPr>
                <w:rFonts w:eastAsia="Arial" w:cs="Arial"/>
                <w:lang w:eastAsia="zh-CN"/>
              </w:rPr>
            </w:pPr>
            <w:r w:rsidRPr="00242500">
              <w:rPr>
                <w:rFonts w:eastAsia="Arial" w:cs="Arial"/>
                <w:lang w:eastAsia="zh-CN"/>
              </w:rPr>
              <w:t xml:space="preserve">Knowles, M.S. (1984) The Adult Learner: A Neglected Species. 3rd </w:t>
            </w:r>
            <w:proofErr w:type="spellStart"/>
            <w:r w:rsidRPr="00242500">
              <w:rPr>
                <w:rFonts w:eastAsia="Arial" w:cs="Arial"/>
                <w:lang w:eastAsia="zh-CN"/>
              </w:rPr>
              <w:t>edn</w:t>
            </w:r>
            <w:proofErr w:type="spellEnd"/>
            <w:r w:rsidRPr="00242500">
              <w:rPr>
                <w:rFonts w:eastAsia="Arial" w:cs="Arial"/>
                <w:lang w:eastAsia="zh-CN"/>
              </w:rPr>
              <w:t>. Houston: Gulf Publishing.</w:t>
            </w:r>
          </w:p>
          <w:p w14:paraId="7EB7F474" w14:textId="18FD5481" w:rsidR="00442584" w:rsidRPr="00242500" w:rsidRDefault="00442584" w:rsidP="00B12C58">
            <w:pPr>
              <w:spacing w:before="80" w:after="80"/>
              <w:ind w:left="720" w:hanging="720"/>
            </w:pPr>
            <w:proofErr w:type="spellStart"/>
            <w:r w:rsidRPr="00242500">
              <w:rPr>
                <w:rFonts w:eastAsia="Arial" w:cs="Arial"/>
                <w:lang w:eastAsia="zh-CN"/>
              </w:rPr>
              <w:t>Laurillard</w:t>
            </w:r>
            <w:proofErr w:type="spellEnd"/>
            <w:r w:rsidRPr="00242500">
              <w:rPr>
                <w:rFonts w:eastAsia="Arial" w:cs="Arial"/>
                <w:lang w:eastAsia="zh-CN"/>
              </w:rPr>
              <w:t xml:space="preserve">, D. (2012) </w:t>
            </w:r>
            <w:r w:rsidRPr="00242500">
              <w:rPr>
                <w:rFonts w:eastAsia="Arial" w:cs="Arial"/>
                <w:i/>
                <w:iCs/>
                <w:lang w:eastAsia="zh-CN"/>
              </w:rPr>
              <w:t>Teaching as a Design Science: Building Pedagogical Patterns for Learning and Technology</w:t>
            </w:r>
            <w:r w:rsidR="00B12C58">
              <w:rPr>
                <w:rFonts w:eastAsia="Arial" w:cs="Arial"/>
                <w:lang w:eastAsia="zh-CN"/>
              </w:rPr>
              <w:t xml:space="preserve"> </w:t>
            </w:r>
            <w:r w:rsidR="00B12C58" w:rsidRPr="00B12C58">
              <w:rPr>
                <w:rFonts w:eastAsia="Arial" w:cs="Arial"/>
                <w:lang w:eastAsia="zh-CN"/>
              </w:rPr>
              <w:t>(1st ed.).</w:t>
            </w:r>
            <w:r w:rsidRPr="00242500">
              <w:rPr>
                <w:rFonts w:eastAsia="Arial" w:cs="Arial"/>
                <w:lang w:eastAsia="zh-CN"/>
              </w:rPr>
              <w:t xml:space="preserve"> London: Routledge. </w:t>
            </w:r>
            <w:hyperlink r:id="rId24" w:history="1">
              <w:r w:rsidR="00BB2BF4" w:rsidRPr="00242500">
                <w:rPr>
                  <w:rStyle w:val="Hyperlink"/>
                  <w:rFonts w:eastAsia="Arial" w:cs="Arial"/>
                  <w:lang w:eastAsia="zh-CN"/>
                </w:rPr>
                <w:t>https://doi.org/10.4324/9780203125083</w:t>
              </w:r>
            </w:hyperlink>
          </w:p>
          <w:p w14:paraId="722A109C" w14:textId="356E38D4" w:rsidR="00442584" w:rsidRDefault="00442584" w:rsidP="00442584">
            <w:pPr>
              <w:spacing w:before="80" w:after="80"/>
              <w:ind w:left="720" w:hanging="720"/>
            </w:pPr>
            <w:r w:rsidRPr="00242500">
              <w:rPr>
                <w:rFonts w:eastAsia="Arial" w:cs="Arial"/>
                <w:lang w:eastAsia="zh-CN"/>
              </w:rPr>
              <w:t xml:space="preserve">Price, M., Handley, K. and Millar, J. (2011) ‘Feedback: focusing attention on engagement’, </w:t>
            </w:r>
            <w:r w:rsidRPr="00242500">
              <w:rPr>
                <w:rFonts w:eastAsia="Arial" w:cs="Arial"/>
                <w:i/>
                <w:iCs/>
                <w:lang w:eastAsia="zh-CN"/>
              </w:rPr>
              <w:t>Studies in Higher Education</w:t>
            </w:r>
            <w:r w:rsidRPr="00242500">
              <w:rPr>
                <w:rFonts w:eastAsia="Arial" w:cs="Arial"/>
                <w:lang w:eastAsia="zh-CN"/>
              </w:rPr>
              <w:t xml:space="preserve">, 36(8), 879–896. </w:t>
            </w:r>
            <w:hyperlink r:id="rId25" w:history="1">
              <w:r w:rsidR="00BB2BF4" w:rsidRPr="00242500">
                <w:rPr>
                  <w:rStyle w:val="Hyperlink"/>
                  <w:rFonts w:eastAsia="Arial" w:cs="Arial"/>
                  <w:lang w:eastAsia="zh-CN"/>
                </w:rPr>
                <w:t>https://doi.org/10.1080/03075079.2010.483513</w:t>
              </w:r>
            </w:hyperlink>
          </w:p>
          <w:p w14:paraId="645AD5C6" w14:textId="6086EAB7" w:rsidR="003C5E06" w:rsidRPr="00242500" w:rsidRDefault="003C5E06" w:rsidP="00442584">
            <w:pPr>
              <w:spacing w:before="80" w:after="80"/>
              <w:ind w:left="720" w:hanging="720"/>
              <w:rPr>
                <w:rFonts w:eastAsia="Arial" w:cs="Arial"/>
                <w:lang w:eastAsia="zh-CN"/>
              </w:rPr>
            </w:pPr>
            <w:r w:rsidRPr="003C5E06">
              <w:rPr>
                <w:rFonts w:eastAsia="Arial" w:cs="Arial"/>
                <w:lang w:eastAsia="zh-CN"/>
              </w:rPr>
              <w:t xml:space="preserve">Rahmani, A.M., Groot, W. and Rahmani, H. (2024) 'Dropout in online higher education: a systematic literature review', International Journal of Educational Technology in Higher Education, 21(1), article 19. </w:t>
            </w:r>
            <w:hyperlink r:id="rId26" w:history="1">
              <w:r w:rsidRPr="003C5E06">
                <w:rPr>
                  <w:rStyle w:val="Hyperlink"/>
                  <w:rFonts w:eastAsia="Arial" w:cs="Arial"/>
                  <w:lang w:eastAsia="zh-CN"/>
                </w:rPr>
                <w:t>https://doi.org/10.1186/s41239-024-00450-9</w:t>
              </w:r>
            </w:hyperlink>
          </w:p>
          <w:p w14:paraId="52CC1500" w14:textId="32E7562F" w:rsidR="00442584" w:rsidRPr="00242500" w:rsidRDefault="00442584" w:rsidP="00442584">
            <w:pPr>
              <w:spacing w:before="80" w:after="80"/>
              <w:ind w:left="720" w:hanging="720"/>
              <w:rPr>
                <w:rFonts w:eastAsia="Arial" w:cs="Arial"/>
                <w:lang w:eastAsia="zh-CN"/>
              </w:rPr>
            </w:pPr>
            <w:r w:rsidRPr="00242500">
              <w:rPr>
                <w:rFonts w:eastAsia="Arial" w:cs="Arial"/>
                <w:lang w:eastAsia="zh-CN"/>
              </w:rPr>
              <w:t xml:space="preserve">Robins, A., Rountree, J. and Rountree, N. (2003) ‘Learning and teaching programming: a review and discussion’, </w:t>
            </w:r>
            <w:r w:rsidRPr="00242500">
              <w:rPr>
                <w:rFonts w:eastAsia="Arial" w:cs="Arial"/>
                <w:i/>
                <w:iCs/>
                <w:lang w:eastAsia="zh-CN"/>
              </w:rPr>
              <w:t>Computer Science Education</w:t>
            </w:r>
            <w:r w:rsidRPr="00242500">
              <w:rPr>
                <w:rFonts w:eastAsia="Arial" w:cs="Arial"/>
                <w:lang w:eastAsia="zh-CN"/>
              </w:rPr>
              <w:t xml:space="preserve">, 13(2), 137–172. </w:t>
            </w:r>
            <w:hyperlink r:id="rId27" w:history="1">
              <w:r w:rsidR="00BB2BF4" w:rsidRPr="00242500">
                <w:rPr>
                  <w:rStyle w:val="Hyperlink"/>
                  <w:rFonts w:eastAsia="Arial" w:cs="Arial"/>
                  <w:lang w:eastAsia="zh-CN"/>
                </w:rPr>
                <w:t>https://doi.org/10.1076/csed.13.2.137.14200</w:t>
              </w:r>
            </w:hyperlink>
          </w:p>
          <w:p w14:paraId="7A4E833A" w14:textId="6FE20B88" w:rsidR="00442584" w:rsidRPr="00242500" w:rsidRDefault="00442584" w:rsidP="00442584">
            <w:pPr>
              <w:spacing w:before="80" w:after="80"/>
              <w:ind w:left="720" w:hanging="720"/>
              <w:rPr>
                <w:rFonts w:eastAsia="Arial" w:cs="Arial"/>
                <w:lang w:eastAsia="zh-CN"/>
              </w:rPr>
            </w:pPr>
            <w:r w:rsidRPr="00242500">
              <w:rPr>
                <w:rFonts w:eastAsia="Arial" w:cs="Arial"/>
                <w:lang w:eastAsia="zh-CN"/>
              </w:rPr>
              <w:t xml:space="preserve">Rubin, M.J. (2013) ‘The effectiveness of live-coding to teach introductory programming’, in </w:t>
            </w:r>
            <w:r w:rsidRPr="00242500">
              <w:rPr>
                <w:rFonts w:eastAsia="Arial" w:cs="Arial"/>
                <w:i/>
                <w:iCs/>
                <w:lang w:eastAsia="zh-CN"/>
              </w:rPr>
              <w:t>Proceedings of the 44th ACM Technical Symposium on Computer Science Education (SIGCSE ’13)</w:t>
            </w:r>
            <w:r w:rsidRPr="00242500">
              <w:rPr>
                <w:rFonts w:eastAsia="Arial" w:cs="Arial"/>
                <w:lang w:eastAsia="zh-CN"/>
              </w:rPr>
              <w:t xml:space="preserve">, Denver, Colorado, USA, 6 March. New York: Association for Computing Machinery, 651–656. </w:t>
            </w:r>
            <w:hyperlink r:id="rId28" w:history="1">
              <w:r w:rsidR="00BB2BF4" w:rsidRPr="00242500">
                <w:rPr>
                  <w:rStyle w:val="Hyperlink"/>
                  <w:rFonts w:eastAsia="Arial" w:cs="Arial"/>
                  <w:lang w:eastAsia="zh-CN"/>
                </w:rPr>
                <w:t>https://doi.org/10.1145/2445196.2445388</w:t>
              </w:r>
            </w:hyperlink>
          </w:p>
          <w:p w14:paraId="310D4D4B" w14:textId="4DE16507" w:rsidR="00442584" w:rsidRPr="00242500" w:rsidRDefault="00442584" w:rsidP="00442584">
            <w:pPr>
              <w:spacing w:before="80" w:after="80"/>
              <w:ind w:left="720" w:hanging="720"/>
              <w:rPr>
                <w:rFonts w:eastAsia="Arial" w:cs="Arial"/>
                <w:lang w:eastAsia="zh-CN"/>
              </w:rPr>
            </w:pPr>
            <w:r w:rsidRPr="00242500">
              <w:rPr>
                <w:rFonts w:eastAsia="Arial" w:cs="Arial"/>
                <w:lang w:eastAsia="zh-CN"/>
              </w:rPr>
              <w:t xml:space="preserve">Sadler, D.R. (1989) ‘Formative assessment and the design of instructional systems’, </w:t>
            </w:r>
            <w:r w:rsidRPr="00242500">
              <w:rPr>
                <w:rFonts w:eastAsia="Arial" w:cs="Arial"/>
                <w:i/>
                <w:iCs/>
                <w:lang w:eastAsia="zh-CN"/>
              </w:rPr>
              <w:t>Instructional Science</w:t>
            </w:r>
            <w:r w:rsidRPr="00242500">
              <w:rPr>
                <w:rFonts w:eastAsia="Arial" w:cs="Arial"/>
                <w:lang w:eastAsia="zh-CN"/>
              </w:rPr>
              <w:t xml:space="preserve">, 18(2), 119–144. </w:t>
            </w:r>
            <w:hyperlink r:id="rId29" w:history="1">
              <w:r w:rsidR="00BB2BF4" w:rsidRPr="00242500">
                <w:rPr>
                  <w:rStyle w:val="Hyperlink"/>
                  <w:rFonts w:eastAsia="Arial" w:cs="Arial"/>
                  <w:lang w:eastAsia="zh-CN"/>
                </w:rPr>
                <w:t>https://doi.org/10.1007/BF00117714</w:t>
              </w:r>
            </w:hyperlink>
          </w:p>
          <w:p w14:paraId="665B0E96" w14:textId="5F000813" w:rsidR="00442584" w:rsidRPr="00242500" w:rsidRDefault="00442584" w:rsidP="00442584">
            <w:pPr>
              <w:spacing w:before="80" w:after="80"/>
              <w:ind w:left="720" w:hanging="720"/>
              <w:rPr>
                <w:rFonts w:eastAsia="Arial" w:cs="Arial"/>
                <w:lang w:eastAsia="zh-CN"/>
              </w:rPr>
            </w:pPr>
            <w:r w:rsidRPr="00242500">
              <w:rPr>
                <w:rFonts w:eastAsia="Arial" w:cs="Arial"/>
                <w:lang w:eastAsia="zh-CN"/>
              </w:rPr>
              <w:t xml:space="preserve">Salmon, G. (2013) </w:t>
            </w:r>
            <w:r w:rsidRPr="00242500">
              <w:rPr>
                <w:rFonts w:eastAsia="Arial" w:cs="Arial"/>
                <w:i/>
                <w:iCs/>
                <w:lang w:eastAsia="zh-CN"/>
              </w:rPr>
              <w:t>E-</w:t>
            </w:r>
            <w:proofErr w:type="spellStart"/>
            <w:r w:rsidRPr="00242500">
              <w:rPr>
                <w:rFonts w:eastAsia="Arial" w:cs="Arial"/>
                <w:i/>
                <w:iCs/>
                <w:lang w:eastAsia="zh-CN"/>
              </w:rPr>
              <w:t>tivities</w:t>
            </w:r>
            <w:proofErr w:type="spellEnd"/>
            <w:r w:rsidRPr="00242500">
              <w:rPr>
                <w:rFonts w:eastAsia="Arial" w:cs="Arial"/>
                <w:i/>
                <w:iCs/>
                <w:lang w:eastAsia="zh-CN"/>
              </w:rPr>
              <w:t>: The Key to Active Online Learning</w:t>
            </w:r>
            <w:r w:rsidRPr="00242500">
              <w:rPr>
                <w:rFonts w:eastAsia="Arial" w:cs="Arial"/>
                <w:lang w:eastAsia="zh-CN"/>
              </w:rPr>
              <w:t xml:space="preserve">. 2nd </w:t>
            </w:r>
            <w:proofErr w:type="spellStart"/>
            <w:r w:rsidRPr="00242500">
              <w:rPr>
                <w:rFonts w:eastAsia="Arial" w:cs="Arial"/>
                <w:lang w:eastAsia="zh-CN"/>
              </w:rPr>
              <w:t>edn</w:t>
            </w:r>
            <w:proofErr w:type="spellEnd"/>
            <w:r w:rsidRPr="00242500">
              <w:rPr>
                <w:rFonts w:eastAsia="Arial" w:cs="Arial"/>
                <w:lang w:eastAsia="zh-CN"/>
              </w:rPr>
              <w:t>. London: Routledge.</w:t>
            </w:r>
            <w:r w:rsidR="00200F7C">
              <w:rPr>
                <w:rFonts w:eastAsia="Arial" w:cs="Arial"/>
                <w:lang w:eastAsia="zh-CN"/>
              </w:rPr>
              <w:t xml:space="preserve"> </w:t>
            </w:r>
            <w:hyperlink r:id="rId30" w:history="1">
              <w:r w:rsidR="00200F7C" w:rsidRPr="00200F7C">
                <w:rPr>
                  <w:rStyle w:val="Hyperlink"/>
                  <w:rFonts w:eastAsia="Arial" w:cs="Arial"/>
                  <w:lang w:eastAsia="zh-CN"/>
                </w:rPr>
                <w:t>https://doi.org/10.4324/9780203074640</w:t>
              </w:r>
            </w:hyperlink>
          </w:p>
          <w:p w14:paraId="4E4B7040" w14:textId="5AEDAADD" w:rsidR="00442584" w:rsidRPr="00242500" w:rsidRDefault="00442584" w:rsidP="00442584">
            <w:pPr>
              <w:spacing w:before="80" w:after="80"/>
              <w:ind w:left="720" w:hanging="720"/>
            </w:pPr>
            <w:r w:rsidRPr="00242500">
              <w:rPr>
                <w:rFonts w:eastAsia="Arial" w:cs="Arial"/>
                <w:lang w:eastAsia="zh-CN"/>
              </w:rPr>
              <w:lastRenderedPageBreak/>
              <w:t xml:space="preserve">Shah, A., Rexin, T., </w:t>
            </w:r>
            <w:proofErr w:type="spellStart"/>
            <w:r w:rsidRPr="00242500">
              <w:rPr>
                <w:rFonts w:eastAsia="Arial" w:cs="Arial"/>
                <w:lang w:eastAsia="zh-CN"/>
              </w:rPr>
              <w:t>Alhumrani</w:t>
            </w:r>
            <w:proofErr w:type="spellEnd"/>
            <w:r w:rsidRPr="00242500">
              <w:rPr>
                <w:rFonts w:eastAsia="Arial" w:cs="Arial"/>
                <w:lang w:eastAsia="zh-CN"/>
              </w:rPr>
              <w:t xml:space="preserve">, F., Griswold, W.G., Porter, L. and Raj, G.S. (2025) ‘An empirical evaluation of active live coding in CS1’, </w:t>
            </w:r>
            <w:r w:rsidRPr="00242500">
              <w:rPr>
                <w:rFonts w:eastAsia="Arial" w:cs="Arial"/>
                <w:i/>
                <w:iCs/>
                <w:lang w:eastAsia="zh-CN"/>
              </w:rPr>
              <w:t>ACM Transactions on Computing Education</w:t>
            </w:r>
            <w:r w:rsidRPr="00242500">
              <w:rPr>
                <w:rFonts w:eastAsia="Arial" w:cs="Arial"/>
                <w:lang w:eastAsia="zh-CN"/>
              </w:rPr>
              <w:t xml:space="preserve">, 25(3), article 34, 1–33. </w:t>
            </w:r>
            <w:hyperlink r:id="rId31" w:history="1">
              <w:r w:rsidR="007A3FFD" w:rsidRPr="00242500">
                <w:rPr>
                  <w:rStyle w:val="Hyperlink"/>
                  <w:rFonts w:eastAsia="Arial" w:cs="Arial"/>
                  <w:lang w:eastAsia="zh-CN"/>
                </w:rPr>
                <w:t>https://doi.org/10.1145/3743686</w:t>
              </w:r>
            </w:hyperlink>
          </w:p>
          <w:p w14:paraId="50E36DD3" w14:textId="7DF6D021" w:rsidR="003C5E06" w:rsidRDefault="003C5E06" w:rsidP="003C5E06">
            <w:pPr>
              <w:spacing w:before="80" w:after="80"/>
              <w:ind w:left="720" w:hanging="720"/>
              <w:rPr>
                <w:rFonts w:eastAsia="Arial" w:cs="Arial"/>
                <w:lang w:eastAsia="zh-CN"/>
              </w:rPr>
            </w:pPr>
            <w:r w:rsidRPr="003C5E06">
              <w:rPr>
                <w:rFonts w:eastAsia="Arial" w:cs="Arial"/>
                <w:lang w:eastAsia="zh-CN"/>
              </w:rPr>
              <w:t xml:space="preserve">Schön, D.A. (1992). The Reflective Practitioner: How Professionals Think in Action (1st ed.). Routledge. </w:t>
            </w:r>
            <w:hyperlink r:id="rId32" w:history="1">
              <w:r w:rsidRPr="00FD0D62">
                <w:rPr>
                  <w:rStyle w:val="Hyperlink"/>
                  <w:rFonts w:eastAsia="Arial" w:cs="Arial"/>
                  <w:lang w:eastAsia="zh-CN"/>
                </w:rPr>
                <w:t>https://doi.org/10.4324/9781315237473</w:t>
              </w:r>
            </w:hyperlink>
          </w:p>
          <w:p w14:paraId="1936C509" w14:textId="0B081A3E" w:rsidR="00B351DC" w:rsidRPr="00242500" w:rsidRDefault="00B351DC" w:rsidP="003C5E06">
            <w:pPr>
              <w:spacing w:before="80" w:after="80"/>
              <w:ind w:left="720" w:hanging="720"/>
              <w:rPr>
                <w:rFonts w:eastAsia="Arial" w:cs="Arial"/>
                <w:lang w:val="en-US" w:eastAsia="zh-CN"/>
              </w:rPr>
            </w:pPr>
            <w:r w:rsidRPr="00B351DC">
              <w:rPr>
                <w:rFonts w:eastAsia="Arial" w:cs="Arial"/>
                <w:lang w:eastAsia="zh-CN"/>
              </w:rPr>
              <w:t xml:space="preserve">Stripe, K. and </w:t>
            </w:r>
            <w:proofErr w:type="spellStart"/>
            <w:r w:rsidRPr="00B351DC">
              <w:rPr>
                <w:rFonts w:eastAsia="Arial" w:cs="Arial"/>
                <w:lang w:eastAsia="zh-CN"/>
              </w:rPr>
              <w:t>Ntonia</w:t>
            </w:r>
            <w:proofErr w:type="spellEnd"/>
            <w:r w:rsidRPr="00B351DC">
              <w:rPr>
                <w:rFonts w:eastAsia="Arial" w:cs="Arial"/>
                <w:lang w:eastAsia="zh-CN"/>
              </w:rPr>
              <w:t>, I. (2023) “Twenty-two recommendations for inclusive teaching and their implementation challenges”., </w:t>
            </w:r>
            <w:r w:rsidRPr="00B351DC">
              <w:rPr>
                <w:rFonts w:eastAsia="Arial" w:cs="Arial"/>
                <w:i/>
                <w:iCs/>
                <w:lang w:eastAsia="zh-CN"/>
              </w:rPr>
              <w:t>Journal of Learning Development in Higher Education</w:t>
            </w:r>
            <w:r w:rsidRPr="00B351DC">
              <w:rPr>
                <w:rFonts w:eastAsia="Arial" w:cs="Arial"/>
                <w:lang w:eastAsia="zh-CN"/>
              </w:rPr>
              <w:t xml:space="preserve">, (28). </w:t>
            </w:r>
            <w:hyperlink r:id="rId33" w:history="1">
              <w:r w:rsidR="00B12C58" w:rsidRPr="00B12C58">
                <w:rPr>
                  <w:rStyle w:val="Hyperlink"/>
                  <w:rFonts w:eastAsia="Arial" w:cs="Arial"/>
                  <w:lang w:eastAsia="zh-CN"/>
                </w:rPr>
                <w:t>https://doi.org/10.47408/jldhe.vi28.1034</w:t>
              </w:r>
              <w:r w:rsidRPr="00B12C58">
                <w:rPr>
                  <w:rStyle w:val="Hyperlink"/>
                  <w:rFonts w:eastAsia="Arial" w:cs="Arial"/>
                  <w:lang w:eastAsia="zh-CN"/>
                </w:rPr>
                <w:t>.</w:t>
              </w:r>
            </w:hyperlink>
          </w:p>
          <w:p w14:paraId="3F1E2656" w14:textId="6AC0BAA5" w:rsidR="00442584" w:rsidRPr="00242500" w:rsidRDefault="00442584" w:rsidP="00442584">
            <w:pPr>
              <w:spacing w:before="80" w:after="80"/>
              <w:ind w:left="720" w:hanging="720"/>
              <w:rPr>
                <w:rFonts w:eastAsia="Arial" w:cs="Arial"/>
                <w:lang w:eastAsia="zh-CN"/>
              </w:rPr>
            </w:pPr>
            <w:r w:rsidRPr="00242500">
              <w:rPr>
                <w:rFonts w:eastAsia="Arial" w:cs="Arial"/>
                <w:lang w:eastAsia="zh-CN"/>
              </w:rPr>
              <w:t xml:space="preserve">Sun, D., Looi, C.-K., Li, Y., Zhu, C., Zhu, C. and Cheng, M. (2024) ‘Block-based versus text-based programming: a comparison of learners’ programming </w:t>
            </w:r>
            <w:proofErr w:type="spellStart"/>
            <w:r w:rsidRPr="00242500">
              <w:rPr>
                <w:rFonts w:eastAsia="Arial" w:cs="Arial"/>
                <w:lang w:eastAsia="zh-CN"/>
              </w:rPr>
              <w:t>behaviors</w:t>
            </w:r>
            <w:proofErr w:type="spellEnd"/>
            <w:r w:rsidRPr="00242500">
              <w:rPr>
                <w:rFonts w:eastAsia="Arial" w:cs="Arial"/>
                <w:lang w:eastAsia="zh-CN"/>
              </w:rPr>
              <w:t xml:space="preserve">, computational thinking skills and attitudes toward programming’, </w:t>
            </w:r>
            <w:r w:rsidRPr="00242500">
              <w:rPr>
                <w:rFonts w:eastAsia="Arial" w:cs="Arial"/>
                <w:i/>
                <w:iCs/>
                <w:lang w:eastAsia="zh-CN"/>
              </w:rPr>
              <w:t>Educational Technology Research and Development</w:t>
            </w:r>
            <w:r w:rsidRPr="00242500">
              <w:rPr>
                <w:rFonts w:eastAsia="Arial" w:cs="Arial"/>
                <w:lang w:eastAsia="zh-CN"/>
              </w:rPr>
              <w:t xml:space="preserve">, 72, 1067–1089. </w:t>
            </w:r>
            <w:hyperlink r:id="rId34" w:history="1">
              <w:r w:rsidR="000E7FF9" w:rsidRPr="00242500">
                <w:rPr>
                  <w:rStyle w:val="Hyperlink"/>
                  <w:rFonts w:eastAsia="Arial" w:cs="Arial"/>
                  <w:lang w:eastAsia="zh-CN"/>
                </w:rPr>
                <w:t>https://doi.org/10.1007/s11423-023-10328-8</w:t>
              </w:r>
            </w:hyperlink>
          </w:p>
          <w:p w14:paraId="02B177FB" w14:textId="7EC54E63" w:rsidR="00442584" w:rsidRPr="00242500" w:rsidRDefault="00442584" w:rsidP="00442584">
            <w:pPr>
              <w:spacing w:before="80" w:after="80"/>
              <w:ind w:left="720" w:hanging="720"/>
              <w:rPr>
                <w:rFonts w:eastAsia="Arial" w:cs="Arial"/>
                <w:lang w:eastAsia="zh-CN"/>
              </w:rPr>
            </w:pPr>
            <w:r w:rsidRPr="00242500">
              <w:rPr>
                <w:rFonts w:eastAsia="Arial" w:cs="Arial"/>
                <w:lang w:eastAsia="zh-CN"/>
              </w:rPr>
              <w:t xml:space="preserve">Sutton, P. (2012) ‘Conceptualizing feedback literacy: knowing, being, and acting’, </w:t>
            </w:r>
            <w:r w:rsidRPr="00242500">
              <w:rPr>
                <w:rFonts w:eastAsia="Arial" w:cs="Arial"/>
                <w:i/>
                <w:iCs/>
                <w:lang w:eastAsia="zh-CN"/>
              </w:rPr>
              <w:t>Innovations in Education and Teaching International</w:t>
            </w:r>
            <w:r w:rsidRPr="00242500">
              <w:rPr>
                <w:rFonts w:eastAsia="Arial" w:cs="Arial"/>
                <w:lang w:eastAsia="zh-CN"/>
              </w:rPr>
              <w:t xml:space="preserve">, 49(1), 31–40. </w:t>
            </w:r>
            <w:hyperlink r:id="rId35" w:history="1">
              <w:r w:rsidRPr="00242500">
                <w:rPr>
                  <w:rStyle w:val="Hyperlink"/>
                  <w:rFonts w:eastAsia="Arial" w:cs="Arial"/>
                  <w:lang w:eastAsia="zh-CN"/>
                </w:rPr>
                <w:t>https://doi.org/10.1080/14703297.2012.647781</w:t>
              </w:r>
            </w:hyperlink>
          </w:p>
          <w:p w14:paraId="452135E6" w14:textId="725D353B" w:rsidR="000D5FB6" w:rsidRDefault="000D5FB6" w:rsidP="00CC3EA2">
            <w:pPr>
              <w:ind w:left="740" w:hanging="740"/>
              <w:rPr>
                <w:rFonts w:eastAsia="Arial" w:cs="Arial"/>
                <w:lang w:eastAsia="zh-CN"/>
              </w:rPr>
            </w:pPr>
            <w:r w:rsidRPr="000D5FB6">
              <w:rPr>
                <w:rFonts w:eastAsia="Arial" w:cs="Arial"/>
                <w:lang w:eastAsia="zh-CN"/>
              </w:rPr>
              <w:t xml:space="preserve">Zheng, L., Zhen, Y., Niu, J. and Zhong, L. (2022) 'An exploratory study on fade-in versus fade-out scaffolding for novice programmers in online collaborative programming settings', Journal of Computing in Higher Education, 34(2), 489–516. </w:t>
            </w:r>
            <w:hyperlink r:id="rId36" w:history="1">
              <w:r w:rsidRPr="00FD0D62">
                <w:rPr>
                  <w:rStyle w:val="Hyperlink"/>
                  <w:rFonts w:eastAsia="Arial" w:cs="Arial"/>
                  <w:lang w:eastAsia="zh-CN"/>
                </w:rPr>
                <w:t>https://doi.org/10.1007/s12528-021-09307-w</w:t>
              </w:r>
            </w:hyperlink>
          </w:p>
          <w:p w14:paraId="64DC7F21" w14:textId="01983E46" w:rsidR="00CC3EA2" w:rsidRPr="00242500" w:rsidRDefault="000D5FB6" w:rsidP="000D5FB6">
            <w:pPr>
              <w:ind w:left="740" w:hanging="740"/>
              <w:rPr>
                <w:rFonts w:eastAsia="Arial" w:cs="Arial"/>
                <w:lang w:val="en-US" w:eastAsia="zh-CN"/>
              </w:rPr>
            </w:pPr>
            <w:r w:rsidRPr="000D5FB6">
              <w:rPr>
                <w:rFonts w:eastAsia="Arial" w:cs="Arial"/>
                <w:lang w:val="en-US" w:eastAsia="zh-CN"/>
              </w:rPr>
              <w:t>Wenger, E. (1998) Communities of Practice: Learning, Meaning, and Identity. Cambridge: Cambridge University Press (Learning in Doing: Social, Cognitive and Computational Perspectives).</w:t>
            </w:r>
            <w:r>
              <w:rPr>
                <w:rFonts w:eastAsia="Arial" w:cs="Arial"/>
                <w:lang w:val="en-US" w:eastAsia="zh-CN"/>
              </w:rPr>
              <w:t xml:space="preserve"> </w:t>
            </w:r>
            <w:r w:rsidRPr="000D5FB6">
              <w:rPr>
                <w:rFonts w:eastAsia="Arial" w:cs="Arial"/>
                <w:lang w:eastAsia="zh-CN"/>
              </w:rPr>
              <w:br/>
            </w:r>
            <w:hyperlink r:id="rId37" w:history="1">
              <w:r w:rsidRPr="000D5FB6">
                <w:rPr>
                  <w:rStyle w:val="Hyperlink"/>
                  <w:rFonts w:eastAsia="Arial" w:cs="Arial"/>
                  <w:lang w:eastAsia="zh-CN"/>
                </w:rPr>
                <w:t>https://doi.org/10.1017/CBO9780511803932</w:t>
              </w:r>
            </w:hyperlink>
          </w:p>
        </w:tc>
      </w:tr>
    </w:tbl>
    <w:p w14:paraId="6606C150" w14:textId="3C6AD0A2" w:rsidR="3EC2FDF5" w:rsidRDefault="3EC2FDF5" w:rsidP="4F7FBBAB">
      <w:pPr>
        <w:pStyle w:val="BodyText"/>
        <w:jc w:val="both"/>
      </w:pPr>
      <w:r w:rsidRPr="4F7FBBAB">
        <w:rPr>
          <w:color w:val="000000" w:themeColor="text1"/>
        </w:rPr>
        <w:lastRenderedPageBreak/>
        <w:t xml:space="preserve">Your application (including the two Supporting Statements from your referees) is submitted first to the Academic Office </w:t>
      </w:r>
      <w:r w:rsidRPr="4F7FBBAB">
        <w:rPr>
          <w:b/>
          <w:bCs/>
          <w:color w:val="000000" w:themeColor="text1"/>
        </w:rPr>
        <w:t>via the appropriate submission link on Moodle (Advance HE Fellowship module).</w:t>
      </w:r>
    </w:p>
    <w:p w14:paraId="0ABF605F" w14:textId="03C25575" w:rsidR="4F7FBBAB" w:rsidRDefault="4F7FBBAB" w:rsidP="4F7FBBAB">
      <w:pPr>
        <w:rPr>
          <w:rFonts w:cs="Arial"/>
          <w:b/>
          <w:bCs/>
          <w:sz w:val="32"/>
          <w:szCs w:val="32"/>
        </w:rPr>
        <w:sectPr w:rsidR="4F7FBBAB" w:rsidSect="00101730">
          <w:headerReference w:type="default" r:id="rId38"/>
          <w:footerReference w:type="default" r:id="rId39"/>
          <w:pgSz w:w="11906" w:h="16838"/>
          <w:pgMar w:top="720" w:right="720" w:bottom="720" w:left="720" w:header="708" w:footer="708" w:gutter="0"/>
          <w:pgBorders w:offsetFrom="page">
            <w:top w:val="single" w:sz="12" w:space="24" w:color="9BBB59" w:themeColor="accent3"/>
            <w:left w:val="single" w:sz="12" w:space="24" w:color="9BBB59" w:themeColor="accent3"/>
            <w:bottom w:val="single" w:sz="12" w:space="24" w:color="9BBB59" w:themeColor="accent3"/>
            <w:right w:val="single" w:sz="12" w:space="24" w:color="9BBB59" w:themeColor="accent3"/>
          </w:pgBorders>
          <w:cols w:space="708"/>
          <w:docGrid w:linePitch="360"/>
        </w:sectPr>
      </w:pPr>
    </w:p>
    <w:p w14:paraId="067EA6D5" w14:textId="5FBF4422" w:rsidR="00CA12DC" w:rsidRPr="00C22A3A" w:rsidRDefault="00CA12DC" w:rsidP="12B5ADD9">
      <w:pPr>
        <w:jc w:val="both"/>
        <w:rPr>
          <w:rFonts w:cs="Arial"/>
          <w:b/>
          <w:bCs/>
          <w:sz w:val="32"/>
          <w:szCs w:val="32"/>
        </w:rPr>
      </w:pPr>
      <w:r w:rsidRPr="12B5ADD9">
        <w:rPr>
          <w:rFonts w:cs="Arial"/>
          <w:b/>
          <w:bCs/>
          <w:sz w:val="32"/>
          <w:szCs w:val="32"/>
        </w:rPr>
        <w:lastRenderedPageBreak/>
        <w:t xml:space="preserve">SECTION </w:t>
      </w:r>
      <w:r w:rsidR="0012441E" w:rsidRPr="12B5ADD9">
        <w:rPr>
          <w:rFonts w:cs="Arial"/>
          <w:b/>
          <w:bCs/>
          <w:sz w:val="32"/>
          <w:szCs w:val="32"/>
        </w:rPr>
        <w:t>6</w:t>
      </w:r>
      <w:r w:rsidRPr="12B5ADD9">
        <w:rPr>
          <w:rFonts w:cs="Arial"/>
          <w:b/>
          <w:bCs/>
          <w:sz w:val="32"/>
          <w:szCs w:val="32"/>
        </w:rPr>
        <w:t>:</w:t>
      </w:r>
      <w:r>
        <w:tab/>
      </w:r>
      <w:r w:rsidRPr="12B5ADD9">
        <w:rPr>
          <w:rFonts w:cs="Arial"/>
          <w:b/>
          <w:bCs/>
          <w:sz w:val="32"/>
          <w:szCs w:val="32"/>
        </w:rPr>
        <w:t>Referees</w:t>
      </w:r>
    </w:p>
    <w:p w14:paraId="43D2FCE4" w14:textId="77777777" w:rsidR="00CA12DC" w:rsidRPr="00C22A3A" w:rsidRDefault="00CA12DC" w:rsidP="00CA12DC">
      <w:pPr>
        <w:jc w:val="both"/>
        <w:rPr>
          <w:rFonts w:cs="Arial"/>
          <w:sz w:val="24"/>
          <w:szCs w:val="24"/>
        </w:rPr>
      </w:pPr>
    </w:p>
    <w:p w14:paraId="103C838F" w14:textId="77777777" w:rsidR="00CA12DC" w:rsidRPr="00C22A3A" w:rsidRDefault="00CA12DC" w:rsidP="00CA12DC">
      <w:pPr>
        <w:jc w:val="both"/>
        <w:rPr>
          <w:rFonts w:cs="Arial"/>
          <w:sz w:val="24"/>
          <w:szCs w:val="24"/>
        </w:rPr>
      </w:pPr>
      <w:r w:rsidRPr="12B5ADD9">
        <w:rPr>
          <w:rFonts w:cs="Arial"/>
          <w:sz w:val="24"/>
          <w:szCs w:val="24"/>
        </w:rPr>
        <w:t xml:space="preserve">Your application must be accompanied by </w:t>
      </w:r>
      <w:r w:rsidRPr="12B5ADD9">
        <w:rPr>
          <w:rFonts w:cs="Arial"/>
          <w:b/>
          <w:bCs/>
          <w:sz w:val="24"/>
          <w:szCs w:val="24"/>
        </w:rPr>
        <w:t>two references</w:t>
      </w:r>
      <w:r w:rsidRPr="12B5ADD9">
        <w:rPr>
          <w:rFonts w:cs="Arial"/>
          <w:sz w:val="24"/>
          <w:szCs w:val="24"/>
        </w:rPr>
        <w:t xml:space="preserve"> from persons who are in a position to comment on your teaching and learning practices and achievements. </w:t>
      </w:r>
    </w:p>
    <w:p w14:paraId="7C8FB86C" w14:textId="77777777" w:rsidR="0092057B" w:rsidRPr="00C22A3A" w:rsidRDefault="0092057B" w:rsidP="00CA12DC">
      <w:pPr>
        <w:jc w:val="both"/>
        <w:rPr>
          <w:rFonts w:cs="Arial"/>
          <w:sz w:val="24"/>
          <w:szCs w:val="24"/>
        </w:rPr>
      </w:pPr>
    </w:p>
    <w:p w14:paraId="30A2FF45" w14:textId="71B6DDF4" w:rsidR="0092057B" w:rsidRPr="00C22A3A" w:rsidRDefault="0092057B" w:rsidP="00CA12DC">
      <w:pPr>
        <w:jc w:val="both"/>
        <w:rPr>
          <w:rFonts w:cs="Arial"/>
          <w:sz w:val="24"/>
          <w:szCs w:val="24"/>
        </w:rPr>
      </w:pPr>
      <w:r w:rsidRPr="12B5ADD9">
        <w:rPr>
          <w:rFonts w:cs="Arial"/>
          <w:sz w:val="24"/>
          <w:szCs w:val="24"/>
        </w:rPr>
        <w:t xml:space="preserve">The function of your Referees is to provide an informed peer review of your eligibility for </w:t>
      </w:r>
      <w:r w:rsidR="00F568EF" w:rsidRPr="12B5ADD9">
        <w:rPr>
          <w:rFonts w:cs="Arial"/>
          <w:sz w:val="24"/>
          <w:szCs w:val="24"/>
        </w:rPr>
        <w:t>Senior</w:t>
      </w:r>
      <w:r w:rsidRPr="12B5ADD9">
        <w:rPr>
          <w:rFonts w:cs="Arial"/>
          <w:sz w:val="24"/>
          <w:szCs w:val="24"/>
        </w:rPr>
        <w:t xml:space="preserve"> Fellow, using their knowledge of your work and the context in which you teach and/or support learning. Referees are expected to </w:t>
      </w:r>
      <w:r w:rsidR="54F318AE" w:rsidRPr="12B5ADD9">
        <w:rPr>
          <w:rFonts w:cs="Arial"/>
          <w:b/>
          <w:bCs/>
          <w:sz w:val="24"/>
          <w:szCs w:val="24"/>
        </w:rPr>
        <w:t xml:space="preserve">verify and endorse </w:t>
      </w:r>
      <w:r w:rsidR="00D72BA1" w:rsidRPr="12B5ADD9">
        <w:rPr>
          <w:rFonts w:cs="Arial"/>
          <w:b/>
          <w:bCs/>
          <w:sz w:val="24"/>
          <w:szCs w:val="24"/>
        </w:rPr>
        <w:t>your application</w:t>
      </w:r>
      <w:r w:rsidR="00D72BA1" w:rsidRPr="12B5ADD9">
        <w:rPr>
          <w:rFonts w:cs="Arial"/>
          <w:sz w:val="24"/>
          <w:szCs w:val="24"/>
        </w:rPr>
        <w:t xml:space="preserve"> by </w:t>
      </w:r>
      <w:r w:rsidRPr="12B5ADD9">
        <w:rPr>
          <w:rFonts w:cs="Arial"/>
          <w:sz w:val="24"/>
          <w:szCs w:val="24"/>
        </w:rPr>
        <w:t>comment</w:t>
      </w:r>
      <w:r w:rsidR="00D72BA1" w:rsidRPr="12B5ADD9">
        <w:rPr>
          <w:rFonts w:cs="Arial"/>
          <w:sz w:val="24"/>
          <w:szCs w:val="24"/>
        </w:rPr>
        <w:t>ing</w:t>
      </w:r>
      <w:r w:rsidRPr="12B5ADD9">
        <w:rPr>
          <w:rFonts w:cs="Arial"/>
          <w:sz w:val="24"/>
          <w:szCs w:val="24"/>
        </w:rPr>
        <w:t xml:space="preserve"> directly on the content of your application and to make additional, relevant comments, as they wish.</w:t>
      </w:r>
    </w:p>
    <w:p w14:paraId="7827D39A" w14:textId="77777777" w:rsidR="0092057B" w:rsidRPr="00C22A3A" w:rsidRDefault="0092057B" w:rsidP="00CA12DC">
      <w:pPr>
        <w:jc w:val="both"/>
        <w:rPr>
          <w:rFonts w:cs="Arial"/>
          <w:sz w:val="24"/>
          <w:szCs w:val="24"/>
        </w:rPr>
      </w:pPr>
    </w:p>
    <w:p w14:paraId="2AEDBD79" w14:textId="07CF47A2" w:rsidR="0092057B" w:rsidRPr="00C22A3A" w:rsidRDefault="0092057B" w:rsidP="00CA12DC">
      <w:pPr>
        <w:jc w:val="both"/>
        <w:rPr>
          <w:rFonts w:cs="Arial"/>
          <w:sz w:val="24"/>
          <w:szCs w:val="24"/>
        </w:rPr>
      </w:pPr>
      <w:r w:rsidRPr="12B5ADD9">
        <w:rPr>
          <w:rFonts w:cs="Arial"/>
          <w:sz w:val="24"/>
          <w:szCs w:val="24"/>
        </w:rPr>
        <w:t xml:space="preserve">Referees should be experienced staff and be able to comment knowledgeably, and from first-hand experience, on your current role and any other relevant activities recently undertaken. </w:t>
      </w:r>
      <w:r w:rsidRPr="12B5ADD9">
        <w:rPr>
          <w:rFonts w:cs="Arial"/>
          <w:b/>
          <w:bCs/>
          <w:sz w:val="24"/>
          <w:szCs w:val="24"/>
        </w:rPr>
        <w:t xml:space="preserve">At least one of your Referees should either be a Fellow, Senior Fellow or Principal Fellow of </w:t>
      </w:r>
      <w:r w:rsidR="11149408" w:rsidRPr="12B5ADD9">
        <w:rPr>
          <w:rFonts w:cs="Arial"/>
          <w:b/>
          <w:bCs/>
          <w:sz w:val="24"/>
          <w:szCs w:val="24"/>
        </w:rPr>
        <w:t xml:space="preserve"> </w:t>
      </w:r>
      <w:r w:rsidR="11149408" w:rsidRPr="12B5ADD9">
        <w:rPr>
          <w:rFonts w:eastAsia="Arial" w:cs="Arial"/>
          <w:b/>
          <w:bCs/>
          <w:sz w:val="24"/>
          <w:szCs w:val="24"/>
        </w:rPr>
        <w:t>Advance HE</w:t>
      </w:r>
      <w:r w:rsidRPr="12B5ADD9">
        <w:rPr>
          <w:rFonts w:cs="Arial"/>
          <w:b/>
          <w:bCs/>
          <w:sz w:val="24"/>
          <w:szCs w:val="24"/>
        </w:rPr>
        <w:t xml:space="preserve"> </w:t>
      </w:r>
      <w:r w:rsidRPr="12B5ADD9">
        <w:rPr>
          <w:rFonts w:cs="Arial"/>
          <w:sz w:val="24"/>
          <w:szCs w:val="24"/>
        </w:rPr>
        <w:t>, or an appropriate experienced member of staff working for a UK Higher Education Institution (HEI). All Referees need to be familiar with PSF</w:t>
      </w:r>
      <w:r w:rsidR="018C05B8" w:rsidRPr="12B5ADD9">
        <w:rPr>
          <w:rFonts w:cs="Arial"/>
          <w:sz w:val="24"/>
          <w:szCs w:val="24"/>
        </w:rPr>
        <w:t xml:space="preserve"> 2023</w:t>
      </w:r>
      <w:r w:rsidRPr="12B5ADD9">
        <w:rPr>
          <w:rFonts w:cs="Arial"/>
          <w:sz w:val="24"/>
          <w:szCs w:val="24"/>
        </w:rPr>
        <w:t>.</w:t>
      </w:r>
    </w:p>
    <w:p w14:paraId="7D8A8E9D" w14:textId="77777777" w:rsidR="0092057B" w:rsidRPr="00C22A3A" w:rsidRDefault="0092057B" w:rsidP="00CA12DC">
      <w:pPr>
        <w:jc w:val="both"/>
        <w:rPr>
          <w:rFonts w:cs="Arial"/>
          <w:sz w:val="24"/>
          <w:szCs w:val="24"/>
        </w:rPr>
      </w:pPr>
    </w:p>
    <w:p w14:paraId="478E1E10" w14:textId="77777777" w:rsidR="0092057B" w:rsidRPr="00C22A3A" w:rsidRDefault="0092057B" w:rsidP="12B5ADD9">
      <w:pPr>
        <w:jc w:val="both"/>
        <w:rPr>
          <w:rFonts w:cs="Arial"/>
          <w:b/>
          <w:bCs/>
          <w:sz w:val="24"/>
          <w:szCs w:val="24"/>
        </w:rPr>
      </w:pPr>
      <w:r w:rsidRPr="12B5ADD9">
        <w:rPr>
          <w:rFonts w:cs="Arial"/>
          <w:b/>
          <w:bCs/>
          <w:sz w:val="24"/>
          <w:szCs w:val="24"/>
        </w:rPr>
        <w:t>Referees should be provided with a copy of the Guidance Notes for Referees – please speak to your mentor regarding this document.</w:t>
      </w:r>
    </w:p>
    <w:p w14:paraId="32241D8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2"/>
        <w:gridCol w:w="5864"/>
      </w:tblGrid>
      <w:tr w:rsidR="00CA12DC" w:rsidRPr="00C22A3A" w14:paraId="06BF99F8" w14:textId="77777777" w:rsidTr="0073065B">
        <w:tc>
          <w:tcPr>
            <w:tcW w:w="10456" w:type="dxa"/>
            <w:gridSpan w:val="2"/>
          </w:tcPr>
          <w:p w14:paraId="2E8ED74F" w14:textId="77777777" w:rsidR="00CA12DC" w:rsidRPr="00C22A3A" w:rsidRDefault="00CA12DC" w:rsidP="382CC43D">
            <w:pPr>
              <w:jc w:val="both"/>
              <w:rPr>
                <w:rFonts w:cs="Arial"/>
                <w:b/>
                <w:bCs/>
                <w:sz w:val="24"/>
                <w:szCs w:val="24"/>
              </w:rPr>
            </w:pPr>
            <w:r w:rsidRPr="382CC43D">
              <w:rPr>
                <w:rFonts w:cs="Arial"/>
                <w:b/>
                <w:bCs/>
                <w:sz w:val="24"/>
                <w:szCs w:val="24"/>
              </w:rPr>
              <w:t>First Referee:</w:t>
            </w:r>
          </w:p>
          <w:p w14:paraId="38E6BBCE" w14:textId="77777777" w:rsidR="00CA12DC" w:rsidRPr="00C22A3A" w:rsidRDefault="00CA12DC">
            <w:pPr>
              <w:jc w:val="both"/>
              <w:rPr>
                <w:rFonts w:cs="Arial"/>
                <w:sz w:val="24"/>
                <w:szCs w:val="24"/>
              </w:rPr>
            </w:pPr>
          </w:p>
        </w:tc>
      </w:tr>
      <w:tr w:rsidR="00CA12DC" w:rsidRPr="00C22A3A" w14:paraId="26F45506" w14:textId="77777777" w:rsidTr="0073065B">
        <w:tc>
          <w:tcPr>
            <w:tcW w:w="4592" w:type="dxa"/>
          </w:tcPr>
          <w:p w14:paraId="7F82612F" w14:textId="77777777" w:rsidR="00CA12DC" w:rsidRPr="00C22A3A" w:rsidRDefault="00CA12DC">
            <w:pPr>
              <w:jc w:val="both"/>
              <w:rPr>
                <w:rFonts w:cs="Arial"/>
                <w:sz w:val="24"/>
                <w:szCs w:val="24"/>
              </w:rPr>
            </w:pPr>
            <w:r w:rsidRPr="00C22A3A">
              <w:rPr>
                <w:rFonts w:cs="Arial"/>
                <w:sz w:val="24"/>
                <w:szCs w:val="24"/>
              </w:rPr>
              <w:t>Name</w:t>
            </w:r>
          </w:p>
        </w:tc>
        <w:tc>
          <w:tcPr>
            <w:tcW w:w="5864" w:type="dxa"/>
          </w:tcPr>
          <w:p w14:paraId="47D73AB7" w14:textId="43E7F2F9" w:rsidR="00CA12DC" w:rsidRPr="00602FCB" w:rsidRDefault="008567CA" w:rsidP="00602FCB">
            <w:pPr>
              <w:spacing w:line="260" w:lineRule="exact"/>
              <w:rPr>
                <w:rFonts w:eastAsia="Cambria"/>
                <w:szCs w:val="24"/>
              </w:rPr>
            </w:pPr>
            <w:r>
              <w:rPr>
                <w:rFonts w:cs="Arial"/>
                <w:sz w:val="24"/>
                <w:szCs w:val="24"/>
              </w:rPr>
              <w:t xml:space="preserve">Mrs. </w:t>
            </w:r>
            <w:r w:rsidR="00602FCB" w:rsidRPr="00E204EB">
              <w:rPr>
                <w:rFonts w:eastAsia="Cambria"/>
                <w:szCs w:val="24"/>
              </w:rPr>
              <w:t>Renuga Jayakumar</w:t>
            </w:r>
          </w:p>
        </w:tc>
      </w:tr>
      <w:tr w:rsidR="00CA12DC" w:rsidRPr="00C22A3A" w14:paraId="106B3C49" w14:textId="77777777" w:rsidTr="0073065B">
        <w:tc>
          <w:tcPr>
            <w:tcW w:w="4592" w:type="dxa"/>
          </w:tcPr>
          <w:p w14:paraId="066E9928" w14:textId="77777777" w:rsidR="00CA12DC" w:rsidRPr="00C22A3A" w:rsidRDefault="00CA12DC">
            <w:pPr>
              <w:jc w:val="both"/>
              <w:rPr>
                <w:rFonts w:cs="Arial"/>
                <w:sz w:val="24"/>
                <w:szCs w:val="24"/>
              </w:rPr>
            </w:pPr>
            <w:r w:rsidRPr="00C22A3A">
              <w:rPr>
                <w:rFonts w:cs="Arial"/>
                <w:sz w:val="24"/>
                <w:szCs w:val="24"/>
              </w:rPr>
              <w:t>Job Title</w:t>
            </w:r>
          </w:p>
        </w:tc>
        <w:tc>
          <w:tcPr>
            <w:tcW w:w="5864" w:type="dxa"/>
          </w:tcPr>
          <w:p w14:paraId="7190B493" w14:textId="5872572D" w:rsidR="00C25A06" w:rsidRDefault="00C25A06" w:rsidP="00C25A06">
            <w:r>
              <w:t xml:space="preserve">Programme Manager for BSc </w:t>
            </w:r>
            <w:r w:rsidR="00CD734F">
              <w:t>Applied</w:t>
            </w:r>
            <w:r>
              <w:t xml:space="preserve"> Computing</w:t>
            </w:r>
          </w:p>
          <w:p w14:paraId="5BF63C11" w14:textId="576C502E" w:rsidR="00CA12DC" w:rsidRPr="00C22A3A" w:rsidRDefault="00C25A06" w:rsidP="00C25A06">
            <w:pPr>
              <w:jc w:val="both"/>
              <w:rPr>
                <w:rFonts w:cs="Arial"/>
                <w:sz w:val="24"/>
                <w:szCs w:val="24"/>
              </w:rPr>
            </w:pPr>
            <w:r>
              <w:t>&amp; Senior Lecturer in Computing</w:t>
            </w:r>
          </w:p>
        </w:tc>
      </w:tr>
      <w:tr w:rsidR="001A33D4" w:rsidRPr="00C22A3A" w14:paraId="095DAFAB" w14:textId="77777777" w:rsidTr="0073065B">
        <w:tc>
          <w:tcPr>
            <w:tcW w:w="4592" w:type="dxa"/>
          </w:tcPr>
          <w:p w14:paraId="78042F3A" w14:textId="540D5E94" w:rsidR="001A33D4" w:rsidRPr="00C22A3A" w:rsidRDefault="001A33D4">
            <w:pPr>
              <w:jc w:val="both"/>
              <w:rPr>
                <w:rFonts w:cs="Arial"/>
                <w:sz w:val="24"/>
                <w:szCs w:val="24"/>
              </w:rPr>
            </w:pPr>
            <w:r>
              <w:rPr>
                <w:rFonts w:cs="Arial"/>
                <w:sz w:val="24"/>
                <w:szCs w:val="24"/>
              </w:rPr>
              <w:t>Fellowship Status</w:t>
            </w:r>
          </w:p>
        </w:tc>
        <w:tc>
          <w:tcPr>
            <w:tcW w:w="5864" w:type="dxa"/>
          </w:tcPr>
          <w:p w14:paraId="5394AA7F" w14:textId="49A5BEF2" w:rsidR="001A33D4" w:rsidRPr="00C22A3A" w:rsidRDefault="00694CC8">
            <w:pPr>
              <w:jc w:val="both"/>
              <w:rPr>
                <w:rFonts w:cs="Arial"/>
                <w:sz w:val="24"/>
                <w:szCs w:val="24"/>
              </w:rPr>
            </w:pPr>
            <w:r>
              <w:t>Senior Fellow</w:t>
            </w:r>
          </w:p>
        </w:tc>
      </w:tr>
      <w:tr w:rsidR="0073065B" w:rsidRPr="00C22A3A" w14:paraId="147B419C" w14:textId="77777777" w:rsidTr="0073065B">
        <w:tc>
          <w:tcPr>
            <w:tcW w:w="4592" w:type="dxa"/>
          </w:tcPr>
          <w:p w14:paraId="7CF46367" w14:textId="7D22EECE" w:rsidR="0073065B" w:rsidRPr="00C22A3A" w:rsidRDefault="0073065B" w:rsidP="0073065B">
            <w:pPr>
              <w:jc w:val="both"/>
            </w:pPr>
            <w:r w:rsidRPr="12B5ADD9">
              <w:rPr>
                <w:rFonts w:eastAsia="Arial" w:cs="Arial"/>
                <w:sz w:val="24"/>
                <w:szCs w:val="24"/>
              </w:rPr>
              <w:t>Institution/Institute/Centre/Unit</w:t>
            </w:r>
          </w:p>
        </w:tc>
        <w:tc>
          <w:tcPr>
            <w:tcW w:w="5864" w:type="dxa"/>
          </w:tcPr>
          <w:p w14:paraId="776E03D0" w14:textId="77777777" w:rsidR="0073065B" w:rsidRDefault="0073065B" w:rsidP="0073065B">
            <w:r>
              <w:t>University of Wales Trinity St. David</w:t>
            </w:r>
          </w:p>
          <w:p w14:paraId="46967109" w14:textId="2FAFCBA4" w:rsidR="0073065B" w:rsidRPr="00C22A3A" w:rsidRDefault="0073065B" w:rsidP="0073065B">
            <w:pPr>
              <w:jc w:val="both"/>
              <w:rPr>
                <w:rFonts w:cs="Arial"/>
                <w:sz w:val="24"/>
                <w:szCs w:val="24"/>
              </w:rPr>
            </w:pPr>
            <w:r>
              <w:t>Institute of Inner City Learning London</w:t>
            </w:r>
            <w:r w:rsidR="00BF1F53">
              <w:t>/ Computing</w:t>
            </w:r>
          </w:p>
        </w:tc>
      </w:tr>
      <w:tr w:rsidR="0073065B" w:rsidRPr="00C22A3A" w14:paraId="6FB5A033" w14:textId="77777777" w:rsidTr="0073065B">
        <w:tc>
          <w:tcPr>
            <w:tcW w:w="4592" w:type="dxa"/>
          </w:tcPr>
          <w:p w14:paraId="5790C142" w14:textId="77777777" w:rsidR="0073065B" w:rsidRPr="00C22A3A" w:rsidRDefault="0073065B" w:rsidP="0073065B">
            <w:pPr>
              <w:jc w:val="both"/>
              <w:rPr>
                <w:rFonts w:cs="Arial"/>
                <w:sz w:val="24"/>
                <w:szCs w:val="24"/>
              </w:rPr>
            </w:pPr>
            <w:r w:rsidRPr="00C22A3A">
              <w:rPr>
                <w:rFonts w:cs="Arial"/>
                <w:sz w:val="24"/>
                <w:szCs w:val="24"/>
              </w:rPr>
              <w:t>Email address</w:t>
            </w:r>
          </w:p>
        </w:tc>
        <w:tc>
          <w:tcPr>
            <w:tcW w:w="5864" w:type="dxa"/>
          </w:tcPr>
          <w:p w14:paraId="6752D4AB" w14:textId="492D3758" w:rsidR="0073065B" w:rsidRPr="006725C5" w:rsidRDefault="006725C5" w:rsidP="006725C5">
            <w:pPr>
              <w:spacing w:line="260" w:lineRule="exact"/>
              <w:rPr>
                <w:rFonts w:eastAsia="Cambria"/>
                <w:szCs w:val="24"/>
              </w:rPr>
            </w:pPr>
            <w:r w:rsidRPr="00E204EB">
              <w:rPr>
                <w:rFonts w:eastAsia="Cambria"/>
                <w:szCs w:val="24"/>
              </w:rPr>
              <w:t>r.jayakumar@uwtsd.ac.uk</w:t>
            </w:r>
          </w:p>
        </w:tc>
      </w:tr>
      <w:tr w:rsidR="0073065B" w:rsidRPr="00C22A3A" w14:paraId="425E133A" w14:textId="77777777" w:rsidTr="0073065B">
        <w:tc>
          <w:tcPr>
            <w:tcW w:w="10456" w:type="dxa"/>
            <w:gridSpan w:val="2"/>
          </w:tcPr>
          <w:p w14:paraId="25CFBCF0" w14:textId="77777777" w:rsidR="0073065B" w:rsidRPr="00C22A3A" w:rsidRDefault="0073065B" w:rsidP="0073065B">
            <w:pPr>
              <w:jc w:val="both"/>
              <w:rPr>
                <w:rFonts w:cs="Arial"/>
                <w:sz w:val="24"/>
                <w:szCs w:val="24"/>
              </w:rPr>
            </w:pPr>
            <w:r w:rsidRPr="00C22A3A">
              <w:rPr>
                <w:rFonts w:cs="Arial"/>
                <w:sz w:val="24"/>
                <w:szCs w:val="24"/>
              </w:rPr>
              <w:t>In what capacity can this individual comment on your professional practice?</w:t>
            </w:r>
          </w:p>
          <w:p w14:paraId="65EFFA31" w14:textId="2156EC0D" w:rsidR="0073065B" w:rsidRPr="00C22A3A" w:rsidRDefault="0066488E" w:rsidP="0066488E">
            <w:pPr>
              <w:jc w:val="both"/>
              <w:rPr>
                <w:rFonts w:cs="Arial"/>
                <w:sz w:val="24"/>
                <w:szCs w:val="24"/>
              </w:rPr>
            </w:pPr>
            <w:r>
              <w:rPr>
                <w:rFonts w:cs="Arial"/>
                <w:sz w:val="24"/>
                <w:szCs w:val="24"/>
              </w:rPr>
              <w:t>As my</w:t>
            </w:r>
            <w:r w:rsidR="00874309" w:rsidRPr="00874309">
              <w:rPr>
                <w:rFonts w:cs="Arial"/>
                <w:sz w:val="24"/>
                <w:szCs w:val="24"/>
              </w:rPr>
              <w:t xml:space="preserve"> Programme Manager for Level 5 and Level 6 modules and is therefore well placed to comment on my professional practice in relation to teaching and learning, module and programme leadership, curriculum development, assessment and feedback practices, and my influence on colleagues and enhancement activities</w:t>
            </w:r>
            <w:r>
              <w:rPr>
                <w:rFonts w:cs="Arial"/>
                <w:sz w:val="24"/>
                <w:szCs w:val="24"/>
              </w:rPr>
              <w:t>.</w:t>
            </w:r>
          </w:p>
        </w:tc>
      </w:tr>
    </w:tbl>
    <w:p w14:paraId="2E14615A"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2BBB4057" w14:textId="77777777" w:rsidTr="12B5ADD9">
        <w:tc>
          <w:tcPr>
            <w:tcW w:w="10598" w:type="dxa"/>
            <w:gridSpan w:val="2"/>
          </w:tcPr>
          <w:p w14:paraId="5EE785E5" w14:textId="77777777" w:rsidR="00CA12DC" w:rsidRPr="00C22A3A" w:rsidRDefault="00CA12DC">
            <w:pPr>
              <w:jc w:val="both"/>
              <w:rPr>
                <w:rFonts w:cs="Arial"/>
                <w:b/>
                <w:sz w:val="24"/>
                <w:szCs w:val="24"/>
              </w:rPr>
            </w:pPr>
            <w:r w:rsidRPr="00C22A3A">
              <w:rPr>
                <w:rFonts w:cs="Arial"/>
                <w:b/>
                <w:sz w:val="24"/>
                <w:szCs w:val="24"/>
              </w:rPr>
              <w:t>Second Referee:</w:t>
            </w:r>
          </w:p>
          <w:p w14:paraId="730897FA" w14:textId="77777777" w:rsidR="00CA12DC" w:rsidRPr="00C22A3A" w:rsidRDefault="00CA12DC">
            <w:pPr>
              <w:jc w:val="both"/>
              <w:rPr>
                <w:rFonts w:cs="Arial"/>
                <w:sz w:val="24"/>
                <w:szCs w:val="24"/>
              </w:rPr>
            </w:pPr>
          </w:p>
        </w:tc>
      </w:tr>
      <w:tr w:rsidR="00CA12DC" w:rsidRPr="00C22A3A" w14:paraId="4FC8FFC1" w14:textId="77777777" w:rsidTr="12B5ADD9">
        <w:tc>
          <w:tcPr>
            <w:tcW w:w="4621" w:type="dxa"/>
          </w:tcPr>
          <w:p w14:paraId="49A02072" w14:textId="77777777" w:rsidR="00CA12DC" w:rsidRPr="00C22A3A" w:rsidRDefault="00CA12DC">
            <w:pPr>
              <w:jc w:val="both"/>
              <w:rPr>
                <w:rFonts w:cs="Arial"/>
                <w:sz w:val="24"/>
                <w:szCs w:val="24"/>
              </w:rPr>
            </w:pPr>
            <w:r w:rsidRPr="00C22A3A">
              <w:rPr>
                <w:rFonts w:cs="Arial"/>
                <w:sz w:val="24"/>
                <w:szCs w:val="24"/>
              </w:rPr>
              <w:t>Name</w:t>
            </w:r>
          </w:p>
        </w:tc>
        <w:tc>
          <w:tcPr>
            <w:tcW w:w="5977" w:type="dxa"/>
          </w:tcPr>
          <w:p w14:paraId="1F09A343" w14:textId="12ED8725" w:rsidR="00CA12DC" w:rsidRPr="00C22A3A" w:rsidRDefault="005C1FA1">
            <w:pPr>
              <w:jc w:val="both"/>
              <w:rPr>
                <w:rFonts w:cs="Arial"/>
                <w:sz w:val="24"/>
                <w:szCs w:val="24"/>
              </w:rPr>
            </w:pPr>
            <w:r>
              <w:rPr>
                <w:rFonts w:cs="Arial"/>
                <w:sz w:val="24"/>
                <w:szCs w:val="24"/>
              </w:rPr>
              <w:t xml:space="preserve">Dr. </w:t>
            </w:r>
            <w:r w:rsidR="00FB7C37">
              <w:rPr>
                <w:rFonts w:cs="Arial"/>
                <w:sz w:val="24"/>
                <w:szCs w:val="24"/>
              </w:rPr>
              <w:t>Dipo</w:t>
            </w:r>
            <w:r w:rsidR="00E035B2">
              <w:rPr>
                <w:rFonts w:cs="Arial"/>
                <w:sz w:val="24"/>
                <w:szCs w:val="24"/>
              </w:rPr>
              <w:t xml:space="preserve"> </w:t>
            </w:r>
            <w:proofErr w:type="spellStart"/>
            <w:r w:rsidR="00E035B2">
              <w:rPr>
                <w:rFonts w:cs="Arial"/>
                <w:sz w:val="24"/>
                <w:szCs w:val="24"/>
              </w:rPr>
              <w:t>Dunsin</w:t>
            </w:r>
            <w:proofErr w:type="spellEnd"/>
          </w:p>
        </w:tc>
      </w:tr>
      <w:tr w:rsidR="00CA12DC" w:rsidRPr="00C22A3A" w14:paraId="5A26095C" w14:textId="77777777" w:rsidTr="12B5ADD9">
        <w:tc>
          <w:tcPr>
            <w:tcW w:w="4621" w:type="dxa"/>
          </w:tcPr>
          <w:p w14:paraId="6D0874B7" w14:textId="77777777" w:rsidR="00CA12DC" w:rsidRPr="00C22A3A" w:rsidRDefault="00CA12DC">
            <w:pPr>
              <w:jc w:val="both"/>
              <w:rPr>
                <w:rFonts w:cs="Arial"/>
                <w:sz w:val="24"/>
                <w:szCs w:val="24"/>
              </w:rPr>
            </w:pPr>
            <w:r w:rsidRPr="00C22A3A">
              <w:rPr>
                <w:rFonts w:cs="Arial"/>
                <w:sz w:val="24"/>
                <w:szCs w:val="24"/>
              </w:rPr>
              <w:t>Job Title</w:t>
            </w:r>
          </w:p>
        </w:tc>
        <w:tc>
          <w:tcPr>
            <w:tcW w:w="5977" w:type="dxa"/>
          </w:tcPr>
          <w:p w14:paraId="78727601" w14:textId="39DD6996" w:rsidR="00CA12DC" w:rsidRPr="00C22A3A" w:rsidRDefault="00BA4778">
            <w:pPr>
              <w:jc w:val="both"/>
              <w:rPr>
                <w:rFonts w:cs="Arial"/>
                <w:sz w:val="24"/>
                <w:szCs w:val="24"/>
              </w:rPr>
            </w:pPr>
            <w:r>
              <w:t xml:space="preserve">Programme Manager for </w:t>
            </w:r>
            <w:r w:rsidRPr="008A56D8">
              <w:t>MSc Cybersecurity and Digital Forensics</w:t>
            </w:r>
            <w:r>
              <w:t xml:space="preserve"> &amp; Senior Lecturer in Computing</w:t>
            </w:r>
          </w:p>
        </w:tc>
      </w:tr>
      <w:tr w:rsidR="001A33D4" w:rsidRPr="00C22A3A" w14:paraId="3B15CA94" w14:textId="77777777" w:rsidTr="12B5ADD9">
        <w:tc>
          <w:tcPr>
            <w:tcW w:w="4621" w:type="dxa"/>
          </w:tcPr>
          <w:p w14:paraId="24E3A0B3" w14:textId="4D118F31" w:rsidR="001A33D4" w:rsidRPr="00C22A3A" w:rsidRDefault="001A33D4">
            <w:pPr>
              <w:jc w:val="both"/>
              <w:rPr>
                <w:rFonts w:cs="Arial"/>
                <w:sz w:val="24"/>
                <w:szCs w:val="24"/>
              </w:rPr>
            </w:pPr>
            <w:r>
              <w:rPr>
                <w:rFonts w:cs="Arial"/>
                <w:sz w:val="24"/>
                <w:szCs w:val="24"/>
              </w:rPr>
              <w:t>Fellowship Status</w:t>
            </w:r>
          </w:p>
        </w:tc>
        <w:tc>
          <w:tcPr>
            <w:tcW w:w="5977" w:type="dxa"/>
          </w:tcPr>
          <w:p w14:paraId="4B98AC46" w14:textId="448933F4" w:rsidR="001A33D4" w:rsidRPr="00C22A3A" w:rsidRDefault="008057A3">
            <w:pPr>
              <w:jc w:val="both"/>
              <w:rPr>
                <w:rFonts w:cs="Arial"/>
                <w:sz w:val="24"/>
                <w:szCs w:val="24"/>
              </w:rPr>
            </w:pPr>
            <w:r>
              <w:t>Fellow</w:t>
            </w:r>
          </w:p>
        </w:tc>
      </w:tr>
      <w:tr w:rsidR="00CA12DC" w:rsidRPr="00C22A3A" w14:paraId="1D5A114E" w14:textId="77777777" w:rsidTr="12B5ADD9">
        <w:tc>
          <w:tcPr>
            <w:tcW w:w="4621" w:type="dxa"/>
          </w:tcPr>
          <w:p w14:paraId="0041F826" w14:textId="2028AD92" w:rsidR="00CA12DC" w:rsidRPr="00C22A3A" w:rsidRDefault="4C1E9D45">
            <w:pPr>
              <w:jc w:val="both"/>
            </w:pPr>
            <w:r w:rsidRPr="12B5ADD9">
              <w:rPr>
                <w:rFonts w:eastAsia="Arial" w:cs="Arial"/>
                <w:sz w:val="24"/>
                <w:szCs w:val="24"/>
              </w:rPr>
              <w:t>Institution/Institute/Centre/Unit</w:t>
            </w:r>
          </w:p>
        </w:tc>
        <w:tc>
          <w:tcPr>
            <w:tcW w:w="5977" w:type="dxa"/>
          </w:tcPr>
          <w:p w14:paraId="20C25FE8" w14:textId="77777777" w:rsidR="00BF1F53" w:rsidRDefault="00BF1F53" w:rsidP="00BF1F53">
            <w:r>
              <w:t>University of Wales Trinity St. David</w:t>
            </w:r>
          </w:p>
          <w:p w14:paraId="7DD98897" w14:textId="0E23C096" w:rsidR="00CA12DC" w:rsidRPr="00C22A3A" w:rsidRDefault="00BF1F53" w:rsidP="00BF1F53">
            <w:pPr>
              <w:jc w:val="both"/>
              <w:rPr>
                <w:rFonts w:cs="Arial"/>
                <w:sz w:val="24"/>
                <w:szCs w:val="24"/>
              </w:rPr>
            </w:pPr>
            <w:r>
              <w:t>Institute of Inner City Learning London/ Computing</w:t>
            </w:r>
          </w:p>
        </w:tc>
      </w:tr>
      <w:tr w:rsidR="00CA12DC" w:rsidRPr="00C22A3A" w14:paraId="79406C18" w14:textId="77777777" w:rsidTr="12B5ADD9">
        <w:tc>
          <w:tcPr>
            <w:tcW w:w="4621" w:type="dxa"/>
          </w:tcPr>
          <w:p w14:paraId="2356965C" w14:textId="77777777" w:rsidR="00CA12DC" w:rsidRPr="00C22A3A" w:rsidRDefault="00CA12DC">
            <w:pPr>
              <w:jc w:val="both"/>
              <w:rPr>
                <w:rFonts w:cs="Arial"/>
                <w:sz w:val="24"/>
                <w:szCs w:val="24"/>
              </w:rPr>
            </w:pPr>
            <w:r w:rsidRPr="00C22A3A">
              <w:rPr>
                <w:rFonts w:cs="Arial"/>
                <w:sz w:val="24"/>
                <w:szCs w:val="24"/>
              </w:rPr>
              <w:t>Email address</w:t>
            </w:r>
          </w:p>
        </w:tc>
        <w:tc>
          <w:tcPr>
            <w:tcW w:w="5977" w:type="dxa"/>
          </w:tcPr>
          <w:p w14:paraId="4BD303AA" w14:textId="2854FADE" w:rsidR="00CA12DC" w:rsidRPr="00C22A3A" w:rsidRDefault="000254F9">
            <w:pPr>
              <w:jc w:val="both"/>
              <w:rPr>
                <w:rFonts w:cs="Arial"/>
                <w:sz w:val="24"/>
                <w:szCs w:val="24"/>
              </w:rPr>
            </w:pPr>
            <w:r w:rsidRPr="008A56D8">
              <w:t>d.dunsin@uwtsd.ac.uk</w:t>
            </w:r>
          </w:p>
        </w:tc>
      </w:tr>
      <w:tr w:rsidR="00CA12DC" w:rsidRPr="00C22A3A" w14:paraId="52177303" w14:textId="77777777" w:rsidTr="12B5ADD9">
        <w:tc>
          <w:tcPr>
            <w:tcW w:w="10598" w:type="dxa"/>
            <w:gridSpan w:val="2"/>
          </w:tcPr>
          <w:p w14:paraId="377FBEAB" w14:textId="77777777" w:rsidR="00CA12DC" w:rsidRPr="00C22A3A" w:rsidRDefault="00CA12DC">
            <w:pPr>
              <w:jc w:val="both"/>
              <w:rPr>
                <w:rFonts w:cs="Arial"/>
                <w:sz w:val="24"/>
                <w:szCs w:val="24"/>
              </w:rPr>
            </w:pPr>
            <w:r w:rsidRPr="00C22A3A">
              <w:rPr>
                <w:rFonts w:cs="Arial"/>
                <w:sz w:val="24"/>
                <w:szCs w:val="24"/>
              </w:rPr>
              <w:t>In what capacity can this individual comment on your professional practice?</w:t>
            </w:r>
          </w:p>
          <w:p w14:paraId="67DADB2E" w14:textId="736F1A59" w:rsidR="0092057B" w:rsidRPr="00C22A3A" w:rsidRDefault="001E3A43" w:rsidP="00AF184A">
            <w:pPr>
              <w:jc w:val="both"/>
              <w:rPr>
                <w:rFonts w:cs="Arial"/>
                <w:sz w:val="24"/>
                <w:szCs w:val="24"/>
              </w:rPr>
            </w:pPr>
            <w:r w:rsidRPr="001E3A43">
              <w:rPr>
                <w:rFonts w:cs="Arial"/>
                <w:sz w:val="24"/>
                <w:szCs w:val="24"/>
              </w:rPr>
              <w:t xml:space="preserve">Programme Manager for the MSc Cybersecurity and Digital Forensics programme, within which I serve as Module Leader for the Level 7 Research Methods and Professional Development module and as a project supervisor. </w:t>
            </w:r>
            <w:r w:rsidR="00AF184A">
              <w:rPr>
                <w:rFonts w:cs="Arial"/>
                <w:sz w:val="24"/>
                <w:szCs w:val="24"/>
              </w:rPr>
              <w:t>T</w:t>
            </w:r>
            <w:r w:rsidRPr="001E3A43">
              <w:rPr>
                <w:rFonts w:cs="Arial"/>
                <w:sz w:val="24"/>
                <w:szCs w:val="24"/>
              </w:rPr>
              <w:t>herefore well placed to comment on my professional practice in relation to module leadership, teaching and learning, curriculum development, assessment and feedback practices, project supervision, student support, and my wider contributions to programme enhancement</w:t>
            </w:r>
            <w:r w:rsidR="00AF184A">
              <w:rPr>
                <w:rFonts w:cs="Arial"/>
                <w:sz w:val="24"/>
                <w:szCs w:val="24"/>
              </w:rPr>
              <w:t>.</w:t>
            </w:r>
          </w:p>
        </w:tc>
      </w:tr>
    </w:tbl>
    <w:p w14:paraId="60EF82E8" w14:textId="77777777" w:rsidR="00BD009A" w:rsidRDefault="00BD009A">
      <w:pPr>
        <w:rPr>
          <w:rFonts w:cs="Arial"/>
          <w:sz w:val="24"/>
          <w:szCs w:val="24"/>
        </w:rPr>
        <w:sectPr w:rsidR="00BD009A" w:rsidSect="00101730">
          <w:pgSz w:w="11906" w:h="16838"/>
          <w:pgMar w:top="720" w:right="720" w:bottom="720" w:left="720" w:header="708" w:footer="708" w:gutter="0"/>
          <w:pgBorders w:offsetFrom="page">
            <w:top w:val="single" w:sz="12" w:space="24" w:color="9BBB59" w:themeColor="accent3"/>
            <w:left w:val="single" w:sz="12" w:space="24" w:color="9BBB59" w:themeColor="accent3"/>
            <w:bottom w:val="single" w:sz="12" w:space="24" w:color="9BBB59" w:themeColor="accent3"/>
            <w:right w:val="single" w:sz="12" w:space="24" w:color="9BBB59" w:themeColor="accent3"/>
          </w:pgBorders>
          <w:cols w:space="708"/>
          <w:docGrid w:linePitch="360"/>
        </w:sectPr>
      </w:pPr>
    </w:p>
    <w:p w14:paraId="56839A9F" w14:textId="36FCECDB" w:rsidR="00192F14" w:rsidRDefault="00192F14" w:rsidP="12B5ADD9">
      <w:pPr>
        <w:rPr>
          <w:rFonts w:cs="Arial"/>
          <w:b/>
          <w:bCs/>
          <w:sz w:val="32"/>
          <w:szCs w:val="32"/>
        </w:rPr>
      </w:pPr>
      <w:r w:rsidRPr="12B5ADD9">
        <w:rPr>
          <w:rFonts w:cs="Arial"/>
          <w:b/>
          <w:bCs/>
          <w:sz w:val="32"/>
          <w:szCs w:val="32"/>
        </w:rPr>
        <w:lastRenderedPageBreak/>
        <w:t xml:space="preserve">SECTION </w:t>
      </w:r>
      <w:r w:rsidR="0012441E" w:rsidRPr="12B5ADD9">
        <w:rPr>
          <w:rFonts w:cs="Arial"/>
          <w:b/>
          <w:bCs/>
          <w:sz w:val="32"/>
          <w:szCs w:val="32"/>
        </w:rPr>
        <w:t>7</w:t>
      </w:r>
      <w:r w:rsidRPr="12B5ADD9">
        <w:rPr>
          <w:rFonts w:cs="Arial"/>
          <w:b/>
          <w:bCs/>
          <w:sz w:val="32"/>
          <w:szCs w:val="32"/>
        </w:rPr>
        <w:t>: Declaration</w:t>
      </w:r>
    </w:p>
    <w:p w14:paraId="11CFA36D" w14:textId="77777777" w:rsidR="00192F14" w:rsidRDefault="00192F14" w:rsidP="00192F14">
      <w:pPr>
        <w:jc w:val="both"/>
        <w:rPr>
          <w:rFonts w:cs="Arial"/>
          <w:b/>
          <w:sz w:val="32"/>
          <w:szCs w:val="32"/>
        </w:rPr>
      </w:pPr>
    </w:p>
    <w:p w14:paraId="65BD4205" w14:textId="77777777" w:rsidR="00192F14" w:rsidRDefault="00192F14" w:rsidP="00192F14">
      <w:pPr>
        <w:jc w:val="both"/>
        <w:rPr>
          <w:rFonts w:cs="Arial"/>
          <w:sz w:val="24"/>
          <w:szCs w:val="24"/>
        </w:rPr>
      </w:pPr>
      <w:r w:rsidRPr="70A6C109">
        <w:rPr>
          <w:rFonts w:cs="Arial"/>
          <w:sz w:val="24"/>
          <w:szCs w:val="24"/>
        </w:rPr>
        <w:t>Please sign and date in the box below to confirm that the application you are submitting is your own work.</w:t>
      </w:r>
    </w:p>
    <w:p w14:paraId="289AA737" w14:textId="77777777" w:rsidR="00192F14" w:rsidRDefault="00192F14" w:rsidP="00192F14">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92F14" w:rsidRPr="00D77198" w14:paraId="54D322CD" w14:textId="77777777">
        <w:tc>
          <w:tcPr>
            <w:tcW w:w="1413" w:type="dxa"/>
          </w:tcPr>
          <w:p w14:paraId="500DA3F3" w14:textId="77777777" w:rsidR="00192F14" w:rsidRPr="00D77198" w:rsidRDefault="00192F14">
            <w:pPr>
              <w:jc w:val="both"/>
              <w:rPr>
                <w:rFonts w:cs="Arial"/>
                <w:sz w:val="24"/>
                <w:szCs w:val="24"/>
              </w:rPr>
            </w:pPr>
            <w:r>
              <w:rPr>
                <w:rFonts w:cs="Arial"/>
                <w:sz w:val="24"/>
                <w:szCs w:val="24"/>
              </w:rPr>
              <w:t xml:space="preserve">Signature </w:t>
            </w:r>
          </w:p>
        </w:tc>
        <w:tc>
          <w:tcPr>
            <w:tcW w:w="9185" w:type="dxa"/>
          </w:tcPr>
          <w:p w14:paraId="3657793E" w14:textId="6DE4A411" w:rsidR="00192F14" w:rsidRPr="00E17399" w:rsidRDefault="00E17399">
            <w:pPr>
              <w:jc w:val="both"/>
              <w:rPr>
                <w:rFonts w:ascii="Freestyle Script" w:hAnsi="Freestyle Script" w:cs="Arial"/>
                <w:sz w:val="24"/>
                <w:szCs w:val="24"/>
              </w:rPr>
            </w:pPr>
            <w:r w:rsidRPr="00E17399">
              <w:rPr>
                <w:rFonts w:ascii="Freestyle Script" w:hAnsi="Freestyle Script" w:cs="Arial"/>
                <w:sz w:val="24"/>
                <w:szCs w:val="24"/>
              </w:rPr>
              <w:t>Suresh Shanmugasundaram</w:t>
            </w:r>
          </w:p>
        </w:tc>
      </w:tr>
      <w:tr w:rsidR="00192F14" w:rsidRPr="00D77198" w14:paraId="4D53DBF7" w14:textId="77777777">
        <w:tc>
          <w:tcPr>
            <w:tcW w:w="1413" w:type="dxa"/>
          </w:tcPr>
          <w:p w14:paraId="42EB0629" w14:textId="77777777" w:rsidR="00192F14" w:rsidRPr="00D77198" w:rsidRDefault="00192F14">
            <w:pPr>
              <w:jc w:val="both"/>
              <w:rPr>
                <w:rFonts w:cs="Arial"/>
                <w:sz w:val="24"/>
                <w:szCs w:val="24"/>
              </w:rPr>
            </w:pPr>
            <w:r>
              <w:rPr>
                <w:rFonts w:cs="Arial"/>
                <w:sz w:val="24"/>
                <w:szCs w:val="24"/>
              </w:rPr>
              <w:t xml:space="preserve">Date </w:t>
            </w:r>
          </w:p>
        </w:tc>
        <w:tc>
          <w:tcPr>
            <w:tcW w:w="9185" w:type="dxa"/>
          </w:tcPr>
          <w:p w14:paraId="4D583E1E" w14:textId="1A48ABEF" w:rsidR="00192F14" w:rsidRPr="00D77198" w:rsidRDefault="004D4095">
            <w:pPr>
              <w:jc w:val="both"/>
              <w:rPr>
                <w:rFonts w:cs="Arial"/>
                <w:sz w:val="24"/>
                <w:szCs w:val="24"/>
              </w:rPr>
            </w:pPr>
            <w:r>
              <w:rPr>
                <w:rFonts w:cs="Arial"/>
                <w:sz w:val="24"/>
                <w:szCs w:val="24"/>
              </w:rPr>
              <w:t>30</w:t>
            </w:r>
            <w:r w:rsidR="00CC3EA2">
              <w:rPr>
                <w:rFonts w:cs="Arial"/>
                <w:sz w:val="24"/>
                <w:szCs w:val="24"/>
              </w:rPr>
              <w:t>/07/2026</w:t>
            </w:r>
          </w:p>
        </w:tc>
      </w:tr>
    </w:tbl>
    <w:p w14:paraId="252A6F1E" w14:textId="77777777" w:rsidR="00192F14" w:rsidRPr="001A46A7" w:rsidRDefault="00192F14" w:rsidP="00192F14">
      <w:pPr>
        <w:jc w:val="both"/>
        <w:rPr>
          <w:rFonts w:cs="Arial"/>
          <w:sz w:val="24"/>
          <w:szCs w:val="24"/>
        </w:rPr>
      </w:pPr>
    </w:p>
    <w:p w14:paraId="67F5AA50" w14:textId="77777777" w:rsidR="00192F14" w:rsidRPr="00051148" w:rsidRDefault="00192F14" w:rsidP="00192F14">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5693A5CA" w14:textId="77777777" w:rsidR="00192F14" w:rsidRPr="00051148" w:rsidRDefault="00192F14" w:rsidP="00192F14">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794C1158" w14:textId="77777777" w:rsidR="00192F14" w:rsidRPr="00051148" w:rsidRDefault="00192F14" w:rsidP="00192F14">
      <w:pPr>
        <w:rPr>
          <w:rFonts w:cs="Arial"/>
        </w:rPr>
      </w:pPr>
      <w:hyperlink r:id="rId40" w:history="1">
        <w:r w:rsidRPr="00051148">
          <w:rPr>
            <w:rStyle w:val="Hyperlink"/>
            <w:rFonts w:eastAsia="Calibri" w:cs="Arial"/>
            <w:color w:val="0000FF"/>
          </w:rPr>
          <w:t>https://www.heacademy.ac.uk/my-academy-manage-your-higher-education-academy-experience</w:t>
        </w:r>
      </w:hyperlink>
      <w:r w:rsidRPr="00051148">
        <w:rPr>
          <w:rFonts w:eastAsia="Calibri" w:cs="Arial"/>
          <w:color w:val="000000" w:themeColor="text1"/>
        </w:rPr>
        <w:t xml:space="preserve">  </w:t>
      </w:r>
    </w:p>
    <w:p w14:paraId="76424A70" w14:textId="77777777" w:rsidR="00192F14" w:rsidRDefault="00192F14" w:rsidP="00192F14">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82E930F" w14:textId="77777777" w:rsidR="00192F14" w:rsidRPr="001D25D0" w:rsidRDefault="00192F14" w:rsidP="00192F14">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5DCCA7B3" w14:textId="77777777" w:rsidR="00192F14" w:rsidRPr="00FE7642" w:rsidRDefault="00192F14" w:rsidP="00192F14">
      <w:pPr>
        <w:rPr>
          <w:rFonts w:cs="Arial"/>
          <w:sz w:val="24"/>
          <w:szCs w:val="24"/>
        </w:rPr>
      </w:pPr>
    </w:p>
    <w:p w14:paraId="52EDB46F" w14:textId="2F11BCC5" w:rsidR="004F687F" w:rsidRPr="00F109C7" w:rsidRDefault="004F687F" w:rsidP="00192F14">
      <w:pPr>
        <w:rPr>
          <w:rFonts w:cs="Arial"/>
          <w:sz w:val="24"/>
          <w:szCs w:val="24"/>
        </w:rPr>
      </w:pPr>
    </w:p>
    <w:sectPr w:rsidR="004F687F" w:rsidRPr="00F109C7" w:rsidSect="00101730">
      <w:pgSz w:w="11906" w:h="16838"/>
      <w:pgMar w:top="720" w:right="720" w:bottom="720" w:left="720" w:header="708" w:footer="708" w:gutter="0"/>
      <w:pgBorders w:offsetFrom="page">
        <w:top w:val="single" w:sz="12" w:space="24" w:color="9BBB59" w:themeColor="accent3"/>
        <w:left w:val="single" w:sz="12" w:space="24" w:color="9BBB59" w:themeColor="accent3"/>
        <w:bottom w:val="single" w:sz="12" w:space="24" w:color="9BBB59" w:themeColor="accent3"/>
        <w:right w:val="single" w:sz="12" w:space="24" w:color="9BBB59" w:themeColor="accent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3115C" w14:textId="77777777" w:rsidR="00B60A4B" w:rsidRDefault="00B60A4B" w:rsidP="00CA12DC">
      <w:r>
        <w:separator/>
      </w:r>
    </w:p>
  </w:endnote>
  <w:endnote w:type="continuationSeparator" w:id="0">
    <w:p w14:paraId="71FCA6FB" w14:textId="77777777" w:rsidR="00B60A4B" w:rsidRDefault="00B60A4B"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eestyle Script">
    <w:altName w:val="Calibri"/>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668251"/>
      <w:docPartObj>
        <w:docPartGallery w:val="Page Numbers (Bottom of Page)"/>
        <w:docPartUnique/>
      </w:docPartObj>
    </w:sdtPr>
    <w:sdtEndPr>
      <w:rPr>
        <w:noProof/>
        <w:sz w:val="20"/>
        <w:szCs w:val="20"/>
      </w:rPr>
    </w:sdtEndPr>
    <w:sdtContent>
      <w:p w14:paraId="08DBDEAB" w14:textId="77777777" w:rsidR="00B703EA" w:rsidRDefault="00B703EA">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7E0DC350" w14:textId="7BEF96DA" w:rsidR="00B703EA" w:rsidRPr="00B703EA" w:rsidRDefault="00B703EA">
        <w:pPr>
          <w:pStyle w:val="Footer"/>
          <w:jc w:val="center"/>
          <w:rPr>
            <w:sz w:val="20"/>
            <w:szCs w:val="20"/>
          </w:rPr>
        </w:pPr>
        <w:r w:rsidRPr="00B703EA">
          <w:rPr>
            <w:sz w:val="20"/>
            <w:szCs w:val="20"/>
          </w:rPr>
          <w:t>APPLICATION FOR SENIOR FELLOW</w:t>
        </w:r>
      </w:p>
    </w:sdtContent>
  </w:sdt>
  <w:p w14:paraId="551E976A"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C79E0" w14:textId="77777777" w:rsidR="00B60A4B" w:rsidRDefault="00B60A4B" w:rsidP="00CA12DC">
      <w:r>
        <w:separator/>
      </w:r>
    </w:p>
  </w:footnote>
  <w:footnote w:type="continuationSeparator" w:id="0">
    <w:p w14:paraId="30D99A97" w14:textId="77777777" w:rsidR="00B60A4B" w:rsidRDefault="00B60A4B"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71953" w14:textId="0AF08644" w:rsidR="00B703EA" w:rsidRDefault="00B703EA">
    <w:pPr>
      <w:pStyle w:val="Header"/>
      <w:jc w:val="center"/>
    </w:pPr>
  </w:p>
  <w:p w14:paraId="69B9AA5C" w14:textId="0B105846" w:rsidR="00CA12DC" w:rsidRPr="006A35A3" w:rsidRDefault="00CA12DC" w:rsidP="006A35A3">
    <w:pPr>
      <w:pStyle w:val="Header"/>
      <w:jc w:val="right"/>
      <w:rPr>
        <w:rFonts w:ascii="Times New Roman" w:hAnsi="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3090"/>
    <w:multiLevelType w:val="hybridMultilevel"/>
    <w:tmpl w:val="6D5AB0FA"/>
    <w:lvl w:ilvl="0" w:tplc="E4C4C01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86573"/>
    <w:multiLevelType w:val="hybridMultilevel"/>
    <w:tmpl w:val="03FC50BC"/>
    <w:lvl w:ilvl="0" w:tplc="8AA08080">
      <w:start w:val="1"/>
      <w:numFmt w:val="bullet"/>
      <w:lvlText w:val=""/>
      <w:lvlJc w:val="left"/>
      <w:pPr>
        <w:ind w:left="717" w:hanging="360"/>
      </w:pPr>
      <w:rPr>
        <w:rFonts w:ascii="Symbol" w:hAnsi="Symbol" w:hint="default"/>
      </w:rPr>
    </w:lvl>
    <w:lvl w:ilvl="1" w:tplc="4C302702">
      <w:start w:val="1"/>
      <w:numFmt w:val="bullet"/>
      <w:lvlText w:val="o"/>
      <w:lvlJc w:val="left"/>
      <w:pPr>
        <w:ind w:left="1440" w:hanging="360"/>
      </w:pPr>
      <w:rPr>
        <w:rFonts w:ascii="Courier New" w:hAnsi="Courier New" w:hint="default"/>
      </w:rPr>
    </w:lvl>
    <w:lvl w:ilvl="2" w:tplc="E4E83656">
      <w:start w:val="1"/>
      <w:numFmt w:val="bullet"/>
      <w:lvlText w:val=""/>
      <w:lvlJc w:val="left"/>
      <w:pPr>
        <w:ind w:left="2160" w:hanging="360"/>
      </w:pPr>
      <w:rPr>
        <w:rFonts w:ascii="Wingdings" w:hAnsi="Wingdings" w:hint="default"/>
      </w:rPr>
    </w:lvl>
    <w:lvl w:ilvl="3" w:tplc="E7DA26AE">
      <w:start w:val="1"/>
      <w:numFmt w:val="bullet"/>
      <w:lvlText w:val=""/>
      <w:lvlJc w:val="left"/>
      <w:pPr>
        <w:ind w:left="2880" w:hanging="360"/>
      </w:pPr>
      <w:rPr>
        <w:rFonts w:ascii="Symbol" w:hAnsi="Symbol" w:hint="default"/>
      </w:rPr>
    </w:lvl>
    <w:lvl w:ilvl="4" w:tplc="6D98BD38">
      <w:start w:val="1"/>
      <w:numFmt w:val="bullet"/>
      <w:lvlText w:val="o"/>
      <w:lvlJc w:val="left"/>
      <w:pPr>
        <w:ind w:left="3600" w:hanging="360"/>
      </w:pPr>
      <w:rPr>
        <w:rFonts w:ascii="Courier New" w:hAnsi="Courier New" w:hint="default"/>
      </w:rPr>
    </w:lvl>
    <w:lvl w:ilvl="5" w:tplc="844E2AD8">
      <w:start w:val="1"/>
      <w:numFmt w:val="bullet"/>
      <w:lvlText w:val=""/>
      <w:lvlJc w:val="left"/>
      <w:pPr>
        <w:ind w:left="4320" w:hanging="360"/>
      </w:pPr>
      <w:rPr>
        <w:rFonts w:ascii="Wingdings" w:hAnsi="Wingdings" w:hint="default"/>
      </w:rPr>
    </w:lvl>
    <w:lvl w:ilvl="6" w:tplc="F0B868A0">
      <w:start w:val="1"/>
      <w:numFmt w:val="bullet"/>
      <w:lvlText w:val=""/>
      <w:lvlJc w:val="left"/>
      <w:pPr>
        <w:ind w:left="5040" w:hanging="360"/>
      </w:pPr>
      <w:rPr>
        <w:rFonts w:ascii="Symbol" w:hAnsi="Symbol" w:hint="default"/>
      </w:rPr>
    </w:lvl>
    <w:lvl w:ilvl="7" w:tplc="2D7C45B2">
      <w:start w:val="1"/>
      <w:numFmt w:val="bullet"/>
      <w:lvlText w:val="o"/>
      <w:lvlJc w:val="left"/>
      <w:pPr>
        <w:ind w:left="5760" w:hanging="360"/>
      </w:pPr>
      <w:rPr>
        <w:rFonts w:ascii="Courier New" w:hAnsi="Courier New" w:hint="default"/>
      </w:rPr>
    </w:lvl>
    <w:lvl w:ilvl="8" w:tplc="2D28B5BE">
      <w:start w:val="1"/>
      <w:numFmt w:val="bullet"/>
      <w:lvlText w:val=""/>
      <w:lvlJc w:val="left"/>
      <w:pPr>
        <w:ind w:left="6480" w:hanging="360"/>
      </w:pPr>
      <w:rPr>
        <w:rFonts w:ascii="Wingdings" w:hAnsi="Wingdings" w:hint="default"/>
      </w:rPr>
    </w:lvl>
  </w:abstractNum>
  <w:abstractNum w:abstractNumId="3"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0263DB"/>
    <w:multiLevelType w:val="hybridMultilevel"/>
    <w:tmpl w:val="6674C818"/>
    <w:lvl w:ilvl="0" w:tplc="FB6848F0">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5" w15:restartNumberingAfterBreak="0">
    <w:nsid w:val="235449A5"/>
    <w:multiLevelType w:val="hybridMultilevel"/>
    <w:tmpl w:val="A6B88A7C"/>
    <w:lvl w:ilvl="0" w:tplc="369A288A">
      <w:start w:val="1"/>
      <w:numFmt w:val="bullet"/>
      <w:lvlText w:val=""/>
      <w:lvlJc w:val="left"/>
      <w:pPr>
        <w:ind w:left="720" w:hanging="360"/>
      </w:pPr>
      <w:rPr>
        <w:rFonts w:ascii="Symbol" w:hAnsi="Symbol" w:hint="default"/>
      </w:rPr>
    </w:lvl>
    <w:lvl w:ilvl="1" w:tplc="C0EEEC98">
      <w:start w:val="1"/>
      <w:numFmt w:val="bullet"/>
      <w:lvlText w:val="o"/>
      <w:lvlJc w:val="left"/>
      <w:pPr>
        <w:ind w:left="1440" w:hanging="360"/>
      </w:pPr>
      <w:rPr>
        <w:rFonts w:ascii="Courier New" w:hAnsi="Courier New" w:hint="default"/>
      </w:rPr>
    </w:lvl>
    <w:lvl w:ilvl="2" w:tplc="4A1804CC">
      <w:start w:val="1"/>
      <w:numFmt w:val="bullet"/>
      <w:lvlText w:val=""/>
      <w:lvlJc w:val="left"/>
      <w:pPr>
        <w:ind w:left="2160" w:hanging="360"/>
      </w:pPr>
      <w:rPr>
        <w:rFonts w:ascii="Wingdings" w:hAnsi="Wingdings" w:hint="default"/>
      </w:rPr>
    </w:lvl>
    <w:lvl w:ilvl="3" w:tplc="66C62454">
      <w:start w:val="1"/>
      <w:numFmt w:val="bullet"/>
      <w:lvlText w:val=""/>
      <w:lvlJc w:val="left"/>
      <w:pPr>
        <w:ind w:left="2880" w:hanging="360"/>
      </w:pPr>
      <w:rPr>
        <w:rFonts w:ascii="Symbol" w:hAnsi="Symbol" w:hint="default"/>
      </w:rPr>
    </w:lvl>
    <w:lvl w:ilvl="4" w:tplc="0DCC9DE0">
      <w:start w:val="1"/>
      <w:numFmt w:val="bullet"/>
      <w:lvlText w:val="o"/>
      <w:lvlJc w:val="left"/>
      <w:pPr>
        <w:ind w:left="3600" w:hanging="360"/>
      </w:pPr>
      <w:rPr>
        <w:rFonts w:ascii="Courier New" w:hAnsi="Courier New" w:hint="default"/>
      </w:rPr>
    </w:lvl>
    <w:lvl w:ilvl="5" w:tplc="33362854">
      <w:start w:val="1"/>
      <w:numFmt w:val="bullet"/>
      <w:lvlText w:val=""/>
      <w:lvlJc w:val="left"/>
      <w:pPr>
        <w:ind w:left="4320" w:hanging="360"/>
      </w:pPr>
      <w:rPr>
        <w:rFonts w:ascii="Wingdings" w:hAnsi="Wingdings" w:hint="default"/>
      </w:rPr>
    </w:lvl>
    <w:lvl w:ilvl="6" w:tplc="A93E4428">
      <w:start w:val="1"/>
      <w:numFmt w:val="bullet"/>
      <w:lvlText w:val=""/>
      <w:lvlJc w:val="left"/>
      <w:pPr>
        <w:ind w:left="5040" w:hanging="360"/>
      </w:pPr>
      <w:rPr>
        <w:rFonts w:ascii="Symbol" w:hAnsi="Symbol" w:hint="default"/>
      </w:rPr>
    </w:lvl>
    <w:lvl w:ilvl="7" w:tplc="228E08E6">
      <w:start w:val="1"/>
      <w:numFmt w:val="bullet"/>
      <w:lvlText w:val="o"/>
      <w:lvlJc w:val="left"/>
      <w:pPr>
        <w:ind w:left="5760" w:hanging="360"/>
      </w:pPr>
      <w:rPr>
        <w:rFonts w:ascii="Courier New" w:hAnsi="Courier New" w:hint="default"/>
      </w:rPr>
    </w:lvl>
    <w:lvl w:ilvl="8" w:tplc="E0909E1E">
      <w:start w:val="1"/>
      <w:numFmt w:val="bullet"/>
      <w:lvlText w:val=""/>
      <w:lvlJc w:val="left"/>
      <w:pPr>
        <w:ind w:left="6480" w:hanging="360"/>
      </w:pPr>
      <w:rPr>
        <w:rFonts w:ascii="Wingdings" w:hAnsi="Wingdings" w:hint="default"/>
      </w:rPr>
    </w:lvl>
  </w:abstractNum>
  <w:abstractNum w:abstractNumId="6"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F09EC"/>
    <w:multiLevelType w:val="hybridMultilevel"/>
    <w:tmpl w:val="A95A735C"/>
    <w:lvl w:ilvl="0" w:tplc="1A908D84">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4" w15:restartNumberingAfterBreak="0">
    <w:nsid w:val="45AA9591"/>
    <w:multiLevelType w:val="hybridMultilevel"/>
    <w:tmpl w:val="68CCC14E"/>
    <w:lvl w:ilvl="0" w:tplc="3DBCA9D6">
      <w:start w:val="1"/>
      <w:numFmt w:val="bullet"/>
      <w:lvlText w:val=""/>
      <w:lvlJc w:val="left"/>
      <w:pPr>
        <w:ind w:left="717" w:hanging="360"/>
      </w:pPr>
      <w:rPr>
        <w:rFonts w:ascii="Symbol" w:hAnsi="Symbol" w:hint="default"/>
      </w:rPr>
    </w:lvl>
    <w:lvl w:ilvl="1" w:tplc="1A3E2656">
      <w:start w:val="1"/>
      <w:numFmt w:val="bullet"/>
      <w:lvlText w:val="o"/>
      <w:lvlJc w:val="left"/>
      <w:pPr>
        <w:ind w:left="1440" w:hanging="360"/>
      </w:pPr>
      <w:rPr>
        <w:rFonts w:ascii="Courier New" w:hAnsi="Courier New" w:hint="default"/>
      </w:rPr>
    </w:lvl>
    <w:lvl w:ilvl="2" w:tplc="31281BAC">
      <w:start w:val="1"/>
      <w:numFmt w:val="bullet"/>
      <w:lvlText w:val=""/>
      <w:lvlJc w:val="left"/>
      <w:pPr>
        <w:ind w:left="2160" w:hanging="360"/>
      </w:pPr>
      <w:rPr>
        <w:rFonts w:ascii="Wingdings" w:hAnsi="Wingdings" w:hint="default"/>
      </w:rPr>
    </w:lvl>
    <w:lvl w:ilvl="3" w:tplc="DACC4918">
      <w:start w:val="1"/>
      <w:numFmt w:val="bullet"/>
      <w:lvlText w:val=""/>
      <w:lvlJc w:val="left"/>
      <w:pPr>
        <w:ind w:left="2880" w:hanging="360"/>
      </w:pPr>
      <w:rPr>
        <w:rFonts w:ascii="Symbol" w:hAnsi="Symbol" w:hint="default"/>
      </w:rPr>
    </w:lvl>
    <w:lvl w:ilvl="4" w:tplc="7660AD86">
      <w:start w:val="1"/>
      <w:numFmt w:val="bullet"/>
      <w:lvlText w:val="o"/>
      <w:lvlJc w:val="left"/>
      <w:pPr>
        <w:ind w:left="3600" w:hanging="360"/>
      </w:pPr>
      <w:rPr>
        <w:rFonts w:ascii="Courier New" w:hAnsi="Courier New" w:hint="default"/>
      </w:rPr>
    </w:lvl>
    <w:lvl w:ilvl="5" w:tplc="74FA31BC">
      <w:start w:val="1"/>
      <w:numFmt w:val="bullet"/>
      <w:lvlText w:val=""/>
      <w:lvlJc w:val="left"/>
      <w:pPr>
        <w:ind w:left="4320" w:hanging="360"/>
      </w:pPr>
      <w:rPr>
        <w:rFonts w:ascii="Wingdings" w:hAnsi="Wingdings" w:hint="default"/>
      </w:rPr>
    </w:lvl>
    <w:lvl w:ilvl="6" w:tplc="6276CFEA">
      <w:start w:val="1"/>
      <w:numFmt w:val="bullet"/>
      <w:lvlText w:val=""/>
      <w:lvlJc w:val="left"/>
      <w:pPr>
        <w:ind w:left="5040" w:hanging="360"/>
      </w:pPr>
      <w:rPr>
        <w:rFonts w:ascii="Symbol" w:hAnsi="Symbol" w:hint="default"/>
      </w:rPr>
    </w:lvl>
    <w:lvl w:ilvl="7" w:tplc="C1F423BC">
      <w:start w:val="1"/>
      <w:numFmt w:val="bullet"/>
      <w:lvlText w:val="o"/>
      <w:lvlJc w:val="left"/>
      <w:pPr>
        <w:ind w:left="5760" w:hanging="360"/>
      </w:pPr>
      <w:rPr>
        <w:rFonts w:ascii="Courier New" w:hAnsi="Courier New" w:hint="default"/>
      </w:rPr>
    </w:lvl>
    <w:lvl w:ilvl="8" w:tplc="60006480">
      <w:start w:val="1"/>
      <w:numFmt w:val="bullet"/>
      <w:lvlText w:val=""/>
      <w:lvlJc w:val="left"/>
      <w:pPr>
        <w:ind w:left="6480" w:hanging="360"/>
      </w:pPr>
      <w:rPr>
        <w:rFonts w:ascii="Wingdings" w:hAnsi="Wingdings" w:hint="default"/>
      </w:rPr>
    </w:lvl>
  </w:abstractNum>
  <w:abstractNum w:abstractNumId="15" w15:restartNumberingAfterBreak="0">
    <w:nsid w:val="4DF32437"/>
    <w:multiLevelType w:val="hybridMultilevel"/>
    <w:tmpl w:val="F99A278A"/>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3F2628B2">
      <w:start w:val="1"/>
      <w:numFmt w:val="bullet"/>
      <w:lvlText w:val=""/>
      <w:lvlJc w:val="left"/>
      <w:pPr>
        <w:ind w:left="580" w:hanging="358"/>
      </w:pPr>
      <w:rPr>
        <w:rFonts w:ascii="Wingdings" w:hAnsi="Wingdings" w:hint="default"/>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6" w15:restartNumberingAfterBreak="0">
    <w:nsid w:val="51F91658"/>
    <w:multiLevelType w:val="hybridMultilevel"/>
    <w:tmpl w:val="AA88D0DE"/>
    <w:lvl w:ilvl="0" w:tplc="823A67A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17"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C577E"/>
    <w:multiLevelType w:val="hybridMultilevel"/>
    <w:tmpl w:val="9C501098"/>
    <w:lvl w:ilvl="0" w:tplc="1A92D60E">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20"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196F99"/>
    <w:multiLevelType w:val="hybridMultilevel"/>
    <w:tmpl w:val="15047E70"/>
    <w:lvl w:ilvl="0" w:tplc="068A1550">
      <w:numFmt w:val="bullet"/>
      <w:lvlText w:val=""/>
      <w:lvlJc w:val="left"/>
      <w:pPr>
        <w:ind w:left="471" w:hanging="358"/>
      </w:pPr>
      <w:rPr>
        <w:rFonts w:ascii="Symbol" w:eastAsia="Symbol" w:hAnsi="Symbol" w:cs="Symbol" w:hint="default"/>
        <w:b/>
        <w:bCs/>
        <w:i w:val="0"/>
        <w:iCs w:val="0"/>
        <w:color w:val="01A3A6"/>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2" w15:restartNumberingAfterBreak="0">
    <w:nsid w:val="64747B3B"/>
    <w:multiLevelType w:val="hybridMultilevel"/>
    <w:tmpl w:val="B96A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63E08"/>
    <w:multiLevelType w:val="hybridMultilevel"/>
    <w:tmpl w:val="089EDA36"/>
    <w:lvl w:ilvl="0" w:tplc="EC06385A">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25" w15:restartNumberingAfterBreak="0">
    <w:nsid w:val="70B46CC2"/>
    <w:multiLevelType w:val="hybridMultilevel"/>
    <w:tmpl w:val="715AECE6"/>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6"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2EE59F"/>
    <w:multiLevelType w:val="hybridMultilevel"/>
    <w:tmpl w:val="5EF2DA40"/>
    <w:lvl w:ilvl="0" w:tplc="84D8CED2">
      <w:start w:val="1"/>
      <w:numFmt w:val="bullet"/>
      <w:lvlText w:val=""/>
      <w:lvlJc w:val="left"/>
      <w:pPr>
        <w:ind w:left="717" w:hanging="360"/>
      </w:pPr>
      <w:rPr>
        <w:rFonts w:ascii="Symbol" w:hAnsi="Symbol" w:hint="default"/>
      </w:rPr>
    </w:lvl>
    <w:lvl w:ilvl="1" w:tplc="CD54AB0A">
      <w:start w:val="1"/>
      <w:numFmt w:val="bullet"/>
      <w:lvlText w:val="o"/>
      <w:lvlJc w:val="left"/>
      <w:pPr>
        <w:ind w:left="1440" w:hanging="360"/>
      </w:pPr>
      <w:rPr>
        <w:rFonts w:ascii="Courier New" w:hAnsi="Courier New" w:hint="default"/>
      </w:rPr>
    </w:lvl>
    <w:lvl w:ilvl="2" w:tplc="4CB67B62">
      <w:start w:val="1"/>
      <w:numFmt w:val="bullet"/>
      <w:lvlText w:val=""/>
      <w:lvlJc w:val="left"/>
      <w:pPr>
        <w:ind w:left="2160" w:hanging="360"/>
      </w:pPr>
      <w:rPr>
        <w:rFonts w:ascii="Wingdings" w:hAnsi="Wingdings" w:hint="default"/>
      </w:rPr>
    </w:lvl>
    <w:lvl w:ilvl="3" w:tplc="ECB0CADC">
      <w:start w:val="1"/>
      <w:numFmt w:val="bullet"/>
      <w:lvlText w:val=""/>
      <w:lvlJc w:val="left"/>
      <w:pPr>
        <w:ind w:left="2880" w:hanging="360"/>
      </w:pPr>
      <w:rPr>
        <w:rFonts w:ascii="Symbol" w:hAnsi="Symbol" w:hint="default"/>
      </w:rPr>
    </w:lvl>
    <w:lvl w:ilvl="4" w:tplc="F8660A0A">
      <w:start w:val="1"/>
      <w:numFmt w:val="bullet"/>
      <w:lvlText w:val="o"/>
      <w:lvlJc w:val="left"/>
      <w:pPr>
        <w:ind w:left="3600" w:hanging="360"/>
      </w:pPr>
      <w:rPr>
        <w:rFonts w:ascii="Courier New" w:hAnsi="Courier New" w:hint="default"/>
      </w:rPr>
    </w:lvl>
    <w:lvl w:ilvl="5" w:tplc="A2FE6FAC">
      <w:start w:val="1"/>
      <w:numFmt w:val="bullet"/>
      <w:lvlText w:val=""/>
      <w:lvlJc w:val="left"/>
      <w:pPr>
        <w:ind w:left="4320" w:hanging="360"/>
      </w:pPr>
      <w:rPr>
        <w:rFonts w:ascii="Wingdings" w:hAnsi="Wingdings" w:hint="default"/>
      </w:rPr>
    </w:lvl>
    <w:lvl w:ilvl="6" w:tplc="B48CEA6E">
      <w:start w:val="1"/>
      <w:numFmt w:val="bullet"/>
      <w:lvlText w:val=""/>
      <w:lvlJc w:val="left"/>
      <w:pPr>
        <w:ind w:left="5040" w:hanging="360"/>
      </w:pPr>
      <w:rPr>
        <w:rFonts w:ascii="Symbol" w:hAnsi="Symbol" w:hint="default"/>
      </w:rPr>
    </w:lvl>
    <w:lvl w:ilvl="7" w:tplc="1FAC4D44">
      <w:start w:val="1"/>
      <w:numFmt w:val="bullet"/>
      <w:lvlText w:val="o"/>
      <w:lvlJc w:val="left"/>
      <w:pPr>
        <w:ind w:left="5760" w:hanging="360"/>
      </w:pPr>
      <w:rPr>
        <w:rFonts w:ascii="Courier New" w:hAnsi="Courier New" w:hint="default"/>
      </w:rPr>
    </w:lvl>
    <w:lvl w:ilvl="8" w:tplc="A85E8EC2">
      <w:start w:val="1"/>
      <w:numFmt w:val="bullet"/>
      <w:lvlText w:val=""/>
      <w:lvlJc w:val="left"/>
      <w:pPr>
        <w:ind w:left="6480" w:hanging="360"/>
      </w:pPr>
      <w:rPr>
        <w:rFonts w:ascii="Wingdings" w:hAnsi="Wingdings" w:hint="default"/>
      </w:rPr>
    </w:lvl>
  </w:abstractNum>
  <w:abstractNum w:abstractNumId="28"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140856">
    <w:abstractNumId w:val="5"/>
  </w:num>
  <w:num w:numId="2" w16cid:durableId="1800998857">
    <w:abstractNumId w:val="2"/>
  </w:num>
  <w:num w:numId="3" w16cid:durableId="2076584373">
    <w:abstractNumId w:val="27"/>
  </w:num>
  <w:num w:numId="4" w16cid:durableId="1802111651">
    <w:abstractNumId w:val="14"/>
  </w:num>
  <w:num w:numId="5" w16cid:durableId="263346114">
    <w:abstractNumId w:val="10"/>
  </w:num>
  <w:num w:numId="6" w16cid:durableId="1415784872">
    <w:abstractNumId w:val="7"/>
  </w:num>
  <w:num w:numId="7" w16cid:durableId="1700231050">
    <w:abstractNumId w:val="8"/>
  </w:num>
  <w:num w:numId="8" w16cid:durableId="959847744">
    <w:abstractNumId w:val="17"/>
  </w:num>
  <w:num w:numId="9" w16cid:durableId="1208493213">
    <w:abstractNumId w:val="12"/>
  </w:num>
  <w:num w:numId="10" w16cid:durableId="614559983">
    <w:abstractNumId w:val="29"/>
  </w:num>
  <w:num w:numId="11" w16cid:durableId="306209052">
    <w:abstractNumId w:val="18"/>
  </w:num>
  <w:num w:numId="12" w16cid:durableId="1982343805">
    <w:abstractNumId w:val="11"/>
  </w:num>
  <w:num w:numId="13" w16cid:durableId="1957324382">
    <w:abstractNumId w:val="20"/>
  </w:num>
  <w:num w:numId="14" w16cid:durableId="1077751774">
    <w:abstractNumId w:val="26"/>
  </w:num>
  <w:num w:numId="15" w16cid:durableId="1611276881">
    <w:abstractNumId w:val="6"/>
  </w:num>
  <w:num w:numId="16" w16cid:durableId="197399379">
    <w:abstractNumId w:val="23"/>
  </w:num>
  <w:num w:numId="17" w16cid:durableId="2130195855">
    <w:abstractNumId w:val="9"/>
  </w:num>
  <w:num w:numId="18" w16cid:durableId="830368304">
    <w:abstractNumId w:val="3"/>
  </w:num>
  <w:num w:numId="19" w16cid:durableId="1438598823">
    <w:abstractNumId w:val="28"/>
  </w:num>
  <w:num w:numId="20" w16cid:durableId="1892031230">
    <w:abstractNumId w:val="1"/>
  </w:num>
  <w:num w:numId="21" w16cid:durableId="733091903">
    <w:abstractNumId w:val="22"/>
  </w:num>
  <w:num w:numId="22" w16cid:durableId="642008777">
    <w:abstractNumId w:val="21"/>
  </w:num>
  <w:num w:numId="23" w16cid:durableId="996685275">
    <w:abstractNumId w:val="4"/>
  </w:num>
  <w:num w:numId="24" w16cid:durableId="364452514">
    <w:abstractNumId w:val="25"/>
  </w:num>
  <w:num w:numId="25" w16cid:durableId="1879079658">
    <w:abstractNumId w:val="0"/>
  </w:num>
  <w:num w:numId="26" w16cid:durableId="1908762858">
    <w:abstractNumId w:val="16"/>
  </w:num>
  <w:num w:numId="27" w16cid:durableId="1459564172">
    <w:abstractNumId w:val="13"/>
  </w:num>
  <w:num w:numId="28" w16cid:durableId="1188329752">
    <w:abstractNumId w:val="19"/>
  </w:num>
  <w:num w:numId="29" w16cid:durableId="684673758">
    <w:abstractNumId w:val="24"/>
  </w:num>
  <w:num w:numId="30" w16cid:durableId="18632793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4A64"/>
    <w:rsid w:val="000254F9"/>
    <w:rsid w:val="00037784"/>
    <w:rsid w:val="00043C07"/>
    <w:rsid w:val="00060D1D"/>
    <w:rsid w:val="000656CC"/>
    <w:rsid w:val="000714E4"/>
    <w:rsid w:val="00071C95"/>
    <w:rsid w:val="0007207A"/>
    <w:rsid w:val="00075613"/>
    <w:rsid w:val="000860D3"/>
    <w:rsid w:val="000A7669"/>
    <w:rsid w:val="000B2505"/>
    <w:rsid w:val="000B43DF"/>
    <w:rsid w:val="000B45B3"/>
    <w:rsid w:val="000C378E"/>
    <w:rsid w:val="000D5FB6"/>
    <w:rsid w:val="000D678C"/>
    <w:rsid w:val="000E00A2"/>
    <w:rsid w:val="000E1260"/>
    <w:rsid w:val="000E3A5B"/>
    <w:rsid w:val="000E7FF9"/>
    <w:rsid w:val="000F325D"/>
    <w:rsid w:val="00101730"/>
    <w:rsid w:val="00102F6C"/>
    <w:rsid w:val="001117DB"/>
    <w:rsid w:val="001135B3"/>
    <w:rsid w:val="00114A9C"/>
    <w:rsid w:val="001165B0"/>
    <w:rsid w:val="00122D2D"/>
    <w:rsid w:val="00123AD6"/>
    <w:rsid w:val="00123B01"/>
    <w:rsid w:val="0012441E"/>
    <w:rsid w:val="001309DE"/>
    <w:rsid w:val="00131FDB"/>
    <w:rsid w:val="00132B9F"/>
    <w:rsid w:val="001347D4"/>
    <w:rsid w:val="001360BC"/>
    <w:rsid w:val="00144C53"/>
    <w:rsid w:val="00150A2A"/>
    <w:rsid w:val="00151B90"/>
    <w:rsid w:val="0015690D"/>
    <w:rsid w:val="00170DDA"/>
    <w:rsid w:val="00174BD3"/>
    <w:rsid w:val="001823E4"/>
    <w:rsid w:val="001828CC"/>
    <w:rsid w:val="001877C2"/>
    <w:rsid w:val="001903F7"/>
    <w:rsid w:val="001911E8"/>
    <w:rsid w:val="00192F14"/>
    <w:rsid w:val="00196AD9"/>
    <w:rsid w:val="001A33D4"/>
    <w:rsid w:val="001B0B36"/>
    <w:rsid w:val="001B1557"/>
    <w:rsid w:val="001B4958"/>
    <w:rsid w:val="001C6B3E"/>
    <w:rsid w:val="001D51D7"/>
    <w:rsid w:val="001E0732"/>
    <w:rsid w:val="001E3A43"/>
    <w:rsid w:val="001E5A8B"/>
    <w:rsid w:val="001F30EE"/>
    <w:rsid w:val="001F3287"/>
    <w:rsid w:val="00200F7C"/>
    <w:rsid w:val="002260C6"/>
    <w:rsid w:val="00234959"/>
    <w:rsid w:val="00237AD2"/>
    <w:rsid w:val="00242500"/>
    <w:rsid w:val="0024581E"/>
    <w:rsid w:val="00245DE1"/>
    <w:rsid w:val="002479DD"/>
    <w:rsid w:val="00252B7D"/>
    <w:rsid w:val="00257EB8"/>
    <w:rsid w:val="00262CDB"/>
    <w:rsid w:val="00264A47"/>
    <w:rsid w:val="002659CD"/>
    <w:rsid w:val="00271482"/>
    <w:rsid w:val="002835E6"/>
    <w:rsid w:val="00285D43"/>
    <w:rsid w:val="00294398"/>
    <w:rsid w:val="002955E9"/>
    <w:rsid w:val="002C2CBD"/>
    <w:rsid w:val="002C3F8F"/>
    <w:rsid w:val="002C499E"/>
    <w:rsid w:val="002C6ACC"/>
    <w:rsid w:val="002E308C"/>
    <w:rsid w:val="002E33E8"/>
    <w:rsid w:val="002E5BBF"/>
    <w:rsid w:val="00307E41"/>
    <w:rsid w:val="0031780E"/>
    <w:rsid w:val="00323254"/>
    <w:rsid w:val="003242A6"/>
    <w:rsid w:val="003273A4"/>
    <w:rsid w:val="00337CF8"/>
    <w:rsid w:val="00355EEC"/>
    <w:rsid w:val="00356BA8"/>
    <w:rsid w:val="00357911"/>
    <w:rsid w:val="00361D07"/>
    <w:rsid w:val="003636F2"/>
    <w:rsid w:val="00367FAF"/>
    <w:rsid w:val="003741F6"/>
    <w:rsid w:val="00386351"/>
    <w:rsid w:val="00387A0C"/>
    <w:rsid w:val="00392169"/>
    <w:rsid w:val="00393490"/>
    <w:rsid w:val="003A69B6"/>
    <w:rsid w:val="003B12B0"/>
    <w:rsid w:val="003C5E06"/>
    <w:rsid w:val="003D43B1"/>
    <w:rsid w:val="003D63B5"/>
    <w:rsid w:val="003D63F4"/>
    <w:rsid w:val="003E2C4D"/>
    <w:rsid w:val="003E6B5D"/>
    <w:rsid w:val="003F5A14"/>
    <w:rsid w:val="003F69C2"/>
    <w:rsid w:val="004060E2"/>
    <w:rsid w:val="0042794A"/>
    <w:rsid w:val="00442584"/>
    <w:rsid w:val="00450C1B"/>
    <w:rsid w:val="0045419C"/>
    <w:rsid w:val="0045603B"/>
    <w:rsid w:val="0045651F"/>
    <w:rsid w:val="004604DC"/>
    <w:rsid w:val="00463655"/>
    <w:rsid w:val="00465B8B"/>
    <w:rsid w:val="004851AF"/>
    <w:rsid w:val="004858AC"/>
    <w:rsid w:val="00486203"/>
    <w:rsid w:val="00495EC0"/>
    <w:rsid w:val="004A4103"/>
    <w:rsid w:val="004B017A"/>
    <w:rsid w:val="004B2A31"/>
    <w:rsid w:val="004C038D"/>
    <w:rsid w:val="004C1001"/>
    <w:rsid w:val="004C4D02"/>
    <w:rsid w:val="004D4095"/>
    <w:rsid w:val="004F687F"/>
    <w:rsid w:val="00502713"/>
    <w:rsid w:val="00512606"/>
    <w:rsid w:val="005150EA"/>
    <w:rsid w:val="005155E3"/>
    <w:rsid w:val="00515B14"/>
    <w:rsid w:val="00515FFE"/>
    <w:rsid w:val="0052457C"/>
    <w:rsid w:val="00530CDC"/>
    <w:rsid w:val="00531D5E"/>
    <w:rsid w:val="00532DF8"/>
    <w:rsid w:val="00534CB0"/>
    <w:rsid w:val="00536DE5"/>
    <w:rsid w:val="005401BD"/>
    <w:rsid w:val="00540671"/>
    <w:rsid w:val="005407DE"/>
    <w:rsid w:val="00543464"/>
    <w:rsid w:val="00547F57"/>
    <w:rsid w:val="00550F1A"/>
    <w:rsid w:val="00551376"/>
    <w:rsid w:val="0055165A"/>
    <w:rsid w:val="00552AFE"/>
    <w:rsid w:val="005540C4"/>
    <w:rsid w:val="0056012A"/>
    <w:rsid w:val="00564213"/>
    <w:rsid w:val="00575787"/>
    <w:rsid w:val="0058465D"/>
    <w:rsid w:val="00594F89"/>
    <w:rsid w:val="005A2C4A"/>
    <w:rsid w:val="005A64FB"/>
    <w:rsid w:val="005C1FA1"/>
    <w:rsid w:val="005C22C9"/>
    <w:rsid w:val="005E1FAE"/>
    <w:rsid w:val="005E48FB"/>
    <w:rsid w:val="005E6C5E"/>
    <w:rsid w:val="005F1278"/>
    <w:rsid w:val="005F1A50"/>
    <w:rsid w:val="005F45F4"/>
    <w:rsid w:val="005F6B54"/>
    <w:rsid w:val="0060227B"/>
    <w:rsid w:val="00602FCB"/>
    <w:rsid w:val="00603CF6"/>
    <w:rsid w:val="00605A49"/>
    <w:rsid w:val="00615A44"/>
    <w:rsid w:val="006163C1"/>
    <w:rsid w:val="00617AC2"/>
    <w:rsid w:val="00622CF1"/>
    <w:rsid w:val="006257C5"/>
    <w:rsid w:val="006277D0"/>
    <w:rsid w:val="006345FC"/>
    <w:rsid w:val="00634E25"/>
    <w:rsid w:val="00636991"/>
    <w:rsid w:val="00654F6C"/>
    <w:rsid w:val="0066488E"/>
    <w:rsid w:val="006725C5"/>
    <w:rsid w:val="006753A1"/>
    <w:rsid w:val="006760F2"/>
    <w:rsid w:val="006841FC"/>
    <w:rsid w:val="00694CC8"/>
    <w:rsid w:val="006A35A3"/>
    <w:rsid w:val="006A3FE6"/>
    <w:rsid w:val="006B46ED"/>
    <w:rsid w:val="006B736A"/>
    <w:rsid w:val="006C654F"/>
    <w:rsid w:val="006C6858"/>
    <w:rsid w:val="006D663E"/>
    <w:rsid w:val="006E462B"/>
    <w:rsid w:val="006E7EA2"/>
    <w:rsid w:val="006F00E0"/>
    <w:rsid w:val="006F371C"/>
    <w:rsid w:val="00711466"/>
    <w:rsid w:val="0073065B"/>
    <w:rsid w:val="0073597D"/>
    <w:rsid w:val="00735B33"/>
    <w:rsid w:val="00736F07"/>
    <w:rsid w:val="00747F6E"/>
    <w:rsid w:val="00751348"/>
    <w:rsid w:val="00756A7F"/>
    <w:rsid w:val="0076326A"/>
    <w:rsid w:val="007722BC"/>
    <w:rsid w:val="007825DE"/>
    <w:rsid w:val="00782BF3"/>
    <w:rsid w:val="00785AE1"/>
    <w:rsid w:val="00787060"/>
    <w:rsid w:val="00787236"/>
    <w:rsid w:val="007905BA"/>
    <w:rsid w:val="00791E89"/>
    <w:rsid w:val="0079283C"/>
    <w:rsid w:val="007937D6"/>
    <w:rsid w:val="007A1184"/>
    <w:rsid w:val="007A34E9"/>
    <w:rsid w:val="007A3FFD"/>
    <w:rsid w:val="007B181C"/>
    <w:rsid w:val="007C10A3"/>
    <w:rsid w:val="007D09B2"/>
    <w:rsid w:val="007D199B"/>
    <w:rsid w:val="007D2877"/>
    <w:rsid w:val="007E01B9"/>
    <w:rsid w:val="007E0E96"/>
    <w:rsid w:val="007E60A6"/>
    <w:rsid w:val="007F4C23"/>
    <w:rsid w:val="008003FD"/>
    <w:rsid w:val="00801AAF"/>
    <w:rsid w:val="00802DA2"/>
    <w:rsid w:val="008057A3"/>
    <w:rsid w:val="00810850"/>
    <w:rsid w:val="0081229A"/>
    <w:rsid w:val="00817498"/>
    <w:rsid w:val="00822E29"/>
    <w:rsid w:val="0082695E"/>
    <w:rsid w:val="0083367E"/>
    <w:rsid w:val="00846A15"/>
    <w:rsid w:val="00852DDF"/>
    <w:rsid w:val="008567CA"/>
    <w:rsid w:val="00857176"/>
    <w:rsid w:val="00872B65"/>
    <w:rsid w:val="0087342E"/>
    <w:rsid w:val="00874309"/>
    <w:rsid w:val="00874D0F"/>
    <w:rsid w:val="00875BF0"/>
    <w:rsid w:val="00877642"/>
    <w:rsid w:val="0088072A"/>
    <w:rsid w:val="00884D35"/>
    <w:rsid w:val="00891C15"/>
    <w:rsid w:val="00894305"/>
    <w:rsid w:val="00895855"/>
    <w:rsid w:val="008A0585"/>
    <w:rsid w:val="008C0FA5"/>
    <w:rsid w:val="008C1DCD"/>
    <w:rsid w:val="008C3B0F"/>
    <w:rsid w:val="008C409A"/>
    <w:rsid w:val="008E1D25"/>
    <w:rsid w:val="008E52AE"/>
    <w:rsid w:val="008F25FA"/>
    <w:rsid w:val="008F2F61"/>
    <w:rsid w:val="008F7114"/>
    <w:rsid w:val="0090444E"/>
    <w:rsid w:val="00904542"/>
    <w:rsid w:val="00904D42"/>
    <w:rsid w:val="00912165"/>
    <w:rsid w:val="00912655"/>
    <w:rsid w:val="0091596A"/>
    <w:rsid w:val="00916413"/>
    <w:rsid w:val="0092057B"/>
    <w:rsid w:val="00925339"/>
    <w:rsid w:val="00931628"/>
    <w:rsid w:val="00934D5E"/>
    <w:rsid w:val="00936D37"/>
    <w:rsid w:val="00942501"/>
    <w:rsid w:val="00943186"/>
    <w:rsid w:val="00954CE3"/>
    <w:rsid w:val="0096350A"/>
    <w:rsid w:val="00972787"/>
    <w:rsid w:val="00974BF7"/>
    <w:rsid w:val="00981BED"/>
    <w:rsid w:val="00983081"/>
    <w:rsid w:val="009923AC"/>
    <w:rsid w:val="00994420"/>
    <w:rsid w:val="009A1F03"/>
    <w:rsid w:val="009A2A44"/>
    <w:rsid w:val="009B0FD7"/>
    <w:rsid w:val="009B35A6"/>
    <w:rsid w:val="009B3895"/>
    <w:rsid w:val="009C2721"/>
    <w:rsid w:val="009C72A7"/>
    <w:rsid w:val="009D2CAD"/>
    <w:rsid w:val="009D5C60"/>
    <w:rsid w:val="009E45CE"/>
    <w:rsid w:val="009F358F"/>
    <w:rsid w:val="00A070E9"/>
    <w:rsid w:val="00A1372E"/>
    <w:rsid w:val="00A14D3E"/>
    <w:rsid w:val="00A268D2"/>
    <w:rsid w:val="00A26CC6"/>
    <w:rsid w:val="00A26F90"/>
    <w:rsid w:val="00A33E6F"/>
    <w:rsid w:val="00A46FE4"/>
    <w:rsid w:val="00A50840"/>
    <w:rsid w:val="00A56412"/>
    <w:rsid w:val="00A6253D"/>
    <w:rsid w:val="00A64EB7"/>
    <w:rsid w:val="00A73C45"/>
    <w:rsid w:val="00A76EF7"/>
    <w:rsid w:val="00A77A94"/>
    <w:rsid w:val="00A84020"/>
    <w:rsid w:val="00A84CE2"/>
    <w:rsid w:val="00A904E8"/>
    <w:rsid w:val="00A92C2B"/>
    <w:rsid w:val="00A95C27"/>
    <w:rsid w:val="00AA51C9"/>
    <w:rsid w:val="00AB1B21"/>
    <w:rsid w:val="00AC5818"/>
    <w:rsid w:val="00AE0914"/>
    <w:rsid w:val="00AE1E75"/>
    <w:rsid w:val="00AE3652"/>
    <w:rsid w:val="00AF0F94"/>
    <w:rsid w:val="00AF1272"/>
    <w:rsid w:val="00AF184A"/>
    <w:rsid w:val="00AF2F18"/>
    <w:rsid w:val="00B116C0"/>
    <w:rsid w:val="00B12C58"/>
    <w:rsid w:val="00B12D67"/>
    <w:rsid w:val="00B13ECF"/>
    <w:rsid w:val="00B23EF9"/>
    <w:rsid w:val="00B305DE"/>
    <w:rsid w:val="00B351DC"/>
    <w:rsid w:val="00B378C5"/>
    <w:rsid w:val="00B430F5"/>
    <w:rsid w:val="00B54FA6"/>
    <w:rsid w:val="00B60A4B"/>
    <w:rsid w:val="00B61FE1"/>
    <w:rsid w:val="00B66FCF"/>
    <w:rsid w:val="00B703EA"/>
    <w:rsid w:val="00B745F3"/>
    <w:rsid w:val="00B84021"/>
    <w:rsid w:val="00BA4778"/>
    <w:rsid w:val="00BA4C9B"/>
    <w:rsid w:val="00BA4F18"/>
    <w:rsid w:val="00BB0AE0"/>
    <w:rsid w:val="00BB2BF4"/>
    <w:rsid w:val="00BB477D"/>
    <w:rsid w:val="00BC0B6A"/>
    <w:rsid w:val="00BC0F40"/>
    <w:rsid w:val="00BC4C57"/>
    <w:rsid w:val="00BD009A"/>
    <w:rsid w:val="00BD1176"/>
    <w:rsid w:val="00BD257E"/>
    <w:rsid w:val="00BD3B8D"/>
    <w:rsid w:val="00BE50EF"/>
    <w:rsid w:val="00BE760D"/>
    <w:rsid w:val="00BF1C9E"/>
    <w:rsid w:val="00BF1F53"/>
    <w:rsid w:val="00BF4C2E"/>
    <w:rsid w:val="00BF521D"/>
    <w:rsid w:val="00C1002E"/>
    <w:rsid w:val="00C10956"/>
    <w:rsid w:val="00C12EE9"/>
    <w:rsid w:val="00C15F30"/>
    <w:rsid w:val="00C2148A"/>
    <w:rsid w:val="00C2269D"/>
    <w:rsid w:val="00C22A3A"/>
    <w:rsid w:val="00C251F5"/>
    <w:rsid w:val="00C25A06"/>
    <w:rsid w:val="00C33B52"/>
    <w:rsid w:val="00C34FAE"/>
    <w:rsid w:val="00C4345B"/>
    <w:rsid w:val="00C43B4F"/>
    <w:rsid w:val="00C513B1"/>
    <w:rsid w:val="00C521CC"/>
    <w:rsid w:val="00C60060"/>
    <w:rsid w:val="00C66EA9"/>
    <w:rsid w:val="00C76BBD"/>
    <w:rsid w:val="00C86610"/>
    <w:rsid w:val="00C877F9"/>
    <w:rsid w:val="00C87F7F"/>
    <w:rsid w:val="00CA12DC"/>
    <w:rsid w:val="00CA3736"/>
    <w:rsid w:val="00CB2B46"/>
    <w:rsid w:val="00CB2CBF"/>
    <w:rsid w:val="00CB4F20"/>
    <w:rsid w:val="00CC3EA2"/>
    <w:rsid w:val="00CC62AB"/>
    <w:rsid w:val="00CD26E0"/>
    <w:rsid w:val="00CD734F"/>
    <w:rsid w:val="00CD7AFE"/>
    <w:rsid w:val="00CD7DA0"/>
    <w:rsid w:val="00CE1369"/>
    <w:rsid w:val="00D107F9"/>
    <w:rsid w:val="00D11551"/>
    <w:rsid w:val="00D129C5"/>
    <w:rsid w:val="00D1674F"/>
    <w:rsid w:val="00D21722"/>
    <w:rsid w:val="00D371D4"/>
    <w:rsid w:val="00D5355C"/>
    <w:rsid w:val="00D602CE"/>
    <w:rsid w:val="00D6122A"/>
    <w:rsid w:val="00D62712"/>
    <w:rsid w:val="00D72BA1"/>
    <w:rsid w:val="00D75E22"/>
    <w:rsid w:val="00D76E1A"/>
    <w:rsid w:val="00DB028C"/>
    <w:rsid w:val="00DB12CD"/>
    <w:rsid w:val="00DC201C"/>
    <w:rsid w:val="00DC21A6"/>
    <w:rsid w:val="00DE0E04"/>
    <w:rsid w:val="00DE44E2"/>
    <w:rsid w:val="00DF27A7"/>
    <w:rsid w:val="00DF27C7"/>
    <w:rsid w:val="00DF71C7"/>
    <w:rsid w:val="00E0025F"/>
    <w:rsid w:val="00E00A55"/>
    <w:rsid w:val="00E00D85"/>
    <w:rsid w:val="00E035B2"/>
    <w:rsid w:val="00E127C4"/>
    <w:rsid w:val="00E12B72"/>
    <w:rsid w:val="00E17399"/>
    <w:rsid w:val="00E17DED"/>
    <w:rsid w:val="00E20124"/>
    <w:rsid w:val="00E24E7E"/>
    <w:rsid w:val="00E262E9"/>
    <w:rsid w:val="00E31C3F"/>
    <w:rsid w:val="00E331B0"/>
    <w:rsid w:val="00E41FC3"/>
    <w:rsid w:val="00E538B3"/>
    <w:rsid w:val="00E538C8"/>
    <w:rsid w:val="00E5584D"/>
    <w:rsid w:val="00E71D13"/>
    <w:rsid w:val="00E75694"/>
    <w:rsid w:val="00E922E3"/>
    <w:rsid w:val="00EA4E4B"/>
    <w:rsid w:val="00EA6506"/>
    <w:rsid w:val="00EA6A34"/>
    <w:rsid w:val="00EB7FF9"/>
    <w:rsid w:val="00ED2AAE"/>
    <w:rsid w:val="00ED5B2E"/>
    <w:rsid w:val="00EF00C3"/>
    <w:rsid w:val="00EF091D"/>
    <w:rsid w:val="00EF2B26"/>
    <w:rsid w:val="00F109C7"/>
    <w:rsid w:val="00F14C41"/>
    <w:rsid w:val="00F27006"/>
    <w:rsid w:val="00F27C66"/>
    <w:rsid w:val="00F37886"/>
    <w:rsid w:val="00F45968"/>
    <w:rsid w:val="00F5223B"/>
    <w:rsid w:val="00F568EF"/>
    <w:rsid w:val="00F759C1"/>
    <w:rsid w:val="00F84ED4"/>
    <w:rsid w:val="00F85538"/>
    <w:rsid w:val="00F87B7B"/>
    <w:rsid w:val="00F956D3"/>
    <w:rsid w:val="00FB462F"/>
    <w:rsid w:val="00FB7C37"/>
    <w:rsid w:val="00FC3A6E"/>
    <w:rsid w:val="00FC4FE5"/>
    <w:rsid w:val="00FD09D3"/>
    <w:rsid w:val="00FD37A4"/>
    <w:rsid w:val="00FE0ECD"/>
    <w:rsid w:val="00FE1C85"/>
    <w:rsid w:val="00FF2FB3"/>
    <w:rsid w:val="00FF3618"/>
    <w:rsid w:val="00FF379A"/>
    <w:rsid w:val="00FF52F4"/>
    <w:rsid w:val="015E6B71"/>
    <w:rsid w:val="018C05B8"/>
    <w:rsid w:val="01B821C6"/>
    <w:rsid w:val="020E2ECD"/>
    <w:rsid w:val="03408FBB"/>
    <w:rsid w:val="038F2D1D"/>
    <w:rsid w:val="03D88530"/>
    <w:rsid w:val="04B36941"/>
    <w:rsid w:val="06C3F09A"/>
    <w:rsid w:val="07AAC341"/>
    <w:rsid w:val="0A1940B2"/>
    <w:rsid w:val="0C0E437F"/>
    <w:rsid w:val="0CC53078"/>
    <w:rsid w:val="0DE8279D"/>
    <w:rsid w:val="0E1114D7"/>
    <w:rsid w:val="0E9DE293"/>
    <w:rsid w:val="0EBA6216"/>
    <w:rsid w:val="0F11C0F9"/>
    <w:rsid w:val="0F17B0E2"/>
    <w:rsid w:val="1028719D"/>
    <w:rsid w:val="10CF7CF6"/>
    <w:rsid w:val="11149408"/>
    <w:rsid w:val="113B842B"/>
    <w:rsid w:val="118B231B"/>
    <w:rsid w:val="11B17D33"/>
    <w:rsid w:val="12B5ADD9"/>
    <w:rsid w:val="12C75A60"/>
    <w:rsid w:val="148416CE"/>
    <w:rsid w:val="149061E8"/>
    <w:rsid w:val="15A427A1"/>
    <w:rsid w:val="174F903D"/>
    <w:rsid w:val="17C7385C"/>
    <w:rsid w:val="18891B72"/>
    <w:rsid w:val="18C8A2E0"/>
    <w:rsid w:val="19571C46"/>
    <w:rsid w:val="1AF8D6FA"/>
    <w:rsid w:val="1EE8485B"/>
    <w:rsid w:val="1F8D88A3"/>
    <w:rsid w:val="2099FF3B"/>
    <w:rsid w:val="212408B4"/>
    <w:rsid w:val="2193C3E7"/>
    <w:rsid w:val="22101428"/>
    <w:rsid w:val="231A12C3"/>
    <w:rsid w:val="2547B4EA"/>
    <w:rsid w:val="25982FCC"/>
    <w:rsid w:val="27AD49B1"/>
    <w:rsid w:val="28CBF11F"/>
    <w:rsid w:val="29385D6E"/>
    <w:rsid w:val="299623B4"/>
    <w:rsid w:val="2A52E326"/>
    <w:rsid w:val="2A65FF4F"/>
    <w:rsid w:val="2B2B2DAE"/>
    <w:rsid w:val="2C21CDB3"/>
    <w:rsid w:val="2CCF0C26"/>
    <w:rsid w:val="2D6BEE31"/>
    <w:rsid w:val="2DDD1954"/>
    <w:rsid w:val="2E438D29"/>
    <w:rsid w:val="2F07BE92"/>
    <w:rsid w:val="2F4EB952"/>
    <w:rsid w:val="2F976D2A"/>
    <w:rsid w:val="2FF4370A"/>
    <w:rsid w:val="30354768"/>
    <w:rsid w:val="317A3E15"/>
    <w:rsid w:val="3226D3B9"/>
    <w:rsid w:val="339C5FE4"/>
    <w:rsid w:val="33E8382B"/>
    <w:rsid w:val="342363FD"/>
    <w:rsid w:val="34DCAB11"/>
    <w:rsid w:val="3735EC4C"/>
    <w:rsid w:val="37CB6CB0"/>
    <w:rsid w:val="382CC43D"/>
    <w:rsid w:val="38723683"/>
    <w:rsid w:val="388BA492"/>
    <w:rsid w:val="3980902D"/>
    <w:rsid w:val="39D8B8A2"/>
    <w:rsid w:val="3A566091"/>
    <w:rsid w:val="3A92A581"/>
    <w:rsid w:val="3B902A51"/>
    <w:rsid w:val="3BF4B95A"/>
    <w:rsid w:val="3CDF09C7"/>
    <w:rsid w:val="3E5101AA"/>
    <w:rsid w:val="3EBE4066"/>
    <w:rsid w:val="3EC2FDF5"/>
    <w:rsid w:val="3F6616A4"/>
    <w:rsid w:val="4082D072"/>
    <w:rsid w:val="408F5084"/>
    <w:rsid w:val="4198B99C"/>
    <w:rsid w:val="41DCB9DD"/>
    <w:rsid w:val="41F6C0B5"/>
    <w:rsid w:val="426771F5"/>
    <w:rsid w:val="42AC2FA7"/>
    <w:rsid w:val="44176C28"/>
    <w:rsid w:val="44F0C1FD"/>
    <w:rsid w:val="4512E8D5"/>
    <w:rsid w:val="46AEB936"/>
    <w:rsid w:val="472E6D01"/>
    <w:rsid w:val="48EEA689"/>
    <w:rsid w:val="4912C60B"/>
    <w:rsid w:val="49E79380"/>
    <w:rsid w:val="4B0C77F8"/>
    <w:rsid w:val="4B1959FE"/>
    <w:rsid w:val="4BBEACC4"/>
    <w:rsid w:val="4C1E9D45"/>
    <w:rsid w:val="4E21FBA6"/>
    <w:rsid w:val="4E56C503"/>
    <w:rsid w:val="4E6A601E"/>
    <w:rsid w:val="4E82B78E"/>
    <w:rsid w:val="4F06CF2B"/>
    <w:rsid w:val="4F7FBBAB"/>
    <w:rsid w:val="4FE11C5D"/>
    <w:rsid w:val="50BBF7BD"/>
    <w:rsid w:val="51B25EA3"/>
    <w:rsid w:val="51CF5E6E"/>
    <w:rsid w:val="51D4CDCA"/>
    <w:rsid w:val="51F2A565"/>
    <w:rsid w:val="521B9C40"/>
    <w:rsid w:val="543A6044"/>
    <w:rsid w:val="54A4CCAA"/>
    <w:rsid w:val="54B4BB49"/>
    <w:rsid w:val="54F318AE"/>
    <w:rsid w:val="555BCB41"/>
    <w:rsid w:val="561302A8"/>
    <w:rsid w:val="561376AE"/>
    <w:rsid w:val="56508BAA"/>
    <w:rsid w:val="56822C3D"/>
    <w:rsid w:val="5685CFC6"/>
    <w:rsid w:val="56D14D3D"/>
    <w:rsid w:val="57A0836B"/>
    <w:rsid w:val="580B38F5"/>
    <w:rsid w:val="58D0F8F4"/>
    <w:rsid w:val="5A726E42"/>
    <w:rsid w:val="5AF502E7"/>
    <w:rsid w:val="5B837BE4"/>
    <w:rsid w:val="5C2C6452"/>
    <w:rsid w:val="5C45B961"/>
    <w:rsid w:val="5C8EA0CC"/>
    <w:rsid w:val="5CF24FA9"/>
    <w:rsid w:val="5D19CDBC"/>
    <w:rsid w:val="5DD3FB54"/>
    <w:rsid w:val="5DF3A511"/>
    <w:rsid w:val="5E2A712D"/>
    <w:rsid w:val="5EBB541B"/>
    <w:rsid w:val="5EDD8DB0"/>
    <w:rsid w:val="5F860126"/>
    <w:rsid w:val="602CB20C"/>
    <w:rsid w:val="6074E654"/>
    <w:rsid w:val="61708A3F"/>
    <w:rsid w:val="624BAA75"/>
    <w:rsid w:val="625FF714"/>
    <w:rsid w:val="6376B910"/>
    <w:rsid w:val="63B457C6"/>
    <w:rsid w:val="6436F84B"/>
    <w:rsid w:val="64A3D76D"/>
    <w:rsid w:val="652F1C34"/>
    <w:rsid w:val="65D21284"/>
    <w:rsid w:val="6726B64F"/>
    <w:rsid w:val="67DEFC53"/>
    <w:rsid w:val="68D56145"/>
    <w:rsid w:val="68EAF1BC"/>
    <w:rsid w:val="6952A549"/>
    <w:rsid w:val="697B9C24"/>
    <w:rsid w:val="6A1BC89A"/>
    <w:rsid w:val="6BB98602"/>
    <w:rsid w:val="6C49FF49"/>
    <w:rsid w:val="6C99CE26"/>
    <w:rsid w:val="6D737692"/>
    <w:rsid w:val="6DE5CFAA"/>
    <w:rsid w:val="6E1D232A"/>
    <w:rsid w:val="6EFF083B"/>
    <w:rsid w:val="705003F2"/>
    <w:rsid w:val="70FFF977"/>
    <w:rsid w:val="71213217"/>
    <w:rsid w:val="7424916C"/>
    <w:rsid w:val="751EB338"/>
    <w:rsid w:val="75C51F5A"/>
    <w:rsid w:val="75CF0DF1"/>
    <w:rsid w:val="776C430F"/>
    <w:rsid w:val="778CB1F0"/>
    <w:rsid w:val="783D1EFF"/>
    <w:rsid w:val="78CFF3A6"/>
    <w:rsid w:val="7AB8B645"/>
    <w:rsid w:val="7BA2904E"/>
    <w:rsid w:val="7C0C1D9C"/>
    <w:rsid w:val="7C55BF97"/>
    <w:rsid w:val="7C81C294"/>
    <w:rsid w:val="7ECF438F"/>
    <w:rsid w:val="7F438C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F70F"/>
  <w15:docId w15:val="{FA1DDE28-1A84-4103-90E3-E6FBF9E0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4">
    <w:name w:val="heading 4"/>
    <w:basedOn w:val="Normal"/>
    <w:link w:val="Heading4Char"/>
    <w:uiPriority w:val="9"/>
    <w:unhideWhenUsed/>
    <w:qFormat/>
    <w:rsid w:val="000B2505"/>
    <w:pPr>
      <w:widowControl w:val="0"/>
      <w:autoSpaceDE w:val="0"/>
      <w:autoSpaceDN w:val="0"/>
      <w:ind w:left="114"/>
      <w:outlineLvl w:val="3"/>
    </w:pPr>
    <w:rPr>
      <w:rFonts w:eastAsia="Arial" w:cs="Arial"/>
      <w:b/>
      <w:bCs/>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102F6C"/>
    <w:rPr>
      <w:color w:val="0000FF" w:themeColor="hyperlink"/>
      <w:u w:val="single"/>
    </w:rPr>
  </w:style>
  <w:style w:type="character" w:styleId="UnresolvedMention">
    <w:name w:val="Unresolved Mention"/>
    <w:basedOn w:val="DefaultParagraphFont"/>
    <w:uiPriority w:val="99"/>
    <w:semiHidden/>
    <w:unhideWhenUsed/>
    <w:rsid w:val="00102F6C"/>
    <w:rPr>
      <w:color w:val="605E5C"/>
      <w:shd w:val="clear" w:color="auto" w:fill="E1DFDD"/>
    </w:rPr>
  </w:style>
  <w:style w:type="character" w:styleId="CommentReference">
    <w:name w:val="annotation reference"/>
    <w:basedOn w:val="DefaultParagraphFont"/>
    <w:uiPriority w:val="99"/>
    <w:semiHidden/>
    <w:unhideWhenUsed/>
    <w:rsid w:val="0015690D"/>
    <w:rPr>
      <w:sz w:val="16"/>
      <w:szCs w:val="16"/>
    </w:rPr>
  </w:style>
  <w:style w:type="paragraph" w:styleId="CommentText">
    <w:name w:val="annotation text"/>
    <w:basedOn w:val="Normal"/>
    <w:link w:val="CommentTextChar"/>
    <w:uiPriority w:val="99"/>
    <w:unhideWhenUsed/>
    <w:rsid w:val="0015690D"/>
    <w:rPr>
      <w:sz w:val="20"/>
      <w:szCs w:val="20"/>
    </w:rPr>
  </w:style>
  <w:style w:type="character" w:customStyle="1" w:styleId="CommentTextChar">
    <w:name w:val="Comment Text Char"/>
    <w:basedOn w:val="DefaultParagraphFont"/>
    <w:link w:val="CommentText"/>
    <w:uiPriority w:val="99"/>
    <w:rsid w:val="0015690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5690D"/>
    <w:rPr>
      <w:b/>
      <w:bCs/>
    </w:rPr>
  </w:style>
  <w:style w:type="character" w:customStyle="1" w:styleId="CommentSubjectChar">
    <w:name w:val="Comment Subject Char"/>
    <w:basedOn w:val="CommentTextChar"/>
    <w:link w:val="CommentSubject"/>
    <w:uiPriority w:val="99"/>
    <w:semiHidden/>
    <w:rsid w:val="0015690D"/>
    <w:rPr>
      <w:rFonts w:ascii="Arial" w:eastAsia="Times New Roman" w:hAnsi="Arial" w:cs="Times New Roman"/>
      <w:b/>
      <w:bCs/>
      <w:sz w:val="20"/>
      <w:szCs w:val="20"/>
      <w:lang w:eastAsia="en-GB"/>
    </w:rPr>
  </w:style>
  <w:style w:type="character" w:styleId="PlaceholderText">
    <w:name w:val="Placeholder Text"/>
    <w:basedOn w:val="DefaultParagraphFont"/>
    <w:uiPriority w:val="99"/>
    <w:semiHidden/>
    <w:rsid w:val="006F00E0"/>
    <w:rPr>
      <w:color w:val="808080"/>
    </w:rPr>
  </w:style>
  <w:style w:type="character" w:customStyle="1" w:styleId="Heading4Char">
    <w:name w:val="Heading 4 Char"/>
    <w:basedOn w:val="DefaultParagraphFont"/>
    <w:link w:val="Heading4"/>
    <w:uiPriority w:val="9"/>
    <w:rsid w:val="000B2505"/>
    <w:rPr>
      <w:rFonts w:ascii="Arial" w:eastAsia="Arial" w:hAnsi="Arial" w:cs="Arial"/>
      <w:b/>
      <w:bCs/>
      <w:sz w:val="24"/>
      <w:szCs w:val="24"/>
    </w:rPr>
  </w:style>
  <w:style w:type="paragraph" w:styleId="BodyText">
    <w:name w:val="Body Text"/>
    <w:basedOn w:val="Normal"/>
    <w:link w:val="BodyTextChar"/>
    <w:uiPriority w:val="1"/>
    <w:qFormat/>
    <w:rsid w:val="000B2505"/>
    <w:pPr>
      <w:widowControl w:val="0"/>
      <w:autoSpaceDE w:val="0"/>
      <w:autoSpaceDN w:val="0"/>
    </w:pPr>
    <w:rPr>
      <w:rFonts w:eastAsia="Arial" w:cs="Arial"/>
      <w:sz w:val="24"/>
      <w:szCs w:val="24"/>
      <w:lang w:eastAsia="en-US"/>
    </w:rPr>
  </w:style>
  <w:style w:type="character" w:customStyle="1" w:styleId="BodyTextChar">
    <w:name w:val="Body Text Char"/>
    <w:basedOn w:val="DefaultParagraphFont"/>
    <w:link w:val="BodyText"/>
    <w:uiPriority w:val="1"/>
    <w:rsid w:val="000B2505"/>
    <w:rPr>
      <w:rFonts w:ascii="Arial" w:eastAsia="Arial" w:hAnsi="Arial" w:cs="Arial"/>
      <w:sz w:val="24"/>
      <w:szCs w:val="24"/>
    </w:rPr>
  </w:style>
  <w:style w:type="paragraph" w:customStyle="1" w:styleId="Bullet">
    <w:name w:val="Bullet"/>
    <w:basedOn w:val="Normal"/>
    <w:link w:val="BulletChar"/>
    <w:uiPriority w:val="1"/>
    <w:qFormat/>
    <w:rsid w:val="18891B72"/>
    <w:pPr>
      <w:numPr>
        <w:numId w:val="6"/>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18891B72"/>
    <w:pPr>
      <w:ind w:right="384"/>
      <w:jc w:val="both"/>
    </w:pPr>
    <w:rPr>
      <w:rFonts w:asciiTheme="minorHAnsi" w:eastAsiaTheme="minorEastAsia" w:hAnsiTheme="minorHAnsi" w:cstheme="minorBidi"/>
      <w:color w:val="0087B5"/>
      <w:sz w:val="24"/>
      <w:szCs w:val="24"/>
      <w:lang w:eastAsia="en-US"/>
    </w:rPr>
  </w:style>
  <w:style w:type="character" w:customStyle="1" w:styleId="BulletChar">
    <w:name w:val="Bullet Char"/>
    <w:basedOn w:val="DefaultParagraphFont"/>
    <w:link w:val="Bullet"/>
    <w:uiPriority w:val="1"/>
    <w:rsid w:val="18891B72"/>
    <w:rPr>
      <w:rFonts w:asciiTheme="minorHAnsi" w:eastAsiaTheme="minorEastAsia" w:hAnsiTheme="minorHAnsi" w:cstheme="minorBidi"/>
      <w:sz w:val="24"/>
      <w:szCs w:val="24"/>
      <w:lang w:val="en-GB" w:eastAsia="en-US" w:bidi="ar-SA"/>
    </w:rPr>
  </w:style>
  <w:style w:type="character" w:customStyle="1" w:styleId="hyperlink1Char">
    <w:name w:val="hyperlink1 Char"/>
    <w:basedOn w:val="DefaultParagraphFont"/>
    <w:link w:val="hyperlink1"/>
    <w:uiPriority w:val="1"/>
    <w:rsid w:val="18891B72"/>
    <w:rPr>
      <w:rFonts w:asciiTheme="minorHAnsi" w:eastAsiaTheme="minorEastAsia" w:hAnsiTheme="minorHAnsi" w:cstheme="minorBidi"/>
      <w:color w:val="0087B5"/>
      <w:sz w:val="24"/>
      <w:szCs w:val="24"/>
      <w:lang w:val="en-GB" w:eastAsia="en-US" w:bidi="ar-SA"/>
    </w:rPr>
  </w:style>
  <w:style w:type="paragraph" w:styleId="NormalWeb">
    <w:name w:val="Normal (Web)"/>
    <w:basedOn w:val="Normal"/>
    <w:uiPriority w:val="99"/>
    <w:unhideWhenUsed/>
    <w:rsid w:val="00BA4C9B"/>
    <w:pPr>
      <w:spacing w:before="100" w:beforeAutospacing="1" w:after="100" w:afterAutospacing="1"/>
    </w:pPr>
    <w:rPr>
      <w:rFonts w:ascii="Times New Roman" w:hAnsi="Times New Roman"/>
      <w:sz w:val="24"/>
      <w:szCs w:val="24"/>
      <w:lang w:eastAsia="zh-CN"/>
    </w:rPr>
  </w:style>
  <w:style w:type="character" w:styleId="FollowedHyperlink">
    <w:name w:val="FollowedHyperlink"/>
    <w:basedOn w:val="DefaultParagraphFont"/>
    <w:uiPriority w:val="99"/>
    <w:semiHidden/>
    <w:unhideWhenUsed/>
    <w:rsid w:val="009B35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976090">
      <w:bodyDiv w:val="1"/>
      <w:marLeft w:val="0"/>
      <w:marRight w:val="0"/>
      <w:marTop w:val="0"/>
      <w:marBottom w:val="0"/>
      <w:divBdr>
        <w:top w:val="none" w:sz="0" w:space="0" w:color="auto"/>
        <w:left w:val="none" w:sz="0" w:space="0" w:color="auto"/>
        <w:bottom w:val="none" w:sz="0" w:space="0" w:color="auto"/>
        <w:right w:val="none" w:sz="0" w:space="0" w:color="auto"/>
      </w:divBdr>
    </w:div>
    <w:div w:id="606229655">
      <w:bodyDiv w:val="1"/>
      <w:marLeft w:val="0"/>
      <w:marRight w:val="0"/>
      <w:marTop w:val="0"/>
      <w:marBottom w:val="0"/>
      <w:divBdr>
        <w:top w:val="none" w:sz="0" w:space="0" w:color="auto"/>
        <w:left w:val="none" w:sz="0" w:space="0" w:color="auto"/>
        <w:bottom w:val="none" w:sz="0" w:space="0" w:color="auto"/>
        <w:right w:val="none" w:sz="0" w:space="0" w:color="auto"/>
      </w:divBdr>
    </w:div>
    <w:div w:id="895051026">
      <w:bodyDiv w:val="1"/>
      <w:marLeft w:val="0"/>
      <w:marRight w:val="0"/>
      <w:marTop w:val="0"/>
      <w:marBottom w:val="0"/>
      <w:divBdr>
        <w:top w:val="none" w:sz="0" w:space="0" w:color="auto"/>
        <w:left w:val="none" w:sz="0" w:space="0" w:color="auto"/>
        <w:bottom w:val="none" w:sz="0" w:space="0" w:color="auto"/>
        <w:right w:val="none" w:sz="0" w:space="0" w:color="auto"/>
      </w:divBdr>
    </w:div>
    <w:div w:id="16490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dvance-he.ac.uk/knowledge-hub/psf-2023-senior-fellowship-applicant-pack" TargetMode="External"/><Relationship Id="rId18" Type="http://schemas.openxmlformats.org/officeDocument/2006/relationships/hyperlink" Target="https://doi.org/10.1080/02602938.2018.1443541" TargetMode="External"/><Relationship Id="rId26" Type="http://schemas.openxmlformats.org/officeDocument/2006/relationships/hyperlink" Target="https://doi.org/10.1186/s41239-024-00450-9" TargetMode="External"/><Relationship Id="rId39" Type="http://schemas.openxmlformats.org/officeDocument/2006/relationships/footer" Target="footer1.xml"/><Relationship Id="rId21" Type="http://schemas.openxmlformats.org/officeDocument/2006/relationships/hyperlink" Target="https://doi.org/10.3102/0013189X12463051" TargetMode="External"/><Relationship Id="rId34" Type="http://schemas.openxmlformats.org/officeDocument/2006/relationships/hyperlink" Target="https://doi.org/10.1007/s11423-023-10328-8"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108/EUM0000000005548" TargetMode="External"/><Relationship Id="rId20" Type="http://schemas.openxmlformats.org/officeDocument/2006/relationships/hyperlink" Target="https://doi.org/10.1016/S1096-7516(00)00016-6" TargetMode="External"/><Relationship Id="rId29" Type="http://schemas.openxmlformats.org/officeDocument/2006/relationships/hyperlink" Target="https://doi.org/10.1007/BF0011771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3.eu-west-2.amazonaws.com/assets.creode.advancehe-document-manager/documents/advance-he/PSF%202023%20-%20Screen%20Reader%20Compatible%20-%20final_1675089549.pdf" TargetMode="External"/><Relationship Id="rId24" Type="http://schemas.openxmlformats.org/officeDocument/2006/relationships/hyperlink" Target="https://doi.org/10.4324/9780203125083" TargetMode="External"/><Relationship Id="rId32" Type="http://schemas.openxmlformats.org/officeDocument/2006/relationships/hyperlink" Target="https://doi.org/10.4324/9781315237473" TargetMode="External"/><Relationship Id="rId37" Type="http://schemas.openxmlformats.org/officeDocument/2006/relationships/hyperlink" Target="https://doi.org/10.1017/CBO9780511803932" TargetMode="External"/><Relationship Id="rId40" Type="http://schemas.openxmlformats.org/officeDocument/2006/relationships/hyperlink" Target="https://www.heacademy.ac.uk/my-academy-manage-your-higher-education-academy-experience" TargetMode="External"/><Relationship Id="rId5" Type="http://schemas.openxmlformats.org/officeDocument/2006/relationships/styles" Target="styles.xml"/><Relationship Id="rId15" Type="http://schemas.openxmlformats.org/officeDocument/2006/relationships/hyperlink" Target="https://doi.org/10.1007/BF00138871" TargetMode="External"/><Relationship Id="rId23" Type="http://schemas.openxmlformats.org/officeDocument/2006/relationships/hyperlink" Target="https://doi.org/10.1016/j.compedu.2006.06.002" TargetMode="External"/><Relationship Id="rId28" Type="http://schemas.openxmlformats.org/officeDocument/2006/relationships/hyperlink" Target="https://doi.org/10.1145/2445196.2445388" TargetMode="External"/><Relationship Id="rId36" Type="http://schemas.openxmlformats.org/officeDocument/2006/relationships/hyperlink" Target="https://doi.org/10.1007/s12528-021-09307-w" TargetMode="External"/><Relationship Id="rId10" Type="http://schemas.openxmlformats.org/officeDocument/2006/relationships/hyperlink" Target="https://www.advance-he.ac.uk/form/fellowship-decision-tool-2023" TargetMode="External"/><Relationship Id="rId19" Type="http://schemas.openxmlformats.org/officeDocument/2006/relationships/hyperlink" Target="https://doi.org/10.46328/ijte.5158" TargetMode="External"/><Relationship Id="rId31" Type="http://schemas.openxmlformats.org/officeDocument/2006/relationships/hyperlink" Target="https://doi.org/10.1145/374368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dvance-he.ac.uk/knowledge-hub/psf-2023-senior-fellowship-applicant-pack" TargetMode="External"/><Relationship Id="rId22" Type="http://schemas.openxmlformats.org/officeDocument/2006/relationships/hyperlink" Target="https://doi.org/10.1002/tea.20439" TargetMode="External"/><Relationship Id="rId27" Type="http://schemas.openxmlformats.org/officeDocument/2006/relationships/hyperlink" Target="https://doi.org/10.1076/csed.13.2.137.14200" TargetMode="External"/><Relationship Id="rId30" Type="http://schemas.openxmlformats.org/officeDocument/2006/relationships/hyperlink" Target="https://doi.org/10.4324/9780203074640" TargetMode="External"/><Relationship Id="rId35" Type="http://schemas.openxmlformats.org/officeDocument/2006/relationships/hyperlink" Target="https://doi.org/10.1080/14703297.2012.647781"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advance-he.ac.uk/knowledge-hub/psf-2023-senior-fellowship-applicant-pack" TargetMode="External"/><Relationship Id="rId17" Type="http://schemas.openxmlformats.org/officeDocument/2006/relationships/hyperlink" Target="https://doi.org/10.1080/02602938.2012.691462" TargetMode="External"/><Relationship Id="rId25" Type="http://schemas.openxmlformats.org/officeDocument/2006/relationships/hyperlink" Target="https://doi.org/10.1080/03075079.2010.483513" TargetMode="External"/><Relationship Id="rId33" Type="http://schemas.openxmlformats.org/officeDocument/2006/relationships/hyperlink" Target="https://doi.org/10.47408/jldhe.vi28.1034"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356F4B97-83CD-4A70-BA9A-E954E603F593}">
  <ds:schemaRefs>
    <ds:schemaRef ds:uri="http://schemas.microsoft.com/sharepoint/v3/contenttype/forms"/>
  </ds:schemaRefs>
</ds:datastoreItem>
</file>

<file path=customXml/itemProps2.xml><?xml version="1.0" encoding="utf-8"?>
<ds:datastoreItem xmlns:ds="http://schemas.openxmlformats.org/officeDocument/2006/customXml" ds:itemID="{3B4F4075-DA50-48C8-9D2D-147800102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513C2-C248-4D76-A623-9EBE0A7B2130}">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9269</Words>
  <Characters>52837</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Suresh Shanmugasundaram</dc:creator>
  <cp:keywords/>
  <cp:lastModifiedBy>Suresh Shanmugasundaram</cp:lastModifiedBy>
  <cp:revision>9</cp:revision>
  <cp:lastPrinted>2012-09-17T20:27:00Z</cp:lastPrinted>
  <dcterms:created xsi:type="dcterms:W3CDTF">2026-07-30T11:19:00Z</dcterms:created>
  <dcterms:modified xsi:type="dcterms:W3CDTF">2026-07-30T12:44:00Z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y fmtid="{D5CDD505-2E9C-101B-9397-08002B2CF9AE}" pid="4" name="GrammarlyDocumentId">
    <vt:lpwstr>f58220d2-a417-4818-af07-ebee0b025795</vt:lpwstr>
  </property>
</Properties>
</file>