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1530D" w14:textId="0E34D5FF" w:rsidR="00391D96" w:rsidRDefault="00391D96" w:rsidP="00337BDD">
      <w:pPr>
        <w:pStyle w:val="Heading2"/>
        <w:rPr>
          <w:b/>
          <w:sz w:val="28"/>
          <w:szCs w:val="28"/>
        </w:rPr>
      </w:pPr>
      <w:r>
        <w:rPr>
          <w:b/>
          <w:sz w:val="28"/>
          <w:szCs w:val="28"/>
        </w:rPr>
        <w:t>International Financial Management</w:t>
      </w:r>
    </w:p>
    <w:p w14:paraId="3A598FC6" w14:textId="03F81017" w:rsidR="00337BDD" w:rsidRPr="00621B50" w:rsidRDefault="00337BDD" w:rsidP="00337BDD">
      <w:pPr>
        <w:pStyle w:val="Heading2"/>
        <w:rPr>
          <w:b/>
          <w:sz w:val="28"/>
          <w:szCs w:val="28"/>
        </w:rPr>
      </w:pPr>
      <w:r w:rsidRPr="00621B50">
        <w:rPr>
          <w:b/>
          <w:sz w:val="28"/>
          <w:szCs w:val="28"/>
        </w:rPr>
        <w:t>Islamic Finance</w:t>
      </w:r>
      <w:r w:rsidR="004E4070">
        <w:rPr>
          <w:b/>
          <w:sz w:val="28"/>
          <w:szCs w:val="28"/>
        </w:rPr>
        <w:t xml:space="preserve"> Report</w:t>
      </w:r>
    </w:p>
    <w:p w14:paraId="18ED7CF8" w14:textId="6DDF0657" w:rsidR="00337BDD" w:rsidRPr="0008324D" w:rsidRDefault="00337BDD" w:rsidP="00337BDD">
      <w:pPr>
        <w:pStyle w:val="Heading2"/>
      </w:pPr>
      <w:r w:rsidRPr="0008324D">
        <w:t>SBUS</w:t>
      </w:r>
      <w:r w:rsidR="00EC2A03">
        <w:t>6113</w:t>
      </w:r>
    </w:p>
    <w:p w14:paraId="69DFE7FE" w14:textId="77777777" w:rsidR="00337BDD" w:rsidRPr="0008324D" w:rsidRDefault="00337BDD" w:rsidP="00337BDD">
      <w:pPr>
        <w:pStyle w:val="Heading2"/>
      </w:pPr>
      <w:r w:rsidRPr="0008324D">
        <w:t>Georgina Buckland 1404838</w:t>
      </w:r>
    </w:p>
    <w:p w14:paraId="4DD3FA6D" w14:textId="77777777" w:rsidR="00337BDD" w:rsidRDefault="00337BDD" w:rsidP="00337BDD">
      <w:pPr>
        <w:pStyle w:val="Heading2"/>
      </w:pPr>
      <w:r w:rsidRPr="0008324D">
        <w:t>Anthony Burns</w:t>
      </w:r>
    </w:p>
    <w:p w14:paraId="583B0ACD" w14:textId="77777777" w:rsidR="00337BDD" w:rsidRDefault="00337BDD" w:rsidP="00337BDD"/>
    <w:p w14:paraId="6C1A4731" w14:textId="77777777" w:rsidR="00337BDD" w:rsidRDefault="00337BDD" w:rsidP="00337BDD"/>
    <w:p w14:paraId="472A1225" w14:textId="77777777" w:rsidR="00337BDD" w:rsidRDefault="00337BDD" w:rsidP="00337BDD"/>
    <w:p w14:paraId="3406EC49" w14:textId="77777777" w:rsidR="00337BDD" w:rsidRDefault="00337BDD" w:rsidP="00337BDD"/>
    <w:p w14:paraId="08A37401" w14:textId="77777777" w:rsidR="00337BDD" w:rsidRDefault="00337BDD" w:rsidP="00337BDD"/>
    <w:p w14:paraId="01A608C8" w14:textId="77777777" w:rsidR="00337BDD" w:rsidRDefault="00337BDD" w:rsidP="00337BDD"/>
    <w:p w14:paraId="59AB9FE5" w14:textId="77777777" w:rsidR="00337BDD" w:rsidRDefault="00337BDD" w:rsidP="00337BDD"/>
    <w:p w14:paraId="2821F9B9" w14:textId="77777777" w:rsidR="00337BDD" w:rsidRDefault="00337BDD" w:rsidP="00337BDD"/>
    <w:p w14:paraId="3A75F1DE" w14:textId="77777777" w:rsidR="00337BDD" w:rsidRDefault="00337BDD" w:rsidP="00337BDD"/>
    <w:p w14:paraId="59CCAC4F" w14:textId="77777777" w:rsidR="00337BDD" w:rsidRDefault="00337BDD" w:rsidP="00337BDD"/>
    <w:p w14:paraId="1BFB4AA9" w14:textId="77777777" w:rsidR="00337BDD" w:rsidRDefault="00337BDD" w:rsidP="00337BDD"/>
    <w:p w14:paraId="126C07D2" w14:textId="77777777" w:rsidR="00337BDD" w:rsidRDefault="00337BDD" w:rsidP="00337BDD"/>
    <w:p w14:paraId="5574AF45" w14:textId="77777777" w:rsidR="00337BDD" w:rsidRDefault="00337BDD" w:rsidP="00337BDD"/>
    <w:p w14:paraId="7874DBCE" w14:textId="77777777" w:rsidR="00337BDD" w:rsidRDefault="00337BDD" w:rsidP="00337BDD"/>
    <w:p w14:paraId="362163B3" w14:textId="77777777" w:rsidR="00337BDD" w:rsidRDefault="00337BDD" w:rsidP="00337BDD"/>
    <w:p w14:paraId="39FA993A" w14:textId="77777777" w:rsidR="00337BDD" w:rsidRDefault="00337BDD" w:rsidP="00337BDD"/>
    <w:p w14:paraId="5DD51FAF" w14:textId="77777777" w:rsidR="00337BDD" w:rsidRDefault="00337BDD" w:rsidP="00337BDD"/>
    <w:p w14:paraId="542D5FB4" w14:textId="77777777" w:rsidR="00337BDD" w:rsidRDefault="00337BDD" w:rsidP="00337BDD"/>
    <w:p w14:paraId="6BBD6224" w14:textId="77777777" w:rsidR="00337BDD" w:rsidRDefault="00337BDD" w:rsidP="00337BDD"/>
    <w:p w14:paraId="5B6AF28B" w14:textId="77777777" w:rsidR="00337BDD" w:rsidRDefault="00337BDD" w:rsidP="00337BDD"/>
    <w:p w14:paraId="30E794E4" w14:textId="77777777" w:rsidR="00337BDD" w:rsidRDefault="00337BDD" w:rsidP="00337BDD"/>
    <w:p w14:paraId="3F47B2DD" w14:textId="77777777" w:rsidR="00337BDD" w:rsidRDefault="00337BDD" w:rsidP="00337BDD"/>
    <w:p w14:paraId="3CA59F6D" w14:textId="77777777" w:rsidR="00337BDD" w:rsidRDefault="00337BDD" w:rsidP="00337BDD"/>
    <w:p w14:paraId="232E3507" w14:textId="77777777" w:rsidR="009E43A1" w:rsidRDefault="009E43A1" w:rsidP="00337BDD"/>
    <w:p w14:paraId="492123FF" w14:textId="164D010E" w:rsidR="00337BDD" w:rsidRDefault="00337BDD" w:rsidP="00337BDD">
      <w:pPr>
        <w:rPr>
          <w:rFonts w:ascii="Calibri" w:hAnsi="Calibri"/>
          <w:sz w:val="22"/>
          <w:szCs w:val="22"/>
          <w:u w:val="single"/>
        </w:rPr>
      </w:pPr>
      <w:r w:rsidRPr="00F25E07">
        <w:rPr>
          <w:rFonts w:ascii="Calibri" w:hAnsi="Calibri"/>
          <w:sz w:val="22"/>
          <w:szCs w:val="22"/>
          <w:u w:val="single"/>
        </w:rPr>
        <w:lastRenderedPageBreak/>
        <w:t>Executive Summary</w:t>
      </w:r>
    </w:p>
    <w:p w14:paraId="74D0AA7D" w14:textId="77777777" w:rsidR="00076ACC" w:rsidRDefault="006B63D4" w:rsidP="00337BDD">
      <w:pPr>
        <w:rPr>
          <w:rFonts w:ascii="Calibri" w:hAnsi="Calibri"/>
          <w:sz w:val="22"/>
          <w:szCs w:val="22"/>
        </w:rPr>
      </w:pPr>
      <w:r w:rsidRPr="006B63D4">
        <w:rPr>
          <w:rFonts w:ascii="Calibri" w:hAnsi="Calibri"/>
          <w:sz w:val="22"/>
          <w:szCs w:val="22"/>
        </w:rPr>
        <w:t>While starting off with a brief introduction to IF, (Islamic Finance), for the purpose of this assignment, I have analysed the success of IF. By using global statistics to illustrate international growth of this form of banking, empirical evidence on individual regions has allowed me to identify specific countries of success. I have used GDP rates as indicators of each areas financial strength.</w:t>
      </w:r>
    </w:p>
    <w:p w14:paraId="4B1C891B" w14:textId="77777777" w:rsidR="004D77CD" w:rsidRDefault="006B63D4" w:rsidP="00337BDD">
      <w:pPr>
        <w:rPr>
          <w:rFonts w:ascii="Calibri" w:hAnsi="Calibri"/>
          <w:sz w:val="22"/>
          <w:szCs w:val="22"/>
        </w:rPr>
      </w:pPr>
      <w:r w:rsidRPr="006B63D4">
        <w:rPr>
          <w:rFonts w:ascii="Calibri" w:hAnsi="Calibri"/>
          <w:sz w:val="22"/>
          <w:szCs w:val="22"/>
        </w:rPr>
        <w:t>Following from this, I critically analysed IF by introducing some areas of weakness. From providing statistical findings, I have attempted to explain reasons as to w</w:t>
      </w:r>
      <w:r w:rsidR="004D77CD">
        <w:rPr>
          <w:rFonts w:ascii="Calibri" w:hAnsi="Calibri"/>
          <w:sz w:val="22"/>
          <w:szCs w:val="22"/>
        </w:rPr>
        <w:t>hy I</w:t>
      </w:r>
      <w:r w:rsidRPr="006B63D4">
        <w:rPr>
          <w:rFonts w:ascii="Calibri" w:hAnsi="Calibri"/>
          <w:sz w:val="22"/>
          <w:szCs w:val="22"/>
        </w:rPr>
        <w:t xml:space="preserve">F may have its limitations. </w:t>
      </w:r>
    </w:p>
    <w:p w14:paraId="176ED7D0" w14:textId="49EA7C8A" w:rsidR="00337BDD" w:rsidRPr="006B63D4" w:rsidRDefault="006B63D4" w:rsidP="00337BDD">
      <w:pPr>
        <w:rPr>
          <w:rFonts w:ascii="Calibri" w:hAnsi="Calibri"/>
          <w:sz w:val="22"/>
          <w:szCs w:val="22"/>
        </w:rPr>
      </w:pPr>
      <w:r w:rsidRPr="006B63D4">
        <w:rPr>
          <w:rFonts w:ascii="Calibri" w:hAnsi="Calibri"/>
          <w:sz w:val="22"/>
          <w:szCs w:val="22"/>
        </w:rPr>
        <w:t xml:space="preserve">The 2008 recession has been used as evidence in my assignment to reveal how IF was less affected by an economic crisis </w:t>
      </w:r>
      <w:r w:rsidR="004D77CD" w:rsidRPr="006B63D4">
        <w:rPr>
          <w:rFonts w:ascii="Calibri" w:hAnsi="Calibri"/>
          <w:sz w:val="22"/>
          <w:szCs w:val="22"/>
        </w:rPr>
        <w:t>than</w:t>
      </w:r>
      <w:r w:rsidR="004D77CD">
        <w:rPr>
          <w:rFonts w:ascii="Calibri" w:hAnsi="Calibri"/>
          <w:sz w:val="22"/>
          <w:szCs w:val="22"/>
        </w:rPr>
        <w:t xml:space="preserve"> that of</w:t>
      </w:r>
      <w:r w:rsidRPr="006B63D4">
        <w:rPr>
          <w:rFonts w:ascii="Calibri" w:hAnsi="Calibri"/>
          <w:sz w:val="22"/>
          <w:szCs w:val="22"/>
        </w:rPr>
        <w:t xml:space="preserve"> traditional banking. However, where evidence </w:t>
      </w:r>
      <w:r w:rsidR="00053A49" w:rsidRPr="006B63D4">
        <w:rPr>
          <w:rFonts w:ascii="Calibri" w:hAnsi="Calibri"/>
          <w:sz w:val="22"/>
          <w:szCs w:val="22"/>
        </w:rPr>
        <w:t>compete</w:t>
      </w:r>
      <w:r w:rsidR="00053A49">
        <w:rPr>
          <w:rFonts w:ascii="Calibri" w:hAnsi="Calibri"/>
          <w:sz w:val="22"/>
          <w:szCs w:val="22"/>
        </w:rPr>
        <w:t>s</w:t>
      </w:r>
      <w:r w:rsidR="00053A49" w:rsidRPr="006B63D4">
        <w:rPr>
          <w:rFonts w:ascii="Calibri" w:hAnsi="Calibri"/>
          <w:sz w:val="22"/>
          <w:szCs w:val="22"/>
        </w:rPr>
        <w:t xml:space="preserve"> with</w:t>
      </w:r>
      <w:r w:rsidRPr="006B63D4">
        <w:rPr>
          <w:rFonts w:ascii="Calibri" w:hAnsi="Calibri"/>
          <w:sz w:val="22"/>
          <w:szCs w:val="22"/>
        </w:rPr>
        <w:t xml:space="preserve"> this</w:t>
      </w:r>
      <w:r w:rsidR="00053A49">
        <w:rPr>
          <w:rFonts w:ascii="Calibri" w:hAnsi="Calibri"/>
          <w:sz w:val="22"/>
          <w:szCs w:val="22"/>
        </w:rPr>
        <w:t xml:space="preserve"> concept, I have included this data</w:t>
      </w:r>
      <w:r w:rsidRPr="006B63D4">
        <w:rPr>
          <w:rFonts w:ascii="Calibri" w:hAnsi="Calibri"/>
          <w:sz w:val="22"/>
          <w:szCs w:val="22"/>
        </w:rPr>
        <w:t xml:space="preserve"> and provided </w:t>
      </w:r>
      <w:r w:rsidR="00053A49" w:rsidRPr="006B63D4">
        <w:rPr>
          <w:rFonts w:ascii="Calibri" w:hAnsi="Calibri"/>
          <w:sz w:val="22"/>
          <w:szCs w:val="22"/>
        </w:rPr>
        <w:t>explanations</w:t>
      </w:r>
      <w:r w:rsidRPr="006B63D4">
        <w:rPr>
          <w:rFonts w:ascii="Calibri" w:hAnsi="Calibri"/>
          <w:sz w:val="22"/>
          <w:szCs w:val="22"/>
        </w:rPr>
        <w:t xml:space="preserve"> as to why this may be. </w:t>
      </w:r>
    </w:p>
    <w:p w14:paraId="5951C36E" w14:textId="6DAFAE5D" w:rsidR="006B63D4" w:rsidRPr="006B63D4" w:rsidRDefault="006B63D4" w:rsidP="00337BDD">
      <w:pPr>
        <w:rPr>
          <w:rFonts w:ascii="Calibri" w:hAnsi="Calibri"/>
          <w:sz w:val="22"/>
          <w:szCs w:val="22"/>
        </w:rPr>
      </w:pPr>
      <w:r w:rsidRPr="006B63D4">
        <w:rPr>
          <w:rFonts w:ascii="Calibri" w:hAnsi="Calibri"/>
          <w:sz w:val="22"/>
          <w:szCs w:val="22"/>
        </w:rPr>
        <w:t xml:space="preserve">Finally, following my main findings write up, I have provided 2 recommendations for the future of IF and have rounded up with a conclusion as to what my </w:t>
      </w:r>
      <w:r w:rsidR="006B490D">
        <w:rPr>
          <w:rFonts w:ascii="Calibri" w:hAnsi="Calibri"/>
          <w:sz w:val="22"/>
          <w:szCs w:val="22"/>
        </w:rPr>
        <w:t xml:space="preserve">overall </w:t>
      </w:r>
      <w:r w:rsidRPr="006B63D4">
        <w:rPr>
          <w:rFonts w:ascii="Calibri" w:hAnsi="Calibri"/>
          <w:sz w:val="22"/>
          <w:szCs w:val="22"/>
        </w:rPr>
        <w:t xml:space="preserve">findings reveal. </w:t>
      </w:r>
    </w:p>
    <w:p w14:paraId="125A08CD" w14:textId="77777777" w:rsidR="00337BDD" w:rsidRDefault="00337BDD" w:rsidP="00337BDD">
      <w:pPr>
        <w:rPr>
          <w:rFonts w:ascii="Calibri" w:hAnsi="Calibri"/>
          <w:sz w:val="22"/>
          <w:szCs w:val="22"/>
          <w:u w:val="single"/>
        </w:rPr>
      </w:pPr>
    </w:p>
    <w:p w14:paraId="231069D4" w14:textId="77777777" w:rsidR="00337BDD" w:rsidRDefault="00337BDD" w:rsidP="00337BDD">
      <w:pPr>
        <w:rPr>
          <w:rFonts w:ascii="Calibri" w:hAnsi="Calibri"/>
          <w:sz w:val="22"/>
          <w:szCs w:val="22"/>
          <w:u w:val="single"/>
        </w:rPr>
      </w:pPr>
    </w:p>
    <w:p w14:paraId="47B8BD30" w14:textId="77777777" w:rsidR="00337BDD" w:rsidRDefault="00337BDD" w:rsidP="00337BDD">
      <w:pPr>
        <w:rPr>
          <w:rFonts w:ascii="Calibri" w:hAnsi="Calibri"/>
          <w:sz w:val="22"/>
          <w:szCs w:val="22"/>
          <w:u w:val="single"/>
        </w:rPr>
      </w:pPr>
    </w:p>
    <w:p w14:paraId="153EA5BE" w14:textId="77777777" w:rsidR="00337BDD" w:rsidRDefault="00337BDD" w:rsidP="00337BDD">
      <w:pPr>
        <w:rPr>
          <w:rFonts w:ascii="Calibri" w:hAnsi="Calibri"/>
          <w:sz w:val="22"/>
          <w:szCs w:val="22"/>
          <w:u w:val="single"/>
        </w:rPr>
      </w:pPr>
    </w:p>
    <w:p w14:paraId="1F69328E" w14:textId="77777777" w:rsidR="00337BDD" w:rsidRDefault="00337BDD" w:rsidP="00337BDD">
      <w:pPr>
        <w:rPr>
          <w:rFonts w:ascii="Calibri" w:hAnsi="Calibri"/>
          <w:sz w:val="22"/>
          <w:szCs w:val="22"/>
          <w:u w:val="single"/>
        </w:rPr>
      </w:pPr>
    </w:p>
    <w:p w14:paraId="21C544D5" w14:textId="77777777" w:rsidR="00337BDD" w:rsidRDefault="00337BDD" w:rsidP="00337BDD">
      <w:pPr>
        <w:rPr>
          <w:rFonts w:ascii="Calibri" w:hAnsi="Calibri"/>
          <w:sz w:val="22"/>
          <w:szCs w:val="22"/>
          <w:u w:val="single"/>
        </w:rPr>
      </w:pPr>
    </w:p>
    <w:p w14:paraId="27EE71A7" w14:textId="77777777" w:rsidR="00337BDD" w:rsidRDefault="00337BDD" w:rsidP="00337BDD">
      <w:pPr>
        <w:rPr>
          <w:rFonts w:ascii="Calibri" w:hAnsi="Calibri"/>
          <w:sz w:val="22"/>
          <w:szCs w:val="22"/>
          <w:u w:val="single"/>
        </w:rPr>
      </w:pPr>
    </w:p>
    <w:p w14:paraId="018AD815" w14:textId="77777777" w:rsidR="00337BDD" w:rsidRDefault="00337BDD" w:rsidP="00337BDD">
      <w:pPr>
        <w:rPr>
          <w:rFonts w:ascii="Calibri" w:hAnsi="Calibri"/>
          <w:sz w:val="22"/>
          <w:szCs w:val="22"/>
          <w:u w:val="single"/>
        </w:rPr>
      </w:pPr>
    </w:p>
    <w:p w14:paraId="46904AE3" w14:textId="77777777" w:rsidR="00337BDD" w:rsidRDefault="00337BDD" w:rsidP="00337BDD">
      <w:pPr>
        <w:rPr>
          <w:rFonts w:ascii="Calibri" w:hAnsi="Calibri"/>
          <w:sz w:val="22"/>
          <w:szCs w:val="22"/>
          <w:u w:val="single"/>
        </w:rPr>
      </w:pPr>
    </w:p>
    <w:p w14:paraId="2895B538" w14:textId="77777777" w:rsidR="00337BDD" w:rsidRDefault="00337BDD" w:rsidP="00337BDD">
      <w:pPr>
        <w:rPr>
          <w:rFonts w:ascii="Calibri" w:hAnsi="Calibri"/>
          <w:sz w:val="22"/>
          <w:szCs w:val="22"/>
          <w:u w:val="single"/>
        </w:rPr>
      </w:pPr>
    </w:p>
    <w:p w14:paraId="1255E09D" w14:textId="77777777" w:rsidR="00337BDD" w:rsidRDefault="00337BDD" w:rsidP="00337BDD">
      <w:pPr>
        <w:rPr>
          <w:rFonts w:ascii="Calibri" w:hAnsi="Calibri"/>
          <w:sz w:val="22"/>
          <w:szCs w:val="22"/>
          <w:u w:val="single"/>
        </w:rPr>
      </w:pPr>
    </w:p>
    <w:p w14:paraId="0396B484" w14:textId="77777777" w:rsidR="00337BDD" w:rsidRDefault="00337BDD" w:rsidP="00337BDD">
      <w:pPr>
        <w:rPr>
          <w:rFonts w:ascii="Calibri" w:hAnsi="Calibri"/>
          <w:sz w:val="22"/>
          <w:szCs w:val="22"/>
          <w:u w:val="single"/>
        </w:rPr>
      </w:pPr>
    </w:p>
    <w:p w14:paraId="4797D863" w14:textId="77777777" w:rsidR="00337BDD" w:rsidRDefault="00337BDD" w:rsidP="00337BDD">
      <w:pPr>
        <w:rPr>
          <w:rFonts w:ascii="Calibri" w:hAnsi="Calibri"/>
          <w:sz w:val="22"/>
          <w:szCs w:val="22"/>
          <w:u w:val="single"/>
        </w:rPr>
      </w:pPr>
    </w:p>
    <w:p w14:paraId="27551CCB" w14:textId="77777777" w:rsidR="00337BDD" w:rsidRDefault="00337BDD" w:rsidP="00337BDD">
      <w:pPr>
        <w:rPr>
          <w:rFonts w:ascii="Calibri" w:hAnsi="Calibri"/>
          <w:sz w:val="22"/>
          <w:szCs w:val="22"/>
          <w:u w:val="single"/>
        </w:rPr>
      </w:pPr>
    </w:p>
    <w:p w14:paraId="073E4E86" w14:textId="77777777" w:rsidR="00337BDD" w:rsidRDefault="00337BDD" w:rsidP="00337BDD">
      <w:pPr>
        <w:rPr>
          <w:rFonts w:ascii="Calibri" w:hAnsi="Calibri"/>
          <w:sz w:val="22"/>
          <w:szCs w:val="22"/>
          <w:u w:val="single"/>
        </w:rPr>
      </w:pPr>
    </w:p>
    <w:p w14:paraId="7C5715AF" w14:textId="77777777" w:rsidR="00337BDD" w:rsidRDefault="00337BDD" w:rsidP="00337BDD">
      <w:pPr>
        <w:rPr>
          <w:rFonts w:ascii="Calibri" w:hAnsi="Calibri"/>
          <w:sz w:val="22"/>
          <w:szCs w:val="22"/>
          <w:u w:val="single"/>
        </w:rPr>
      </w:pPr>
    </w:p>
    <w:p w14:paraId="33E7E4D1" w14:textId="77777777" w:rsidR="00337BDD" w:rsidRDefault="00337BDD" w:rsidP="00337BDD">
      <w:pPr>
        <w:rPr>
          <w:rFonts w:ascii="Calibri" w:hAnsi="Calibri"/>
          <w:sz w:val="22"/>
          <w:szCs w:val="22"/>
          <w:u w:val="single"/>
        </w:rPr>
      </w:pPr>
    </w:p>
    <w:p w14:paraId="61A4BCCD" w14:textId="77777777" w:rsidR="00C710D3" w:rsidRDefault="00C710D3" w:rsidP="00337BDD">
      <w:pPr>
        <w:rPr>
          <w:rFonts w:ascii="Calibri" w:hAnsi="Calibri"/>
          <w:sz w:val="22"/>
          <w:szCs w:val="22"/>
          <w:u w:val="single"/>
        </w:rPr>
      </w:pPr>
    </w:p>
    <w:p w14:paraId="58713D58" w14:textId="2F04AE70" w:rsidR="00337BDD" w:rsidRDefault="00337BDD" w:rsidP="00337BDD">
      <w:pPr>
        <w:rPr>
          <w:rFonts w:ascii="Calibri" w:hAnsi="Calibri"/>
          <w:sz w:val="22"/>
          <w:szCs w:val="22"/>
          <w:u w:val="single"/>
        </w:rPr>
      </w:pPr>
      <w:r w:rsidRPr="00F25E07">
        <w:rPr>
          <w:rFonts w:ascii="Calibri" w:hAnsi="Calibri"/>
          <w:sz w:val="22"/>
          <w:szCs w:val="22"/>
          <w:u w:val="single"/>
        </w:rPr>
        <w:lastRenderedPageBreak/>
        <w:t>Contents</w:t>
      </w:r>
    </w:p>
    <w:tbl>
      <w:tblPr>
        <w:tblStyle w:val="PlainTable1"/>
        <w:tblW w:w="0" w:type="auto"/>
        <w:tblLook w:val="04A0" w:firstRow="1" w:lastRow="0" w:firstColumn="1" w:lastColumn="0" w:noHBand="0" w:noVBand="1"/>
      </w:tblPr>
      <w:tblGrid>
        <w:gridCol w:w="4508"/>
        <w:gridCol w:w="4508"/>
      </w:tblGrid>
      <w:tr w:rsidR="00EE7E73" w14:paraId="0E5EEF75" w14:textId="77777777" w:rsidTr="004642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260D72" w14:textId="66AAF916" w:rsidR="00EE7E73" w:rsidRPr="00464253" w:rsidRDefault="00EE7E73" w:rsidP="00337BDD">
            <w:pPr>
              <w:rPr>
                <w:rFonts w:ascii="Calibri" w:hAnsi="Calibri"/>
                <w:sz w:val="22"/>
                <w:szCs w:val="22"/>
              </w:rPr>
            </w:pPr>
            <w:r w:rsidRPr="00464253">
              <w:rPr>
                <w:rFonts w:ascii="Calibri" w:hAnsi="Calibri"/>
                <w:sz w:val="22"/>
                <w:szCs w:val="22"/>
              </w:rPr>
              <w:t>1.0 Introduction</w:t>
            </w:r>
          </w:p>
        </w:tc>
        <w:tc>
          <w:tcPr>
            <w:tcW w:w="4508" w:type="dxa"/>
          </w:tcPr>
          <w:p w14:paraId="3ADEBF55" w14:textId="0AC82B70" w:rsidR="00EE7E73" w:rsidRPr="003139AD" w:rsidRDefault="00F133EE" w:rsidP="003139AD">
            <w:pPr>
              <w:jc w:val="right"/>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3139AD">
              <w:rPr>
                <w:rFonts w:ascii="Calibri" w:hAnsi="Calibri"/>
                <w:sz w:val="22"/>
                <w:szCs w:val="22"/>
              </w:rPr>
              <w:t>4</w:t>
            </w:r>
          </w:p>
        </w:tc>
      </w:tr>
      <w:tr w:rsidR="00EE7E73" w14:paraId="7FF0F069" w14:textId="77777777" w:rsidTr="00464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B150B3B" w14:textId="4CE2559C" w:rsidR="00EE7E73" w:rsidRPr="00464253" w:rsidRDefault="00EE7E73" w:rsidP="00337BDD">
            <w:pPr>
              <w:rPr>
                <w:rFonts w:ascii="Calibri" w:hAnsi="Calibri"/>
                <w:sz w:val="22"/>
                <w:szCs w:val="22"/>
              </w:rPr>
            </w:pPr>
            <w:r w:rsidRPr="00464253">
              <w:rPr>
                <w:rFonts w:ascii="Calibri" w:hAnsi="Calibri"/>
                <w:sz w:val="22"/>
                <w:szCs w:val="22"/>
              </w:rPr>
              <w:t>2.0 Main findings</w:t>
            </w:r>
          </w:p>
        </w:tc>
        <w:tc>
          <w:tcPr>
            <w:tcW w:w="4508" w:type="dxa"/>
          </w:tcPr>
          <w:p w14:paraId="215CCB53" w14:textId="6A6F3BFE" w:rsidR="00EE7E73" w:rsidRPr="003139AD" w:rsidRDefault="009946BF" w:rsidP="003139AD">
            <w:pPr>
              <w:jc w:val="right"/>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3139AD">
              <w:rPr>
                <w:rFonts w:ascii="Calibri" w:hAnsi="Calibri"/>
                <w:sz w:val="22"/>
                <w:szCs w:val="22"/>
              </w:rPr>
              <w:t>4</w:t>
            </w:r>
          </w:p>
        </w:tc>
      </w:tr>
      <w:tr w:rsidR="00EE7E73" w14:paraId="3C81D5CC" w14:textId="77777777" w:rsidTr="00464253">
        <w:tc>
          <w:tcPr>
            <w:cnfStyle w:val="001000000000" w:firstRow="0" w:lastRow="0" w:firstColumn="1" w:lastColumn="0" w:oddVBand="0" w:evenVBand="0" w:oddHBand="0" w:evenHBand="0" w:firstRowFirstColumn="0" w:firstRowLastColumn="0" w:lastRowFirstColumn="0" w:lastRowLastColumn="0"/>
            <w:tcW w:w="4508" w:type="dxa"/>
          </w:tcPr>
          <w:p w14:paraId="5943F45D" w14:textId="7D7A83F1" w:rsidR="00EE7E73" w:rsidRPr="00464253" w:rsidRDefault="00EE7E73" w:rsidP="00337BDD">
            <w:pPr>
              <w:rPr>
                <w:rFonts w:ascii="Calibri" w:hAnsi="Calibri"/>
                <w:sz w:val="22"/>
                <w:szCs w:val="22"/>
              </w:rPr>
            </w:pPr>
            <w:r w:rsidRPr="00464253">
              <w:rPr>
                <w:rFonts w:ascii="Calibri" w:hAnsi="Calibri"/>
                <w:sz w:val="22"/>
                <w:szCs w:val="22"/>
              </w:rPr>
              <w:t>2.1 Success of IF</w:t>
            </w:r>
          </w:p>
        </w:tc>
        <w:tc>
          <w:tcPr>
            <w:tcW w:w="4508" w:type="dxa"/>
          </w:tcPr>
          <w:p w14:paraId="1F027651" w14:textId="6D6D2EBA" w:rsidR="00EE7E73" w:rsidRPr="003139AD" w:rsidRDefault="009946BF" w:rsidP="003139AD">
            <w:pPr>
              <w:jc w:val="right"/>
              <w:cnfStyle w:val="000000000000" w:firstRow="0" w:lastRow="0" w:firstColumn="0" w:lastColumn="0" w:oddVBand="0" w:evenVBand="0" w:oddHBand="0" w:evenHBand="0" w:firstRowFirstColumn="0" w:firstRowLastColumn="0" w:lastRowFirstColumn="0" w:lastRowLastColumn="0"/>
              <w:rPr>
                <w:rFonts w:ascii="Calibri" w:hAnsi="Calibri"/>
                <w:sz w:val="22"/>
                <w:szCs w:val="22"/>
              </w:rPr>
            </w:pPr>
            <w:r w:rsidRPr="003139AD">
              <w:rPr>
                <w:rFonts w:ascii="Calibri" w:hAnsi="Calibri"/>
                <w:sz w:val="22"/>
                <w:szCs w:val="22"/>
              </w:rPr>
              <w:t>4</w:t>
            </w:r>
          </w:p>
        </w:tc>
      </w:tr>
      <w:tr w:rsidR="00EE7E73" w14:paraId="704CC520" w14:textId="77777777" w:rsidTr="00464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F3BAD0" w14:textId="34E3F008" w:rsidR="00EE7E73" w:rsidRPr="00464253" w:rsidRDefault="00EE7E73" w:rsidP="00337BDD">
            <w:pPr>
              <w:rPr>
                <w:rFonts w:ascii="Calibri" w:hAnsi="Calibri"/>
                <w:sz w:val="22"/>
                <w:szCs w:val="22"/>
              </w:rPr>
            </w:pPr>
            <w:r w:rsidRPr="00464253">
              <w:rPr>
                <w:rFonts w:ascii="Calibri" w:hAnsi="Calibri"/>
                <w:sz w:val="22"/>
                <w:szCs w:val="22"/>
              </w:rPr>
              <w:t>2.2 Limitations of IF</w:t>
            </w:r>
          </w:p>
        </w:tc>
        <w:tc>
          <w:tcPr>
            <w:tcW w:w="4508" w:type="dxa"/>
          </w:tcPr>
          <w:p w14:paraId="3052B73F" w14:textId="72236BE8" w:rsidR="00EE7E73" w:rsidRPr="003139AD" w:rsidRDefault="009946BF" w:rsidP="003139AD">
            <w:pPr>
              <w:jc w:val="right"/>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3139AD">
              <w:rPr>
                <w:rFonts w:ascii="Calibri" w:hAnsi="Calibri"/>
                <w:sz w:val="22"/>
                <w:szCs w:val="22"/>
              </w:rPr>
              <w:t>7</w:t>
            </w:r>
          </w:p>
        </w:tc>
      </w:tr>
      <w:tr w:rsidR="00EE7E73" w14:paraId="1817A65B" w14:textId="77777777" w:rsidTr="00464253">
        <w:tc>
          <w:tcPr>
            <w:cnfStyle w:val="001000000000" w:firstRow="0" w:lastRow="0" w:firstColumn="1" w:lastColumn="0" w:oddVBand="0" w:evenVBand="0" w:oddHBand="0" w:evenHBand="0" w:firstRowFirstColumn="0" w:firstRowLastColumn="0" w:lastRowFirstColumn="0" w:lastRowLastColumn="0"/>
            <w:tcW w:w="4508" w:type="dxa"/>
          </w:tcPr>
          <w:p w14:paraId="4C334347" w14:textId="6E43D420" w:rsidR="00EE7E73" w:rsidRPr="00464253" w:rsidRDefault="00EE7E73" w:rsidP="00337BDD">
            <w:pPr>
              <w:rPr>
                <w:rFonts w:ascii="Calibri" w:hAnsi="Calibri"/>
                <w:sz w:val="22"/>
                <w:szCs w:val="22"/>
              </w:rPr>
            </w:pPr>
            <w:r w:rsidRPr="00464253">
              <w:rPr>
                <w:rFonts w:ascii="Calibri" w:hAnsi="Calibri"/>
                <w:sz w:val="22"/>
                <w:szCs w:val="22"/>
              </w:rPr>
              <w:t xml:space="preserve">2.3 </w:t>
            </w:r>
            <w:r w:rsidR="008262F0" w:rsidRPr="00464253">
              <w:rPr>
                <w:rFonts w:ascii="Calibri" w:hAnsi="Calibri"/>
                <w:sz w:val="22"/>
                <w:szCs w:val="22"/>
              </w:rPr>
              <w:t>Resilience</w:t>
            </w:r>
            <w:r w:rsidRPr="00464253">
              <w:rPr>
                <w:rFonts w:ascii="Calibri" w:hAnsi="Calibri"/>
                <w:sz w:val="22"/>
                <w:szCs w:val="22"/>
              </w:rPr>
              <w:t xml:space="preserve"> to Global Crisis</w:t>
            </w:r>
          </w:p>
        </w:tc>
        <w:tc>
          <w:tcPr>
            <w:tcW w:w="4508" w:type="dxa"/>
          </w:tcPr>
          <w:p w14:paraId="65A8CEEF" w14:textId="23C2A6DF" w:rsidR="00EE7E73" w:rsidRPr="003139AD" w:rsidRDefault="00170966" w:rsidP="003139AD">
            <w:pPr>
              <w:jc w:val="right"/>
              <w:cnfStyle w:val="000000000000" w:firstRow="0" w:lastRow="0" w:firstColumn="0" w:lastColumn="0" w:oddVBand="0" w:evenVBand="0" w:oddHBand="0" w:evenHBand="0" w:firstRowFirstColumn="0" w:firstRowLastColumn="0" w:lastRowFirstColumn="0" w:lastRowLastColumn="0"/>
              <w:rPr>
                <w:rFonts w:ascii="Calibri" w:hAnsi="Calibri"/>
                <w:sz w:val="22"/>
                <w:szCs w:val="22"/>
              </w:rPr>
            </w:pPr>
            <w:r w:rsidRPr="003139AD">
              <w:rPr>
                <w:rFonts w:ascii="Calibri" w:hAnsi="Calibri"/>
                <w:sz w:val="22"/>
                <w:szCs w:val="22"/>
              </w:rPr>
              <w:t>9</w:t>
            </w:r>
          </w:p>
        </w:tc>
      </w:tr>
      <w:tr w:rsidR="00EE7E73" w14:paraId="2A3724EA" w14:textId="77777777" w:rsidTr="00464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55AA61" w14:textId="384182B8" w:rsidR="00EE7E73" w:rsidRPr="00464253" w:rsidRDefault="00EE7E73" w:rsidP="00337BDD">
            <w:pPr>
              <w:rPr>
                <w:rFonts w:ascii="Calibri" w:hAnsi="Calibri"/>
                <w:sz w:val="22"/>
                <w:szCs w:val="22"/>
              </w:rPr>
            </w:pPr>
            <w:r w:rsidRPr="00464253">
              <w:rPr>
                <w:rFonts w:ascii="Calibri" w:hAnsi="Calibri"/>
                <w:sz w:val="22"/>
                <w:szCs w:val="22"/>
              </w:rPr>
              <w:t xml:space="preserve">3.0 </w:t>
            </w:r>
            <w:r w:rsidR="008262F0" w:rsidRPr="00464253">
              <w:rPr>
                <w:rFonts w:ascii="Calibri" w:hAnsi="Calibri"/>
                <w:sz w:val="22"/>
                <w:szCs w:val="22"/>
              </w:rPr>
              <w:t>Recommendations</w:t>
            </w:r>
          </w:p>
        </w:tc>
        <w:tc>
          <w:tcPr>
            <w:tcW w:w="4508" w:type="dxa"/>
          </w:tcPr>
          <w:p w14:paraId="1776235B" w14:textId="4783BAD6" w:rsidR="00EE7E73" w:rsidRPr="003139AD" w:rsidRDefault="00170966" w:rsidP="003139AD">
            <w:pPr>
              <w:jc w:val="right"/>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3139AD">
              <w:rPr>
                <w:rFonts w:ascii="Calibri" w:hAnsi="Calibri"/>
                <w:sz w:val="22"/>
                <w:szCs w:val="22"/>
              </w:rPr>
              <w:t>11</w:t>
            </w:r>
          </w:p>
        </w:tc>
      </w:tr>
      <w:tr w:rsidR="00EE7E73" w14:paraId="583F310A" w14:textId="77777777" w:rsidTr="00464253">
        <w:tc>
          <w:tcPr>
            <w:cnfStyle w:val="001000000000" w:firstRow="0" w:lastRow="0" w:firstColumn="1" w:lastColumn="0" w:oddVBand="0" w:evenVBand="0" w:oddHBand="0" w:evenHBand="0" w:firstRowFirstColumn="0" w:firstRowLastColumn="0" w:lastRowFirstColumn="0" w:lastRowLastColumn="0"/>
            <w:tcW w:w="4508" w:type="dxa"/>
          </w:tcPr>
          <w:p w14:paraId="61E48DFE" w14:textId="0125A0A1" w:rsidR="00EE7E73" w:rsidRPr="00464253" w:rsidRDefault="00EE7E73" w:rsidP="00337BDD">
            <w:pPr>
              <w:rPr>
                <w:rFonts w:ascii="Calibri" w:hAnsi="Calibri"/>
                <w:sz w:val="22"/>
                <w:szCs w:val="22"/>
              </w:rPr>
            </w:pPr>
            <w:r w:rsidRPr="00464253">
              <w:rPr>
                <w:rFonts w:ascii="Calibri" w:hAnsi="Calibri"/>
                <w:sz w:val="22"/>
                <w:szCs w:val="22"/>
              </w:rPr>
              <w:t>4.0 Conclusion</w:t>
            </w:r>
          </w:p>
        </w:tc>
        <w:tc>
          <w:tcPr>
            <w:tcW w:w="4508" w:type="dxa"/>
          </w:tcPr>
          <w:p w14:paraId="18282C7B" w14:textId="7012912E" w:rsidR="00EE7E73" w:rsidRPr="003139AD" w:rsidRDefault="003139AD" w:rsidP="003139AD">
            <w:pPr>
              <w:jc w:val="right"/>
              <w:cnfStyle w:val="000000000000" w:firstRow="0" w:lastRow="0" w:firstColumn="0" w:lastColumn="0" w:oddVBand="0" w:evenVBand="0" w:oddHBand="0" w:evenHBand="0" w:firstRowFirstColumn="0" w:firstRowLastColumn="0" w:lastRowFirstColumn="0" w:lastRowLastColumn="0"/>
              <w:rPr>
                <w:rFonts w:ascii="Calibri" w:hAnsi="Calibri"/>
                <w:sz w:val="22"/>
                <w:szCs w:val="22"/>
              </w:rPr>
            </w:pPr>
            <w:r w:rsidRPr="003139AD">
              <w:rPr>
                <w:rFonts w:ascii="Calibri" w:hAnsi="Calibri"/>
                <w:sz w:val="22"/>
                <w:szCs w:val="22"/>
              </w:rPr>
              <w:t>11</w:t>
            </w:r>
          </w:p>
        </w:tc>
      </w:tr>
      <w:tr w:rsidR="00E97C27" w14:paraId="41B7FA8F" w14:textId="77777777" w:rsidTr="004642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296203" w14:textId="11955045" w:rsidR="00E97C27" w:rsidRPr="00464253" w:rsidRDefault="00E97C27" w:rsidP="00337BDD">
            <w:pPr>
              <w:rPr>
                <w:rFonts w:ascii="Calibri" w:hAnsi="Calibri"/>
                <w:sz w:val="22"/>
                <w:szCs w:val="22"/>
              </w:rPr>
            </w:pPr>
            <w:r w:rsidRPr="00464253">
              <w:rPr>
                <w:rFonts w:ascii="Calibri" w:hAnsi="Calibri"/>
                <w:sz w:val="22"/>
                <w:szCs w:val="22"/>
              </w:rPr>
              <w:t>5.0 References</w:t>
            </w:r>
          </w:p>
        </w:tc>
        <w:tc>
          <w:tcPr>
            <w:tcW w:w="4508" w:type="dxa"/>
          </w:tcPr>
          <w:p w14:paraId="29A1DD6A" w14:textId="7F5E4692" w:rsidR="00E97C27" w:rsidRPr="003139AD" w:rsidRDefault="003139AD" w:rsidP="003139AD">
            <w:pPr>
              <w:jc w:val="right"/>
              <w:cnfStyle w:val="000000100000" w:firstRow="0" w:lastRow="0" w:firstColumn="0" w:lastColumn="0" w:oddVBand="0" w:evenVBand="0" w:oddHBand="1" w:evenHBand="0" w:firstRowFirstColumn="0" w:firstRowLastColumn="0" w:lastRowFirstColumn="0" w:lastRowLastColumn="0"/>
              <w:rPr>
                <w:rFonts w:ascii="Calibri" w:hAnsi="Calibri"/>
                <w:sz w:val="22"/>
                <w:szCs w:val="22"/>
              </w:rPr>
            </w:pPr>
            <w:r w:rsidRPr="003139AD">
              <w:rPr>
                <w:rFonts w:ascii="Calibri" w:hAnsi="Calibri"/>
                <w:sz w:val="22"/>
                <w:szCs w:val="22"/>
              </w:rPr>
              <w:t>12</w:t>
            </w:r>
          </w:p>
        </w:tc>
      </w:tr>
    </w:tbl>
    <w:p w14:paraId="0B4B4EC2" w14:textId="77777777" w:rsidR="00337BDD" w:rsidRDefault="00337BDD" w:rsidP="00337BDD">
      <w:pPr>
        <w:rPr>
          <w:rFonts w:ascii="Calibri" w:hAnsi="Calibri"/>
          <w:sz w:val="22"/>
          <w:szCs w:val="22"/>
          <w:u w:val="single"/>
        </w:rPr>
      </w:pPr>
    </w:p>
    <w:p w14:paraId="631930A1" w14:textId="77777777" w:rsidR="00337BDD" w:rsidRDefault="00337BDD" w:rsidP="00337BDD">
      <w:pPr>
        <w:rPr>
          <w:rFonts w:ascii="Calibri" w:hAnsi="Calibri"/>
          <w:sz w:val="22"/>
          <w:szCs w:val="22"/>
          <w:u w:val="single"/>
        </w:rPr>
      </w:pPr>
    </w:p>
    <w:p w14:paraId="586B8D9E" w14:textId="77777777" w:rsidR="00337BDD" w:rsidRDefault="00337BDD" w:rsidP="00337BDD">
      <w:pPr>
        <w:rPr>
          <w:rFonts w:ascii="Calibri" w:hAnsi="Calibri"/>
          <w:sz w:val="22"/>
          <w:szCs w:val="22"/>
          <w:u w:val="single"/>
        </w:rPr>
      </w:pPr>
    </w:p>
    <w:p w14:paraId="3124CD47" w14:textId="77777777" w:rsidR="00337BDD" w:rsidRDefault="00337BDD" w:rsidP="00337BDD">
      <w:pPr>
        <w:rPr>
          <w:rFonts w:ascii="Calibri" w:hAnsi="Calibri"/>
          <w:sz w:val="22"/>
          <w:szCs w:val="22"/>
          <w:u w:val="single"/>
        </w:rPr>
      </w:pPr>
    </w:p>
    <w:p w14:paraId="6BE3DF54" w14:textId="77777777" w:rsidR="00337BDD" w:rsidRDefault="00337BDD" w:rsidP="00337BDD">
      <w:pPr>
        <w:rPr>
          <w:rFonts w:ascii="Calibri" w:hAnsi="Calibri"/>
          <w:sz w:val="22"/>
          <w:szCs w:val="22"/>
          <w:u w:val="single"/>
        </w:rPr>
      </w:pPr>
    </w:p>
    <w:p w14:paraId="1FFB7EBF" w14:textId="77777777" w:rsidR="00337BDD" w:rsidRDefault="00337BDD" w:rsidP="00337BDD">
      <w:pPr>
        <w:rPr>
          <w:rFonts w:ascii="Calibri" w:hAnsi="Calibri"/>
          <w:sz w:val="22"/>
          <w:szCs w:val="22"/>
          <w:u w:val="single"/>
        </w:rPr>
      </w:pPr>
    </w:p>
    <w:p w14:paraId="0E3A2827" w14:textId="77777777" w:rsidR="00337BDD" w:rsidRDefault="00337BDD" w:rsidP="00337BDD">
      <w:pPr>
        <w:rPr>
          <w:rFonts w:ascii="Calibri" w:hAnsi="Calibri"/>
          <w:sz w:val="22"/>
          <w:szCs w:val="22"/>
          <w:u w:val="single"/>
        </w:rPr>
      </w:pPr>
    </w:p>
    <w:p w14:paraId="68230D93" w14:textId="77777777" w:rsidR="00337BDD" w:rsidRDefault="00337BDD" w:rsidP="00337BDD">
      <w:pPr>
        <w:rPr>
          <w:rFonts w:ascii="Calibri" w:hAnsi="Calibri"/>
          <w:sz w:val="22"/>
          <w:szCs w:val="22"/>
          <w:u w:val="single"/>
        </w:rPr>
      </w:pPr>
    </w:p>
    <w:p w14:paraId="23CC9D17" w14:textId="77777777" w:rsidR="00337BDD" w:rsidRDefault="00337BDD" w:rsidP="00337BDD">
      <w:pPr>
        <w:rPr>
          <w:rFonts w:ascii="Calibri" w:hAnsi="Calibri"/>
          <w:sz w:val="22"/>
          <w:szCs w:val="22"/>
          <w:u w:val="single"/>
        </w:rPr>
      </w:pPr>
    </w:p>
    <w:p w14:paraId="7BB34947" w14:textId="77777777" w:rsidR="00337BDD" w:rsidRDefault="00337BDD" w:rsidP="00337BDD">
      <w:pPr>
        <w:rPr>
          <w:rFonts w:ascii="Calibri" w:hAnsi="Calibri"/>
          <w:sz w:val="22"/>
          <w:szCs w:val="22"/>
          <w:u w:val="single"/>
        </w:rPr>
      </w:pPr>
    </w:p>
    <w:p w14:paraId="280F2567" w14:textId="77777777" w:rsidR="00337BDD" w:rsidRDefault="00337BDD" w:rsidP="00337BDD">
      <w:pPr>
        <w:rPr>
          <w:rFonts w:ascii="Calibri" w:hAnsi="Calibri"/>
          <w:sz w:val="22"/>
          <w:szCs w:val="22"/>
          <w:u w:val="single"/>
        </w:rPr>
      </w:pPr>
    </w:p>
    <w:p w14:paraId="681A9697" w14:textId="77777777" w:rsidR="00337BDD" w:rsidRDefault="00337BDD" w:rsidP="00337BDD">
      <w:pPr>
        <w:rPr>
          <w:rFonts w:ascii="Calibri" w:hAnsi="Calibri"/>
          <w:sz w:val="22"/>
          <w:szCs w:val="22"/>
          <w:u w:val="single"/>
        </w:rPr>
      </w:pPr>
    </w:p>
    <w:p w14:paraId="5F100535" w14:textId="77777777" w:rsidR="00337BDD" w:rsidRDefault="00337BDD" w:rsidP="00337BDD">
      <w:pPr>
        <w:rPr>
          <w:rFonts w:ascii="Calibri" w:hAnsi="Calibri"/>
          <w:sz w:val="22"/>
          <w:szCs w:val="22"/>
          <w:u w:val="single"/>
        </w:rPr>
      </w:pPr>
    </w:p>
    <w:p w14:paraId="04A4A0BE" w14:textId="77777777" w:rsidR="00337BDD" w:rsidRDefault="00337BDD" w:rsidP="00337BDD">
      <w:pPr>
        <w:rPr>
          <w:rFonts w:ascii="Calibri" w:hAnsi="Calibri"/>
          <w:sz w:val="22"/>
          <w:szCs w:val="22"/>
          <w:u w:val="single"/>
        </w:rPr>
      </w:pPr>
    </w:p>
    <w:p w14:paraId="3AB74E5F" w14:textId="77777777" w:rsidR="00337BDD" w:rsidRDefault="00337BDD" w:rsidP="00337BDD">
      <w:pPr>
        <w:rPr>
          <w:rFonts w:ascii="Calibri" w:hAnsi="Calibri"/>
          <w:sz w:val="22"/>
          <w:szCs w:val="22"/>
          <w:u w:val="single"/>
        </w:rPr>
      </w:pPr>
    </w:p>
    <w:p w14:paraId="254678F1" w14:textId="77777777" w:rsidR="00337BDD" w:rsidRDefault="00337BDD" w:rsidP="00337BDD">
      <w:pPr>
        <w:rPr>
          <w:rFonts w:ascii="Calibri" w:hAnsi="Calibri"/>
          <w:sz w:val="22"/>
          <w:szCs w:val="22"/>
          <w:u w:val="single"/>
        </w:rPr>
      </w:pPr>
    </w:p>
    <w:p w14:paraId="1B9A74A5" w14:textId="77777777" w:rsidR="00337BDD" w:rsidRDefault="00337BDD" w:rsidP="00337BDD">
      <w:pPr>
        <w:rPr>
          <w:rFonts w:ascii="Calibri" w:hAnsi="Calibri"/>
          <w:sz w:val="22"/>
          <w:szCs w:val="22"/>
          <w:u w:val="single"/>
        </w:rPr>
      </w:pPr>
    </w:p>
    <w:p w14:paraId="0F798F2C" w14:textId="77777777" w:rsidR="00337BDD" w:rsidRDefault="00337BDD" w:rsidP="00337BDD">
      <w:pPr>
        <w:rPr>
          <w:rFonts w:ascii="Calibri" w:hAnsi="Calibri"/>
          <w:sz w:val="22"/>
          <w:szCs w:val="22"/>
          <w:u w:val="single"/>
        </w:rPr>
      </w:pPr>
    </w:p>
    <w:p w14:paraId="45764B6C" w14:textId="77777777" w:rsidR="00337BDD" w:rsidRDefault="00337BDD" w:rsidP="00337BDD">
      <w:pPr>
        <w:rPr>
          <w:rFonts w:ascii="Calibri" w:hAnsi="Calibri"/>
          <w:sz w:val="22"/>
          <w:szCs w:val="22"/>
          <w:u w:val="single"/>
        </w:rPr>
      </w:pPr>
    </w:p>
    <w:p w14:paraId="6638502A" w14:textId="77777777" w:rsidR="00337BDD" w:rsidRDefault="00337BDD" w:rsidP="00337BDD">
      <w:pPr>
        <w:rPr>
          <w:rFonts w:ascii="Calibri" w:hAnsi="Calibri"/>
          <w:sz w:val="22"/>
          <w:szCs w:val="22"/>
          <w:u w:val="single"/>
        </w:rPr>
      </w:pPr>
    </w:p>
    <w:p w14:paraId="482F518D" w14:textId="08A01658" w:rsidR="00337BDD" w:rsidRPr="00337BDD" w:rsidRDefault="00337BDD" w:rsidP="00337BDD">
      <w:pPr>
        <w:rPr>
          <w:rFonts w:ascii="Calibri" w:hAnsi="Calibri"/>
          <w:b/>
          <w:sz w:val="22"/>
          <w:szCs w:val="22"/>
          <w:u w:val="single"/>
        </w:rPr>
      </w:pPr>
      <w:r w:rsidRPr="00337BDD">
        <w:rPr>
          <w:rFonts w:ascii="Calibri" w:hAnsi="Calibri"/>
          <w:b/>
          <w:sz w:val="22"/>
          <w:szCs w:val="22"/>
          <w:u w:val="single"/>
        </w:rPr>
        <w:lastRenderedPageBreak/>
        <w:t>1.0 Introduction</w:t>
      </w:r>
    </w:p>
    <w:p w14:paraId="5A5862BE" w14:textId="1E8AF572" w:rsidR="00337BDD" w:rsidRDefault="00337BDD" w:rsidP="00337BDD">
      <w:pPr>
        <w:rPr>
          <w:rFonts w:ascii="Calibri" w:hAnsi="Calibri" w:cstheme="minorHAnsi"/>
          <w:sz w:val="22"/>
          <w:szCs w:val="22"/>
          <w:lang w:val="en"/>
        </w:rPr>
      </w:pPr>
      <w:r w:rsidRPr="00E57226">
        <w:rPr>
          <w:rFonts w:ascii="Calibri" w:hAnsi="Calibri"/>
          <w:sz w:val="22"/>
          <w:szCs w:val="22"/>
        </w:rPr>
        <w:t>‘With the Islamic banking market valued at over USD.66 trillion, combines with the estimated growth rate of up to 20% year on year, the need for human capital to bring Islamic finance to the level at which it deserves and meet its markets demands is higher</w:t>
      </w:r>
      <w:r w:rsidR="00A14572">
        <w:rPr>
          <w:rFonts w:ascii="Calibri" w:hAnsi="Calibri"/>
          <w:sz w:val="22"/>
          <w:szCs w:val="22"/>
        </w:rPr>
        <w:t xml:space="preserve"> than ever.’ </w:t>
      </w:r>
      <w:sdt>
        <w:sdtPr>
          <w:rPr>
            <w:rFonts w:ascii="Calibri" w:hAnsi="Calibri"/>
            <w:sz w:val="22"/>
            <w:szCs w:val="22"/>
          </w:rPr>
          <w:id w:val="-935287489"/>
          <w:citation/>
        </w:sdtPr>
        <w:sdtContent>
          <w:r w:rsidR="00A14572">
            <w:rPr>
              <w:rFonts w:ascii="Calibri" w:hAnsi="Calibri"/>
              <w:sz w:val="22"/>
              <w:szCs w:val="22"/>
            </w:rPr>
            <w:fldChar w:fldCharType="begin"/>
          </w:r>
          <w:r w:rsidR="00A14572">
            <w:rPr>
              <w:rFonts w:ascii="Calibri" w:hAnsi="Calibri"/>
              <w:sz w:val="22"/>
              <w:szCs w:val="22"/>
            </w:rPr>
            <w:instrText xml:space="preserve"> CITATION Amb17 \l 2057 </w:instrText>
          </w:r>
          <w:r w:rsidR="00A14572">
            <w:rPr>
              <w:rFonts w:ascii="Calibri" w:hAnsi="Calibri"/>
              <w:sz w:val="22"/>
              <w:szCs w:val="22"/>
            </w:rPr>
            <w:fldChar w:fldCharType="separate"/>
          </w:r>
          <w:r w:rsidR="00C710D3" w:rsidRPr="00C710D3">
            <w:rPr>
              <w:rFonts w:ascii="Calibri" w:hAnsi="Calibri"/>
              <w:noProof/>
              <w:sz w:val="22"/>
              <w:szCs w:val="22"/>
            </w:rPr>
            <w:t>(Ambrose, 2017)</w:t>
          </w:r>
          <w:r w:rsidR="00A14572">
            <w:rPr>
              <w:rFonts w:ascii="Calibri" w:hAnsi="Calibri"/>
              <w:sz w:val="22"/>
              <w:szCs w:val="22"/>
            </w:rPr>
            <w:fldChar w:fldCharType="end"/>
          </w:r>
        </w:sdtContent>
      </w:sdt>
      <w:r w:rsidR="00A14572">
        <w:rPr>
          <w:rFonts w:ascii="Calibri" w:hAnsi="Calibri"/>
          <w:sz w:val="22"/>
          <w:szCs w:val="22"/>
        </w:rPr>
        <w:t xml:space="preserve"> </w:t>
      </w:r>
      <w:r w:rsidR="001066D4">
        <w:rPr>
          <w:rFonts w:ascii="Calibri" w:hAnsi="Calibri"/>
          <w:sz w:val="22"/>
          <w:szCs w:val="22"/>
        </w:rPr>
        <w:t xml:space="preserve">Sharia </w:t>
      </w:r>
      <w:r w:rsidRPr="00E57226">
        <w:rPr>
          <w:rFonts w:ascii="Calibri" w:hAnsi="Calibri"/>
          <w:sz w:val="22"/>
          <w:szCs w:val="22"/>
        </w:rPr>
        <w:t xml:space="preserve">law is based on the Quran and the Prophet Muhammad and it advocates shared risk and justice. </w:t>
      </w:r>
      <w:r>
        <w:rPr>
          <w:rFonts w:ascii="Calibri" w:hAnsi="Calibri"/>
          <w:sz w:val="22"/>
          <w:szCs w:val="22"/>
        </w:rPr>
        <w:t xml:space="preserve">A chief variance from traditional banking </w:t>
      </w:r>
      <w:r w:rsidR="00F81D29">
        <w:rPr>
          <w:rFonts w:ascii="Calibri" w:hAnsi="Calibri"/>
          <w:sz w:val="22"/>
          <w:szCs w:val="22"/>
        </w:rPr>
        <w:t xml:space="preserve">is </w:t>
      </w:r>
      <w:r>
        <w:rPr>
          <w:rFonts w:ascii="Calibri" w:hAnsi="Calibri"/>
          <w:sz w:val="22"/>
          <w:szCs w:val="22"/>
        </w:rPr>
        <w:t>riba</w:t>
      </w:r>
      <w:r w:rsidR="00F81D29">
        <w:rPr>
          <w:rFonts w:ascii="Calibri" w:hAnsi="Calibri"/>
          <w:sz w:val="22"/>
          <w:szCs w:val="22"/>
        </w:rPr>
        <w:t>;</w:t>
      </w:r>
      <w:r w:rsidRPr="00857AD0">
        <w:rPr>
          <w:rFonts w:ascii="Calibri" w:hAnsi="Calibri"/>
          <w:sz w:val="22"/>
          <w:szCs w:val="22"/>
        </w:rPr>
        <w:t xml:space="preserve"> </w:t>
      </w:r>
      <w:r w:rsidRPr="00857AD0">
        <w:rPr>
          <w:rFonts w:ascii="Calibri" w:hAnsi="Calibri" w:cstheme="minorHAnsi"/>
          <w:sz w:val="22"/>
          <w:szCs w:val="22"/>
          <w:lang w:val="en"/>
        </w:rPr>
        <w:t>money mustn’t generate money.</w:t>
      </w:r>
      <w:r>
        <w:rPr>
          <w:rFonts w:ascii="Calibri" w:hAnsi="Calibri" w:cstheme="minorHAnsi"/>
          <w:sz w:val="22"/>
          <w:szCs w:val="22"/>
          <w:lang w:val="en"/>
        </w:rPr>
        <w:t xml:space="preserve"> IF looks to consider the economy as a whole, as appose to individual profits. Malaysia and Bahrain act as examples in the field, whereby they are signifying positive progress</w:t>
      </w:r>
      <w:r w:rsidR="00663917">
        <w:rPr>
          <w:rFonts w:ascii="Calibri" w:hAnsi="Calibri" w:cstheme="minorHAnsi"/>
          <w:sz w:val="22"/>
          <w:szCs w:val="22"/>
          <w:lang w:val="en"/>
        </w:rPr>
        <w:t xml:space="preserve"> of IF</w:t>
      </w:r>
      <w:r>
        <w:rPr>
          <w:rFonts w:ascii="Calibri" w:hAnsi="Calibri" w:cstheme="minorHAnsi"/>
          <w:sz w:val="22"/>
          <w:szCs w:val="22"/>
          <w:lang w:val="en"/>
        </w:rPr>
        <w:t xml:space="preserve">. However, throughout this assignment, I also aim to provide somewhat of a critical viewpoint to assess if </w:t>
      </w:r>
      <w:proofErr w:type="spellStart"/>
      <w:r>
        <w:rPr>
          <w:rFonts w:ascii="Calibri" w:hAnsi="Calibri" w:cstheme="minorHAnsi"/>
          <w:sz w:val="22"/>
          <w:szCs w:val="22"/>
          <w:lang w:val="en"/>
        </w:rPr>
        <w:t>IF</w:t>
      </w:r>
      <w:proofErr w:type="spellEnd"/>
      <w:r>
        <w:rPr>
          <w:rFonts w:ascii="Calibri" w:hAnsi="Calibri" w:cstheme="minorHAnsi"/>
          <w:sz w:val="22"/>
          <w:szCs w:val="22"/>
          <w:lang w:val="en"/>
        </w:rPr>
        <w:t xml:space="preserve"> is susceptible to weaknesses. With statistical evidence and real case studies, I will also generate argument based on the degree in which IF is affected by economic peaks and troughs. </w:t>
      </w:r>
    </w:p>
    <w:p w14:paraId="1E0BCD2A" w14:textId="77777777" w:rsidR="00971391" w:rsidRPr="00E57226" w:rsidRDefault="00971391" w:rsidP="00337BDD">
      <w:pPr>
        <w:rPr>
          <w:rFonts w:ascii="Calibri" w:hAnsi="Calibri"/>
          <w:sz w:val="22"/>
          <w:szCs w:val="22"/>
          <w:u w:val="single"/>
        </w:rPr>
      </w:pPr>
    </w:p>
    <w:p w14:paraId="5A297B35" w14:textId="21A451B3" w:rsidR="00F0633E" w:rsidRDefault="00DD7F96">
      <w:pPr>
        <w:rPr>
          <w:rFonts w:cstheme="minorHAnsi"/>
          <w:b/>
          <w:noProof/>
          <w:sz w:val="22"/>
          <w:szCs w:val="22"/>
          <w:u w:val="single"/>
          <w:lang w:eastAsia="en-GB"/>
        </w:rPr>
      </w:pPr>
      <w:r w:rsidRPr="00337BDD">
        <w:rPr>
          <w:rFonts w:cstheme="minorHAnsi"/>
          <w:b/>
          <w:noProof/>
          <w:sz w:val="22"/>
          <w:szCs w:val="22"/>
          <w:u w:val="single"/>
          <w:lang w:eastAsia="en-GB"/>
        </w:rPr>
        <w:t xml:space="preserve">2.0 </w:t>
      </w:r>
      <w:r w:rsidR="00F0633E" w:rsidRPr="00337BDD">
        <w:rPr>
          <w:rFonts w:cstheme="minorHAnsi"/>
          <w:b/>
          <w:noProof/>
          <w:sz w:val="22"/>
          <w:szCs w:val="22"/>
          <w:u w:val="single"/>
          <w:lang w:eastAsia="en-GB"/>
        </w:rPr>
        <w:t>Main Findings</w:t>
      </w:r>
    </w:p>
    <w:p w14:paraId="37DEF59A" w14:textId="77777777" w:rsidR="00971391" w:rsidRPr="00337BDD" w:rsidRDefault="00971391">
      <w:pPr>
        <w:rPr>
          <w:rFonts w:cstheme="minorHAnsi"/>
          <w:b/>
          <w:noProof/>
          <w:sz w:val="22"/>
          <w:szCs w:val="22"/>
          <w:u w:val="single"/>
          <w:lang w:eastAsia="en-GB"/>
        </w:rPr>
      </w:pPr>
    </w:p>
    <w:p w14:paraId="57D023E8" w14:textId="2E40CA7B" w:rsidR="00171D1A" w:rsidRPr="00337BDD" w:rsidRDefault="00DD7F96">
      <w:pPr>
        <w:rPr>
          <w:rFonts w:cstheme="minorHAnsi"/>
          <w:b/>
          <w:noProof/>
          <w:sz w:val="22"/>
          <w:szCs w:val="22"/>
          <w:u w:val="single"/>
          <w:lang w:eastAsia="en-GB"/>
        </w:rPr>
      </w:pPr>
      <w:r w:rsidRPr="00337BDD">
        <w:rPr>
          <w:rFonts w:cstheme="minorHAnsi"/>
          <w:b/>
          <w:noProof/>
          <w:sz w:val="22"/>
          <w:szCs w:val="22"/>
          <w:u w:val="single"/>
          <w:lang w:eastAsia="en-GB"/>
        </w:rPr>
        <w:t xml:space="preserve">2.1 </w:t>
      </w:r>
      <w:r w:rsidR="00A77BE5" w:rsidRPr="00337BDD">
        <w:rPr>
          <w:rFonts w:cstheme="minorHAnsi"/>
          <w:b/>
          <w:noProof/>
          <w:sz w:val="22"/>
          <w:szCs w:val="22"/>
          <w:u w:val="single"/>
          <w:lang w:eastAsia="en-GB"/>
        </w:rPr>
        <w:t xml:space="preserve">Success of </w:t>
      </w:r>
      <w:r w:rsidR="00C7698B" w:rsidRPr="00337BDD">
        <w:rPr>
          <w:rFonts w:cstheme="minorHAnsi"/>
          <w:b/>
          <w:noProof/>
          <w:sz w:val="22"/>
          <w:szCs w:val="22"/>
          <w:u w:val="single"/>
          <w:lang w:eastAsia="en-GB"/>
        </w:rPr>
        <w:t>Islamic Finance</w:t>
      </w:r>
    </w:p>
    <w:p w14:paraId="49C41DAE" w14:textId="5A6817B2" w:rsidR="00EE1E09" w:rsidRPr="00481FA5" w:rsidRDefault="00310FBC" w:rsidP="00A77BE5">
      <w:pPr>
        <w:rPr>
          <w:rFonts w:cstheme="minorHAnsi"/>
          <w:i/>
          <w:noProof/>
          <w:u w:val="single"/>
          <w:lang w:eastAsia="en-GB"/>
        </w:rPr>
      </w:pPr>
      <w:r w:rsidRPr="00481FA5">
        <w:rPr>
          <w:rFonts w:cstheme="minorHAnsi"/>
          <w:i/>
          <w:noProof/>
          <w:u w:val="single"/>
          <w:lang w:eastAsia="en-GB"/>
        </w:rPr>
        <w:drawing>
          <wp:anchor distT="0" distB="0" distL="114300" distR="114300" simplePos="0" relativeHeight="251658240" behindDoc="0" locked="0" layoutInCell="1" allowOverlap="1" wp14:anchorId="2837FE71" wp14:editId="6D14477B">
            <wp:simplePos x="0" y="0"/>
            <wp:positionH relativeFrom="column">
              <wp:posOffset>-47625</wp:posOffset>
            </wp:positionH>
            <wp:positionV relativeFrom="paragraph">
              <wp:posOffset>285750</wp:posOffset>
            </wp:positionV>
            <wp:extent cx="2408308" cy="3067050"/>
            <wp:effectExtent l="0" t="0" r="0" b="0"/>
            <wp:wrapSquare wrapText="bothSides"/>
            <wp:docPr id="2" name="Picture 2" descr="Global Islamic finance as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 Islamic finance asset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6277"/>
                    <a:stretch/>
                  </pic:blipFill>
                  <pic:spPr bwMode="auto">
                    <a:xfrm>
                      <a:off x="0" y="0"/>
                      <a:ext cx="2408308" cy="306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1E09" w:rsidRPr="00481FA5">
        <w:rPr>
          <w:rFonts w:cstheme="minorHAnsi"/>
          <w:i/>
          <w:noProof/>
          <w:u w:val="single"/>
          <w:lang w:eastAsia="en-GB"/>
        </w:rPr>
        <w:t>Figure 1</w:t>
      </w:r>
    </w:p>
    <w:p w14:paraId="3772C1C4" w14:textId="7A70F4B1" w:rsidR="00F0633E" w:rsidRDefault="00F0633E" w:rsidP="00A77BE5">
      <w:pPr>
        <w:rPr>
          <w:rFonts w:cstheme="minorHAnsi"/>
          <w:noProof/>
          <w:lang w:eastAsia="en-GB"/>
        </w:rPr>
      </w:pPr>
    </w:p>
    <w:p w14:paraId="1D70DCE7" w14:textId="77777777" w:rsidR="00F0633E" w:rsidRDefault="00F0633E" w:rsidP="00A77BE5">
      <w:pPr>
        <w:rPr>
          <w:rFonts w:cstheme="minorHAnsi"/>
          <w:noProof/>
          <w:lang w:eastAsia="en-GB"/>
        </w:rPr>
      </w:pPr>
    </w:p>
    <w:p w14:paraId="443D6E4E" w14:textId="77777777" w:rsidR="00F0633E" w:rsidRDefault="00F0633E" w:rsidP="00A77BE5">
      <w:pPr>
        <w:rPr>
          <w:rFonts w:cstheme="minorHAnsi"/>
          <w:noProof/>
          <w:lang w:eastAsia="en-GB"/>
        </w:rPr>
      </w:pPr>
    </w:p>
    <w:p w14:paraId="4F807824" w14:textId="77777777" w:rsidR="00F0633E" w:rsidRDefault="00F0633E" w:rsidP="00A77BE5">
      <w:pPr>
        <w:rPr>
          <w:rFonts w:cstheme="minorHAnsi"/>
          <w:noProof/>
          <w:lang w:eastAsia="en-GB"/>
        </w:rPr>
      </w:pPr>
    </w:p>
    <w:p w14:paraId="03943B2F" w14:textId="77777777" w:rsidR="00F0633E" w:rsidRDefault="00F0633E" w:rsidP="00A77BE5">
      <w:pPr>
        <w:rPr>
          <w:rFonts w:cstheme="minorHAnsi"/>
          <w:noProof/>
          <w:lang w:eastAsia="en-GB"/>
        </w:rPr>
      </w:pPr>
    </w:p>
    <w:p w14:paraId="3C4EA937" w14:textId="2423CA22" w:rsidR="00F0633E" w:rsidRDefault="00F0633E" w:rsidP="00A77BE5">
      <w:pPr>
        <w:rPr>
          <w:rFonts w:cstheme="minorHAnsi"/>
          <w:noProof/>
          <w:lang w:eastAsia="en-GB"/>
        </w:rPr>
      </w:pPr>
    </w:p>
    <w:p w14:paraId="75DEE731" w14:textId="77777777" w:rsidR="00F0633E" w:rsidRDefault="00F0633E" w:rsidP="00A77BE5">
      <w:pPr>
        <w:rPr>
          <w:rFonts w:cstheme="minorHAnsi"/>
          <w:noProof/>
          <w:lang w:eastAsia="en-GB"/>
        </w:rPr>
      </w:pPr>
    </w:p>
    <w:p w14:paraId="1127003F" w14:textId="77777777" w:rsidR="00F0633E" w:rsidRDefault="00F0633E" w:rsidP="00A77BE5">
      <w:pPr>
        <w:rPr>
          <w:rFonts w:cstheme="minorHAnsi"/>
          <w:noProof/>
          <w:lang w:eastAsia="en-GB"/>
        </w:rPr>
      </w:pPr>
    </w:p>
    <w:p w14:paraId="17C0BC6E" w14:textId="151694A7" w:rsidR="00F0633E" w:rsidRDefault="00F0633E" w:rsidP="00A77BE5">
      <w:pPr>
        <w:rPr>
          <w:rFonts w:cstheme="minorHAnsi"/>
          <w:noProof/>
          <w:lang w:eastAsia="en-GB"/>
        </w:rPr>
      </w:pPr>
    </w:p>
    <w:p w14:paraId="1E5198D2" w14:textId="77777777" w:rsidR="00733ADF" w:rsidRDefault="00733ADF" w:rsidP="00A77BE5">
      <w:pPr>
        <w:rPr>
          <w:rFonts w:cstheme="minorHAnsi"/>
          <w:noProof/>
          <w:lang w:eastAsia="en-GB"/>
        </w:rPr>
      </w:pPr>
    </w:p>
    <w:p w14:paraId="44387F40" w14:textId="2EE68DDF" w:rsidR="00F0633E" w:rsidRPr="00733ADF" w:rsidRDefault="00733ADF" w:rsidP="00733ADF">
      <w:pPr>
        <w:jc w:val="right"/>
        <w:rPr>
          <w:rFonts w:cstheme="minorHAnsi"/>
          <w:noProof/>
          <w:sz w:val="22"/>
          <w:szCs w:val="22"/>
          <w:lang w:eastAsia="en-GB"/>
        </w:rPr>
      </w:pPr>
      <w:sdt>
        <w:sdtPr>
          <w:rPr>
            <w:rFonts w:cstheme="minorHAnsi"/>
            <w:noProof/>
            <w:lang w:eastAsia="en-GB"/>
          </w:rPr>
          <w:id w:val="-834996240"/>
          <w:citation/>
        </w:sdtPr>
        <w:sdtEndPr>
          <w:rPr>
            <w:sz w:val="22"/>
            <w:szCs w:val="22"/>
          </w:rPr>
        </w:sdtEndPr>
        <w:sdtContent>
          <w:r w:rsidRPr="00733ADF">
            <w:rPr>
              <w:rFonts w:cstheme="minorHAnsi"/>
              <w:noProof/>
              <w:sz w:val="22"/>
              <w:szCs w:val="22"/>
              <w:lang w:eastAsia="en-GB"/>
            </w:rPr>
            <w:fldChar w:fldCharType="begin"/>
          </w:r>
          <w:r w:rsidRPr="00733ADF">
            <w:rPr>
              <w:rFonts w:cstheme="minorHAnsi"/>
              <w:noProof/>
              <w:sz w:val="22"/>
              <w:szCs w:val="22"/>
              <w:lang w:eastAsia="en-GB"/>
            </w:rPr>
            <w:instrText xml:space="preserve"> CITATION Jam151 \l 2057 </w:instrText>
          </w:r>
          <w:r w:rsidRPr="00733ADF">
            <w:rPr>
              <w:rFonts w:cstheme="minorHAnsi"/>
              <w:noProof/>
              <w:sz w:val="22"/>
              <w:szCs w:val="22"/>
              <w:lang w:eastAsia="en-GB"/>
            </w:rPr>
            <w:fldChar w:fldCharType="separate"/>
          </w:r>
          <w:r w:rsidR="00C710D3" w:rsidRPr="00C710D3">
            <w:rPr>
              <w:rFonts w:cstheme="minorHAnsi"/>
              <w:noProof/>
              <w:sz w:val="22"/>
              <w:szCs w:val="22"/>
              <w:lang w:eastAsia="en-GB"/>
            </w:rPr>
            <w:t>(Ghalaita, 2015)</w:t>
          </w:r>
          <w:r w:rsidRPr="00733ADF">
            <w:rPr>
              <w:rFonts w:cstheme="minorHAnsi"/>
              <w:noProof/>
              <w:sz w:val="22"/>
              <w:szCs w:val="22"/>
              <w:lang w:eastAsia="en-GB"/>
            </w:rPr>
            <w:fldChar w:fldCharType="end"/>
          </w:r>
        </w:sdtContent>
      </w:sdt>
    </w:p>
    <w:p w14:paraId="44C90BAF" w14:textId="7B101C7B" w:rsidR="00594CF3" w:rsidRPr="00337BDD" w:rsidRDefault="001E0C51" w:rsidP="00C93D0E">
      <w:pPr>
        <w:rPr>
          <w:rFonts w:cstheme="minorHAnsi"/>
          <w:noProof/>
          <w:sz w:val="22"/>
          <w:szCs w:val="22"/>
          <w:lang w:eastAsia="en-GB"/>
        </w:rPr>
      </w:pPr>
      <w:r w:rsidRPr="00337BDD">
        <w:rPr>
          <w:rFonts w:cstheme="minorHAnsi"/>
          <w:noProof/>
          <w:sz w:val="22"/>
          <w:szCs w:val="22"/>
          <w:lang w:eastAsia="en-GB"/>
        </w:rPr>
        <w:t>Figure one reveals the extent of global growth of IF assets betw</w:t>
      </w:r>
      <w:r w:rsidR="006E277B" w:rsidRPr="00337BDD">
        <w:rPr>
          <w:rFonts w:cstheme="minorHAnsi"/>
          <w:noProof/>
          <w:sz w:val="22"/>
          <w:szCs w:val="22"/>
          <w:lang w:eastAsia="en-GB"/>
        </w:rPr>
        <w:t xml:space="preserve">een 2006 to 2013. Although </w:t>
      </w:r>
      <w:r w:rsidRPr="00337BDD">
        <w:rPr>
          <w:rFonts w:cstheme="minorHAnsi"/>
          <w:noProof/>
          <w:sz w:val="22"/>
          <w:szCs w:val="22"/>
          <w:lang w:eastAsia="en-GB"/>
        </w:rPr>
        <w:t xml:space="preserve">not as </w:t>
      </w:r>
      <w:r w:rsidR="00F8417D" w:rsidRPr="00337BDD">
        <w:rPr>
          <w:rFonts w:cstheme="minorHAnsi"/>
          <w:noProof/>
          <w:sz w:val="22"/>
          <w:szCs w:val="22"/>
          <w:lang w:eastAsia="en-GB"/>
        </w:rPr>
        <w:t>current</w:t>
      </w:r>
      <w:r w:rsidRPr="00337BDD">
        <w:rPr>
          <w:rFonts w:cstheme="minorHAnsi"/>
          <w:noProof/>
          <w:sz w:val="22"/>
          <w:szCs w:val="22"/>
          <w:lang w:eastAsia="en-GB"/>
        </w:rPr>
        <w:t xml:space="preserve"> as it could be, it visually represents how Islamic banking has </w:t>
      </w:r>
      <w:r w:rsidR="00EC2D4B" w:rsidRPr="00337BDD">
        <w:rPr>
          <w:rFonts w:cstheme="minorHAnsi"/>
          <w:noProof/>
          <w:sz w:val="22"/>
          <w:szCs w:val="22"/>
          <w:lang w:eastAsia="en-GB"/>
        </w:rPr>
        <w:t xml:space="preserve">sustained an perceptible </w:t>
      </w:r>
      <w:r w:rsidR="00B915A4">
        <w:rPr>
          <w:rFonts w:cstheme="minorHAnsi"/>
          <w:noProof/>
          <w:sz w:val="22"/>
          <w:szCs w:val="22"/>
          <w:lang w:eastAsia="en-GB"/>
        </w:rPr>
        <w:t>increase</w:t>
      </w:r>
      <w:r w:rsidRPr="00337BDD">
        <w:rPr>
          <w:rFonts w:cstheme="minorHAnsi"/>
          <w:noProof/>
          <w:sz w:val="22"/>
          <w:szCs w:val="22"/>
          <w:lang w:eastAsia="en-GB"/>
        </w:rPr>
        <w:t xml:space="preserve">. </w:t>
      </w:r>
      <w:r w:rsidR="005A6080" w:rsidRPr="00337BDD">
        <w:rPr>
          <w:rFonts w:cstheme="minorHAnsi"/>
          <w:noProof/>
          <w:sz w:val="22"/>
          <w:szCs w:val="22"/>
          <w:lang w:eastAsia="en-GB"/>
        </w:rPr>
        <w:t>It seems impressive that in this</w:t>
      </w:r>
      <w:r w:rsidR="004A1A41">
        <w:rPr>
          <w:rFonts w:cstheme="minorHAnsi"/>
          <w:noProof/>
          <w:sz w:val="22"/>
          <w:szCs w:val="22"/>
          <w:lang w:eastAsia="en-GB"/>
        </w:rPr>
        <w:t xml:space="preserve"> 8 year</w:t>
      </w:r>
      <w:r w:rsidR="005A6080" w:rsidRPr="00337BDD">
        <w:rPr>
          <w:rFonts w:cstheme="minorHAnsi"/>
          <w:noProof/>
          <w:sz w:val="22"/>
          <w:szCs w:val="22"/>
          <w:lang w:eastAsia="en-GB"/>
        </w:rPr>
        <w:t xml:space="preserve"> period, global islamic finance assets have increased by just short of $1 trillion. </w:t>
      </w:r>
      <w:r w:rsidRPr="00337BDD">
        <w:rPr>
          <w:rFonts w:cstheme="minorHAnsi"/>
          <w:noProof/>
          <w:sz w:val="22"/>
          <w:szCs w:val="22"/>
          <w:lang w:eastAsia="en-GB"/>
        </w:rPr>
        <w:t xml:space="preserve">The positive correlation signifies </w:t>
      </w:r>
      <w:r w:rsidR="00F8417D" w:rsidRPr="00337BDD">
        <w:rPr>
          <w:rFonts w:cstheme="minorHAnsi"/>
          <w:noProof/>
          <w:sz w:val="22"/>
          <w:szCs w:val="22"/>
          <w:lang w:eastAsia="en-GB"/>
        </w:rPr>
        <w:t>consistant progress</w:t>
      </w:r>
      <w:r w:rsidR="003E263B" w:rsidRPr="00337BDD">
        <w:rPr>
          <w:rFonts w:cstheme="minorHAnsi"/>
          <w:noProof/>
          <w:sz w:val="22"/>
          <w:szCs w:val="22"/>
          <w:lang w:eastAsia="en-GB"/>
        </w:rPr>
        <w:t xml:space="preserve">. It is interesting to note that even in 2008, when the recession caused a global economic crisis, IF still prospered and showed positive signs of </w:t>
      </w:r>
      <w:r w:rsidR="00EC2D4B" w:rsidRPr="00337BDD">
        <w:rPr>
          <w:rFonts w:cstheme="minorHAnsi"/>
          <w:noProof/>
          <w:sz w:val="22"/>
          <w:szCs w:val="22"/>
          <w:lang w:eastAsia="en-GB"/>
        </w:rPr>
        <w:t>development</w:t>
      </w:r>
      <w:r w:rsidR="003E263B" w:rsidRPr="00337BDD">
        <w:rPr>
          <w:rFonts w:cstheme="minorHAnsi"/>
          <w:noProof/>
          <w:sz w:val="22"/>
          <w:szCs w:val="22"/>
          <w:lang w:eastAsia="en-GB"/>
        </w:rPr>
        <w:t xml:space="preserve">. </w:t>
      </w:r>
    </w:p>
    <w:p w14:paraId="4C2279BB" w14:textId="482AAFC2" w:rsidR="00C93D0E" w:rsidRPr="00594CF3" w:rsidRDefault="00334BB9" w:rsidP="00C93D0E">
      <w:pPr>
        <w:rPr>
          <w:rFonts w:cstheme="minorHAnsi"/>
          <w:noProof/>
          <w:lang w:eastAsia="en-GB"/>
        </w:rPr>
      </w:pPr>
      <w:r w:rsidRPr="00520292">
        <w:rPr>
          <w:rFonts w:cstheme="minorHAnsi"/>
          <w:noProof/>
          <w:lang w:eastAsia="en-GB"/>
        </w:rPr>
        <w:lastRenderedPageBreak/>
        <w:drawing>
          <wp:anchor distT="0" distB="0" distL="114300" distR="114300" simplePos="0" relativeHeight="251659264" behindDoc="0" locked="0" layoutInCell="1" allowOverlap="1" wp14:anchorId="4A83D126" wp14:editId="4AEBBF10">
            <wp:simplePos x="0" y="0"/>
            <wp:positionH relativeFrom="column">
              <wp:posOffset>85725</wp:posOffset>
            </wp:positionH>
            <wp:positionV relativeFrom="paragraph">
              <wp:posOffset>276225</wp:posOffset>
            </wp:positionV>
            <wp:extent cx="3830955" cy="2609850"/>
            <wp:effectExtent l="0" t="0" r="0" b="0"/>
            <wp:wrapSquare wrapText="bothSides"/>
            <wp:docPr id="1" name="Picture 1" descr="Image result for islamic finance succes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slamic finance success">
                      <a:hlinkClick r:id="rId9"/>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r="5357" b="7932"/>
                    <a:stretch/>
                  </pic:blipFill>
                  <pic:spPr bwMode="auto">
                    <a:xfrm>
                      <a:off x="0" y="0"/>
                      <a:ext cx="3830955" cy="2609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3D0E" w:rsidRPr="00481FA5">
        <w:rPr>
          <w:rFonts w:cstheme="minorHAnsi"/>
          <w:i/>
          <w:u w:val="single"/>
        </w:rPr>
        <w:t>Figure 2</w:t>
      </w:r>
    </w:p>
    <w:p w14:paraId="51256DA4" w14:textId="374AB5BC" w:rsidR="00F0633E" w:rsidRDefault="00F0633E" w:rsidP="00A77BE5">
      <w:pPr>
        <w:rPr>
          <w:rFonts w:cstheme="minorHAnsi"/>
        </w:rPr>
      </w:pPr>
    </w:p>
    <w:p w14:paraId="4C8220A3" w14:textId="418937F6" w:rsidR="00F0633E" w:rsidRDefault="00F0633E" w:rsidP="00A77BE5">
      <w:pPr>
        <w:rPr>
          <w:rFonts w:cstheme="minorHAnsi"/>
        </w:rPr>
      </w:pPr>
    </w:p>
    <w:p w14:paraId="71C3173E" w14:textId="0CBFB98C" w:rsidR="00F0633E" w:rsidRDefault="00F0633E" w:rsidP="00A77BE5">
      <w:pPr>
        <w:rPr>
          <w:rFonts w:cstheme="minorHAnsi"/>
        </w:rPr>
      </w:pPr>
    </w:p>
    <w:p w14:paraId="096D7E8C" w14:textId="77777777" w:rsidR="00F0633E" w:rsidRDefault="00F0633E" w:rsidP="00A77BE5">
      <w:pPr>
        <w:rPr>
          <w:rFonts w:cstheme="minorHAnsi"/>
        </w:rPr>
      </w:pPr>
    </w:p>
    <w:p w14:paraId="4DAE5D33" w14:textId="46429B4A" w:rsidR="00F0633E" w:rsidRDefault="00F0633E" w:rsidP="00A77BE5">
      <w:pPr>
        <w:rPr>
          <w:rFonts w:cstheme="minorHAnsi"/>
        </w:rPr>
      </w:pPr>
    </w:p>
    <w:p w14:paraId="1F5F4C7A" w14:textId="2D28B65B" w:rsidR="00F0633E" w:rsidRDefault="00F0633E" w:rsidP="00A77BE5">
      <w:pPr>
        <w:rPr>
          <w:rFonts w:cstheme="minorHAnsi"/>
        </w:rPr>
      </w:pPr>
    </w:p>
    <w:p w14:paraId="697719E7" w14:textId="5F3278F5" w:rsidR="00F0633E" w:rsidRDefault="00F0633E" w:rsidP="00A77BE5">
      <w:pPr>
        <w:rPr>
          <w:rFonts w:cstheme="minorHAnsi"/>
        </w:rPr>
      </w:pPr>
    </w:p>
    <w:p w14:paraId="1F546103" w14:textId="339CDF0B" w:rsidR="00F0633E" w:rsidRDefault="00F0633E" w:rsidP="00A77BE5">
      <w:pPr>
        <w:rPr>
          <w:rFonts w:cstheme="minorHAnsi"/>
        </w:rPr>
      </w:pPr>
    </w:p>
    <w:p w14:paraId="41A82D4E" w14:textId="34263969" w:rsidR="00F0633E" w:rsidRDefault="00F0633E" w:rsidP="00A77BE5">
      <w:pPr>
        <w:rPr>
          <w:rFonts w:cstheme="minorHAnsi"/>
        </w:rPr>
      </w:pPr>
    </w:p>
    <w:p w14:paraId="3743DCB9" w14:textId="764E108A" w:rsidR="00853937" w:rsidRDefault="00AA3C2C" w:rsidP="00AA3C2C">
      <w:pPr>
        <w:jc w:val="right"/>
        <w:rPr>
          <w:rFonts w:cstheme="minorHAnsi"/>
          <w:sz w:val="22"/>
          <w:szCs w:val="22"/>
        </w:rPr>
      </w:pPr>
      <w:sdt>
        <w:sdtPr>
          <w:rPr>
            <w:rFonts w:cstheme="minorHAnsi"/>
            <w:sz w:val="22"/>
            <w:szCs w:val="22"/>
          </w:rPr>
          <w:id w:val="-1035649024"/>
          <w:citation/>
        </w:sdtPr>
        <w:sdtContent>
          <w:r>
            <w:rPr>
              <w:rFonts w:cstheme="minorHAnsi"/>
              <w:sz w:val="22"/>
              <w:szCs w:val="22"/>
            </w:rPr>
            <w:fldChar w:fldCharType="begin"/>
          </w:r>
          <w:r>
            <w:rPr>
              <w:rFonts w:cstheme="minorHAnsi"/>
              <w:sz w:val="22"/>
              <w:szCs w:val="22"/>
            </w:rPr>
            <w:instrText xml:space="preserve"> CITATION Yvo17 \l 2057 </w:instrText>
          </w:r>
          <w:r>
            <w:rPr>
              <w:rFonts w:cstheme="minorHAnsi"/>
              <w:sz w:val="22"/>
              <w:szCs w:val="22"/>
            </w:rPr>
            <w:fldChar w:fldCharType="separate"/>
          </w:r>
          <w:r w:rsidR="00C710D3" w:rsidRPr="00C710D3">
            <w:rPr>
              <w:rFonts w:cstheme="minorHAnsi"/>
              <w:noProof/>
              <w:sz w:val="22"/>
              <w:szCs w:val="22"/>
            </w:rPr>
            <w:t>(Tuah, 2017)</w:t>
          </w:r>
          <w:r>
            <w:rPr>
              <w:rFonts w:cstheme="minorHAnsi"/>
              <w:sz w:val="22"/>
              <w:szCs w:val="22"/>
            </w:rPr>
            <w:fldChar w:fldCharType="end"/>
          </w:r>
        </w:sdtContent>
      </w:sdt>
    </w:p>
    <w:p w14:paraId="41223CB3" w14:textId="2470A131" w:rsidR="007B7B15" w:rsidRPr="00310FBC" w:rsidRDefault="00164EE2" w:rsidP="00A77BE5">
      <w:pPr>
        <w:rPr>
          <w:rFonts w:cstheme="minorHAnsi"/>
          <w:sz w:val="22"/>
          <w:szCs w:val="22"/>
        </w:rPr>
      </w:pPr>
      <w:r w:rsidRPr="00310FBC">
        <w:rPr>
          <w:rFonts w:cstheme="minorHAnsi"/>
          <w:sz w:val="22"/>
          <w:szCs w:val="22"/>
        </w:rPr>
        <w:t>Having focusse</w:t>
      </w:r>
      <w:r w:rsidR="00474905">
        <w:rPr>
          <w:rFonts w:cstheme="minorHAnsi"/>
          <w:sz w:val="22"/>
          <w:szCs w:val="22"/>
        </w:rPr>
        <w:t>d on the rise in IF assets</w:t>
      </w:r>
      <w:r w:rsidRPr="00310FBC">
        <w:rPr>
          <w:rFonts w:cstheme="minorHAnsi"/>
          <w:sz w:val="22"/>
          <w:szCs w:val="22"/>
        </w:rPr>
        <w:t xml:space="preserve">, </w:t>
      </w:r>
      <w:r w:rsidR="00CE1BC1" w:rsidRPr="00310FBC">
        <w:rPr>
          <w:rFonts w:cstheme="minorHAnsi"/>
          <w:sz w:val="22"/>
          <w:szCs w:val="22"/>
        </w:rPr>
        <w:t>let’s</w:t>
      </w:r>
      <w:r w:rsidRPr="00310FBC">
        <w:rPr>
          <w:rFonts w:cstheme="minorHAnsi"/>
          <w:sz w:val="22"/>
          <w:szCs w:val="22"/>
        </w:rPr>
        <w:t xml:space="preserve"> compare this to </w:t>
      </w:r>
      <w:r w:rsidR="00B50AA3" w:rsidRPr="00310FBC">
        <w:rPr>
          <w:rFonts w:cstheme="minorHAnsi"/>
          <w:sz w:val="22"/>
          <w:szCs w:val="22"/>
        </w:rPr>
        <w:t xml:space="preserve">the degree of growth </w:t>
      </w:r>
      <w:r w:rsidRPr="00310FBC">
        <w:rPr>
          <w:rFonts w:cstheme="minorHAnsi"/>
          <w:sz w:val="22"/>
          <w:szCs w:val="22"/>
        </w:rPr>
        <w:t xml:space="preserve">of </w:t>
      </w:r>
      <w:r w:rsidR="00E4352B" w:rsidRPr="00310FBC">
        <w:rPr>
          <w:rFonts w:cstheme="minorHAnsi"/>
          <w:sz w:val="22"/>
          <w:szCs w:val="22"/>
        </w:rPr>
        <w:t>conventional banking between 2009 and 2020</w:t>
      </w:r>
      <w:r w:rsidR="00CC4A68" w:rsidRPr="00310FBC">
        <w:rPr>
          <w:rFonts w:cstheme="minorHAnsi"/>
          <w:sz w:val="22"/>
          <w:szCs w:val="22"/>
        </w:rPr>
        <w:t xml:space="preserve"> in Malaysia</w:t>
      </w:r>
      <w:r w:rsidR="00E4352B" w:rsidRPr="00310FBC">
        <w:rPr>
          <w:rFonts w:cstheme="minorHAnsi"/>
          <w:sz w:val="22"/>
          <w:szCs w:val="22"/>
        </w:rPr>
        <w:t xml:space="preserve">. </w:t>
      </w:r>
      <w:r w:rsidR="00B9653D" w:rsidRPr="00310FBC">
        <w:rPr>
          <w:rFonts w:cstheme="minorHAnsi"/>
          <w:sz w:val="22"/>
          <w:szCs w:val="22"/>
        </w:rPr>
        <w:t xml:space="preserve">Where the level of </w:t>
      </w:r>
      <w:r w:rsidR="00334BB9" w:rsidRPr="00310FBC">
        <w:rPr>
          <w:rFonts w:cstheme="minorHAnsi"/>
          <w:sz w:val="22"/>
          <w:szCs w:val="22"/>
        </w:rPr>
        <w:t>traditional</w:t>
      </w:r>
      <w:r w:rsidR="00B9653D" w:rsidRPr="00310FBC">
        <w:rPr>
          <w:rFonts w:cstheme="minorHAnsi"/>
          <w:sz w:val="22"/>
          <w:szCs w:val="22"/>
        </w:rPr>
        <w:t xml:space="preserve"> banking starts </w:t>
      </w:r>
      <w:r w:rsidR="0099265F" w:rsidRPr="00310FBC">
        <w:rPr>
          <w:rFonts w:cstheme="minorHAnsi"/>
          <w:sz w:val="22"/>
          <w:szCs w:val="22"/>
        </w:rPr>
        <w:t>comparatively</w:t>
      </w:r>
      <w:r w:rsidR="00B9653D" w:rsidRPr="00310FBC">
        <w:rPr>
          <w:rFonts w:cstheme="minorHAnsi"/>
          <w:sz w:val="22"/>
          <w:szCs w:val="22"/>
        </w:rPr>
        <w:t xml:space="preserve"> minimal</w:t>
      </w:r>
      <w:r w:rsidR="0099265F" w:rsidRPr="00310FBC">
        <w:rPr>
          <w:rFonts w:cstheme="minorHAnsi"/>
          <w:sz w:val="22"/>
          <w:szCs w:val="22"/>
        </w:rPr>
        <w:t xml:space="preserve"> and continues to diminish</w:t>
      </w:r>
      <w:r w:rsidR="00B9653D" w:rsidRPr="00310FBC">
        <w:rPr>
          <w:rFonts w:cstheme="minorHAnsi"/>
          <w:sz w:val="22"/>
          <w:szCs w:val="22"/>
        </w:rPr>
        <w:t xml:space="preserve"> even into the predicted future, </w:t>
      </w:r>
      <w:r w:rsidR="005E680B" w:rsidRPr="00310FBC">
        <w:rPr>
          <w:rFonts w:cstheme="minorHAnsi"/>
          <w:sz w:val="22"/>
          <w:szCs w:val="22"/>
        </w:rPr>
        <w:t>IF institutions</w:t>
      </w:r>
      <w:r w:rsidR="00B921BE" w:rsidRPr="00310FBC">
        <w:rPr>
          <w:rFonts w:cstheme="minorHAnsi"/>
          <w:sz w:val="22"/>
          <w:szCs w:val="22"/>
        </w:rPr>
        <w:t xml:space="preserve"> have </w:t>
      </w:r>
      <w:r w:rsidR="003176D8" w:rsidRPr="00310FBC">
        <w:rPr>
          <w:rFonts w:cstheme="minorHAnsi"/>
          <w:sz w:val="22"/>
          <w:szCs w:val="22"/>
        </w:rPr>
        <w:t>‘</w:t>
      </w:r>
      <w:r w:rsidR="00B921BE" w:rsidRPr="00310FBC">
        <w:rPr>
          <w:rFonts w:cstheme="minorHAnsi"/>
          <w:sz w:val="22"/>
          <w:szCs w:val="22"/>
        </w:rPr>
        <w:t>been enjoying a sustained period for growth</w:t>
      </w:r>
      <w:r w:rsidR="00B9653D" w:rsidRPr="00310FBC">
        <w:rPr>
          <w:rFonts w:cstheme="minorHAnsi"/>
          <w:sz w:val="22"/>
          <w:szCs w:val="22"/>
        </w:rPr>
        <w:t>.</w:t>
      </w:r>
      <w:r w:rsidR="00630380" w:rsidRPr="00310FBC">
        <w:rPr>
          <w:rFonts w:cstheme="minorHAnsi"/>
          <w:sz w:val="22"/>
          <w:szCs w:val="22"/>
        </w:rPr>
        <w:t xml:space="preserve">’ </w:t>
      </w:r>
      <w:sdt>
        <w:sdtPr>
          <w:rPr>
            <w:rFonts w:cstheme="minorHAnsi"/>
            <w:sz w:val="22"/>
            <w:szCs w:val="22"/>
          </w:rPr>
          <w:id w:val="-300923111"/>
          <w:citation/>
        </w:sdtPr>
        <w:sdtEndPr/>
        <w:sdtContent>
          <w:r w:rsidR="00630380" w:rsidRPr="00310FBC">
            <w:rPr>
              <w:rFonts w:cstheme="minorHAnsi"/>
              <w:sz w:val="22"/>
              <w:szCs w:val="22"/>
            </w:rPr>
            <w:fldChar w:fldCharType="begin"/>
          </w:r>
          <w:r w:rsidR="00630380" w:rsidRPr="00310FBC">
            <w:rPr>
              <w:rFonts w:cstheme="minorHAnsi"/>
              <w:sz w:val="22"/>
              <w:szCs w:val="22"/>
            </w:rPr>
            <w:instrText xml:space="preserve"> CITATION Jam15 \l 2057 </w:instrText>
          </w:r>
          <w:r w:rsidR="00630380" w:rsidRPr="00310FBC">
            <w:rPr>
              <w:rFonts w:cstheme="minorHAnsi"/>
              <w:sz w:val="22"/>
              <w:szCs w:val="22"/>
            </w:rPr>
            <w:fldChar w:fldCharType="separate"/>
          </w:r>
          <w:r w:rsidR="00C710D3" w:rsidRPr="00C710D3">
            <w:rPr>
              <w:rFonts w:cstheme="minorHAnsi"/>
              <w:noProof/>
              <w:sz w:val="22"/>
              <w:szCs w:val="22"/>
            </w:rPr>
            <w:t>(King, 2015)</w:t>
          </w:r>
          <w:r w:rsidR="00630380" w:rsidRPr="00310FBC">
            <w:rPr>
              <w:rFonts w:cstheme="minorHAnsi"/>
              <w:sz w:val="22"/>
              <w:szCs w:val="22"/>
            </w:rPr>
            <w:fldChar w:fldCharType="end"/>
          </w:r>
        </w:sdtContent>
      </w:sdt>
      <w:r w:rsidR="00630380" w:rsidRPr="00310FBC">
        <w:rPr>
          <w:rFonts w:cstheme="minorHAnsi"/>
          <w:sz w:val="22"/>
          <w:szCs w:val="22"/>
        </w:rPr>
        <w:t xml:space="preserve"> </w:t>
      </w:r>
      <w:r w:rsidR="0099265F" w:rsidRPr="00310FBC">
        <w:rPr>
          <w:rFonts w:cstheme="minorHAnsi"/>
          <w:sz w:val="22"/>
          <w:szCs w:val="22"/>
        </w:rPr>
        <w:t>Though</w:t>
      </w:r>
      <w:r w:rsidR="00516BE8" w:rsidRPr="00310FBC">
        <w:rPr>
          <w:rFonts w:cstheme="minorHAnsi"/>
          <w:sz w:val="22"/>
          <w:szCs w:val="22"/>
        </w:rPr>
        <w:t xml:space="preserve"> IF appears to level out somewhat </w:t>
      </w:r>
      <w:r w:rsidR="0099265F" w:rsidRPr="00310FBC">
        <w:rPr>
          <w:rFonts w:cstheme="minorHAnsi"/>
          <w:sz w:val="22"/>
          <w:szCs w:val="22"/>
        </w:rPr>
        <w:t>after 2017, it</w:t>
      </w:r>
      <w:r w:rsidR="007B7B15" w:rsidRPr="00310FBC">
        <w:rPr>
          <w:rFonts w:cstheme="minorHAnsi"/>
          <w:sz w:val="22"/>
          <w:szCs w:val="22"/>
        </w:rPr>
        <w:t xml:space="preserve"> remains a </w:t>
      </w:r>
      <w:r w:rsidR="0099265F" w:rsidRPr="00310FBC">
        <w:rPr>
          <w:rFonts w:cstheme="minorHAnsi"/>
          <w:sz w:val="22"/>
          <w:szCs w:val="22"/>
        </w:rPr>
        <w:t>consistent</w:t>
      </w:r>
      <w:r w:rsidR="007B7B15" w:rsidRPr="00310FBC">
        <w:rPr>
          <w:rFonts w:cstheme="minorHAnsi"/>
          <w:sz w:val="22"/>
          <w:szCs w:val="22"/>
        </w:rPr>
        <w:t xml:space="preserve"> 8% above </w:t>
      </w:r>
      <w:r w:rsidR="0099265F" w:rsidRPr="00310FBC">
        <w:rPr>
          <w:rFonts w:cstheme="minorHAnsi"/>
          <w:sz w:val="22"/>
          <w:szCs w:val="22"/>
        </w:rPr>
        <w:t>convention</w:t>
      </w:r>
      <w:r w:rsidR="00565E2F" w:rsidRPr="00310FBC">
        <w:rPr>
          <w:rFonts w:cstheme="minorHAnsi"/>
          <w:sz w:val="22"/>
          <w:szCs w:val="22"/>
        </w:rPr>
        <w:t>al</w:t>
      </w:r>
      <w:r w:rsidR="007B7B15" w:rsidRPr="00310FBC">
        <w:rPr>
          <w:rFonts w:cstheme="minorHAnsi"/>
          <w:sz w:val="22"/>
          <w:szCs w:val="22"/>
        </w:rPr>
        <w:t xml:space="preserve"> banking while also outstripping the </w:t>
      </w:r>
      <w:r w:rsidR="0099265F" w:rsidRPr="00310FBC">
        <w:rPr>
          <w:rFonts w:cstheme="minorHAnsi"/>
          <w:sz w:val="22"/>
          <w:szCs w:val="22"/>
        </w:rPr>
        <w:t xml:space="preserve">regional </w:t>
      </w:r>
      <w:r w:rsidR="007B7B15" w:rsidRPr="00310FBC">
        <w:rPr>
          <w:rFonts w:cstheme="minorHAnsi"/>
          <w:sz w:val="22"/>
          <w:szCs w:val="22"/>
        </w:rPr>
        <w:t xml:space="preserve">growth of the Islamic industry </w:t>
      </w:r>
      <w:r w:rsidR="0099265F" w:rsidRPr="00310FBC">
        <w:rPr>
          <w:rFonts w:cstheme="minorHAnsi"/>
          <w:sz w:val="22"/>
          <w:szCs w:val="22"/>
        </w:rPr>
        <w:t>in the rest of the world.</w:t>
      </w:r>
      <w:r w:rsidR="00A73FA3" w:rsidRPr="00310FBC">
        <w:rPr>
          <w:rFonts w:cstheme="minorHAnsi"/>
          <w:sz w:val="22"/>
          <w:szCs w:val="22"/>
        </w:rPr>
        <w:t xml:space="preserve"> Sharia compliant banks in this country have exceeded global norms in relation to </w:t>
      </w:r>
      <w:r w:rsidR="003176D8" w:rsidRPr="00310FBC">
        <w:rPr>
          <w:rFonts w:cstheme="minorHAnsi"/>
          <w:sz w:val="22"/>
          <w:szCs w:val="22"/>
        </w:rPr>
        <w:t xml:space="preserve">both </w:t>
      </w:r>
      <w:r w:rsidR="00A73FA3" w:rsidRPr="00310FBC">
        <w:rPr>
          <w:rFonts w:cstheme="minorHAnsi"/>
          <w:sz w:val="22"/>
          <w:szCs w:val="22"/>
        </w:rPr>
        <w:t xml:space="preserve">asset growth and return on assets. </w:t>
      </w:r>
      <w:r w:rsidR="00863CF3" w:rsidRPr="00310FBC">
        <w:rPr>
          <w:rFonts w:cstheme="minorHAnsi"/>
          <w:sz w:val="22"/>
          <w:szCs w:val="22"/>
        </w:rPr>
        <w:t>‘Regulatory support for Islamic finance in Malaysia has levelled the playing field for sharia-compliant lenders, offering clarity and stability. Encouragingly, stronger government support is also emerging from other Association of South-East Asian Nations</w:t>
      </w:r>
      <w:r w:rsidR="00420A96" w:rsidRPr="00310FBC">
        <w:rPr>
          <w:rFonts w:cstheme="minorHAnsi"/>
          <w:sz w:val="22"/>
          <w:szCs w:val="22"/>
        </w:rPr>
        <w:t xml:space="preserve">.’ </w:t>
      </w:r>
      <w:sdt>
        <w:sdtPr>
          <w:rPr>
            <w:rFonts w:cstheme="minorHAnsi"/>
            <w:sz w:val="22"/>
            <w:szCs w:val="22"/>
          </w:rPr>
          <w:id w:val="-1464574267"/>
          <w:citation/>
        </w:sdtPr>
        <w:sdtEndPr/>
        <w:sdtContent>
          <w:r w:rsidR="00420A96" w:rsidRPr="00310FBC">
            <w:rPr>
              <w:rFonts w:cstheme="minorHAnsi"/>
              <w:sz w:val="22"/>
              <w:szCs w:val="22"/>
            </w:rPr>
            <w:fldChar w:fldCharType="begin"/>
          </w:r>
          <w:r w:rsidR="00420A96" w:rsidRPr="00310FBC">
            <w:rPr>
              <w:rFonts w:cstheme="minorHAnsi"/>
              <w:sz w:val="22"/>
              <w:szCs w:val="22"/>
            </w:rPr>
            <w:instrText xml:space="preserve"> CITATION Muz15 \l 2057 </w:instrText>
          </w:r>
          <w:r w:rsidR="00420A96" w:rsidRPr="00310FBC">
            <w:rPr>
              <w:rFonts w:cstheme="minorHAnsi"/>
              <w:sz w:val="22"/>
              <w:szCs w:val="22"/>
            </w:rPr>
            <w:fldChar w:fldCharType="separate"/>
          </w:r>
          <w:r w:rsidR="00C710D3" w:rsidRPr="00C710D3">
            <w:rPr>
              <w:rFonts w:cstheme="minorHAnsi"/>
              <w:noProof/>
              <w:sz w:val="22"/>
              <w:szCs w:val="22"/>
            </w:rPr>
            <w:t>(Hisham, 2015)</w:t>
          </w:r>
          <w:r w:rsidR="00420A96" w:rsidRPr="00310FBC">
            <w:rPr>
              <w:rFonts w:cstheme="minorHAnsi"/>
              <w:sz w:val="22"/>
              <w:szCs w:val="22"/>
            </w:rPr>
            <w:fldChar w:fldCharType="end"/>
          </w:r>
        </w:sdtContent>
      </w:sdt>
    </w:p>
    <w:p w14:paraId="32FF090D" w14:textId="524B94FE" w:rsidR="00594CF3" w:rsidRDefault="00594CF3" w:rsidP="00A77BE5">
      <w:pPr>
        <w:rPr>
          <w:rFonts w:cstheme="minorHAnsi"/>
        </w:rPr>
      </w:pPr>
    </w:p>
    <w:p w14:paraId="25E08ECC" w14:textId="77777777" w:rsidR="008015D4" w:rsidRDefault="008015D4" w:rsidP="00A77BE5">
      <w:pPr>
        <w:rPr>
          <w:rFonts w:cstheme="minorHAnsi"/>
          <w:i/>
          <w:u w:val="single"/>
        </w:rPr>
      </w:pPr>
    </w:p>
    <w:p w14:paraId="286E62E7" w14:textId="77777777" w:rsidR="008015D4" w:rsidRDefault="008015D4" w:rsidP="00A77BE5">
      <w:pPr>
        <w:rPr>
          <w:rFonts w:cstheme="minorHAnsi"/>
          <w:i/>
          <w:u w:val="single"/>
        </w:rPr>
      </w:pPr>
    </w:p>
    <w:p w14:paraId="42439629" w14:textId="77777777" w:rsidR="008015D4" w:rsidRDefault="008015D4" w:rsidP="00A77BE5">
      <w:pPr>
        <w:rPr>
          <w:rFonts w:cstheme="minorHAnsi"/>
          <w:i/>
          <w:u w:val="single"/>
        </w:rPr>
      </w:pPr>
    </w:p>
    <w:p w14:paraId="217594AC" w14:textId="77777777" w:rsidR="008015D4" w:rsidRDefault="008015D4" w:rsidP="00A77BE5">
      <w:pPr>
        <w:rPr>
          <w:rFonts w:cstheme="minorHAnsi"/>
          <w:i/>
          <w:u w:val="single"/>
        </w:rPr>
      </w:pPr>
    </w:p>
    <w:p w14:paraId="39A03CB6" w14:textId="77777777" w:rsidR="008015D4" w:rsidRDefault="008015D4" w:rsidP="00A77BE5">
      <w:pPr>
        <w:rPr>
          <w:rFonts w:cstheme="minorHAnsi"/>
          <w:i/>
          <w:u w:val="single"/>
        </w:rPr>
      </w:pPr>
    </w:p>
    <w:p w14:paraId="532354DE" w14:textId="77777777" w:rsidR="008015D4" w:rsidRDefault="008015D4" w:rsidP="00A77BE5">
      <w:pPr>
        <w:rPr>
          <w:rFonts w:cstheme="minorHAnsi"/>
          <w:i/>
          <w:u w:val="single"/>
        </w:rPr>
      </w:pPr>
    </w:p>
    <w:p w14:paraId="0AD7EFD8" w14:textId="77777777" w:rsidR="008015D4" w:rsidRDefault="008015D4" w:rsidP="00A77BE5">
      <w:pPr>
        <w:rPr>
          <w:rFonts w:cstheme="minorHAnsi"/>
          <w:i/>
          <w:u w:val="single"/>
        </w:rPr>
      </w:pPr>
    </w:p>
    <w:p w14:paraId="2880E7B1" w14:textId="77777777" w:rsidR="008015D4" w:rsidRDefault="008015D4" w:rsidP="00A77BE5">
      <w:pPr>
        <w:rPr>
          <w:rFonts w:cstheme="minorHAnsi"/>
          <w:i/>
          <w:u w:val="single"/>
        </w:rPr>
      </w:pPr>
    </w:p>
    <w:p w14:paraId="30A11BB1" w14:textId="319AB605" w:rsidR="008015D4" w:rsidRDefault="008015D4" w:rsidP="00A77BE5">
      <w:pPr>
        <w:rPr>
          <w:rFonts w:cstheme="minorHAnsi"/>
          <w:i/>
          <w:u w:val="single"/>
        </w:rPr>
      </w:pPr>
    </w:p>
    <w:p w14:paraId="1745A048" w14:textId="77777777" w:rsidR="00964182" w:rsidRDefault="00964182" w:rsidP="00A77BE5">
      <w:pPr>
        <w:rPr>
          <w:rFonts w:cstheme="minorHAnsi"/>
          <w:i/>
          <w:u w:val="single"/>
        </w:rPr>
      </w:pPr>
    </w:p>
    <w:p w14:paraId="0A05BD13" w14:textId="6C3ACBC3" w:rsidR="00E64AF4" w:rsidRPr="008015D4" w:rsidRDefault="00E64AF4" w:rsidP="00A77BE5">
      <w:pPr>
        <w:rPr>
          <w:rFonts w:cstheme="minorHAnsi"/>
          <w:i/>
          <w:u w:val="single"/>
        </w:rPr>
      </w:pPr>
      <w:r w:rsidRPr="00481FA5">
        <w:rPr>
          <w:rFonts w:cstheme="minorHAnsi"/>
          <w:i/>
          <w:u w:val="single"/>
        </w:rPr>
        <w:lastRenderedPageBreak/>
        <w:t>Figure 3</w:t>
      </w:r>
    </w:p>
    <w:p w14:paraId="19333FDF" w14:textId="742410DF" w:rsidR="00E64AF4" w:rsidRPr="00520292" w:rsidRDefault="008015D4" w:rsidP="00A77BE5">
      <w:pPr>
        <w:rPr>
          <w:rFonts w:cstheme="minorHAnsi"/>
        </w:rPr>
      </w:pPr>
      <w:r w:rsidRPr="00481FA5">
        <w:rPr>
          <w:rFonts w:cstheme="minorHAnsi"/>
          <w:i/>
          <w:noProof/>
          <w:color w:val="0000FF"/>
          <w:u w:val="single"/>
          <w:lang w:eastAsia="en-GB"/>
        </w:rPr>
        <w:drawing>
          <wp:anchor distT="0" distB="0" distL="114300" distR="114300" simplePos="0" relativeHeight="251663360" behindDoc="0" locked="0" layoutInCell="1" allowOverlap="1" wp14:anchorId="75E265FF" wp14:editId="08F2705A">
            <wp:simplePos x="0" y="0"/>
            <wp:positionH relativeFrom="column">
              <wp:posOffset>-47625</wp:posOffset>
            </wp:positionH>
            <wp:positionV relativeFrom="paragraph">
              <wp:posOffset>75565</wp:posOffset>
            </wp:positionV>
            <wp:extent cx="5133975" cy="3356610"/>
            <wp:effectExtent l="0" t="0" r="9525" b="0"/>
            <wp:wrapSquare wrapText="bothSides"/>
            <wp:docPr id="6" name="Picture 6" descr="Image result for negative islamic finance statistic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egative islamic finance statistics">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t="9405" r="2267" b="10765"/>
                    <a:stretch/>
                  </pic:blipFill>
                  <pic:spPr bwMode="auto">
                    <a:xfrm>
                      <a:off x="0" y="0"/>
                      <a:ext cx="5133975" cy="3356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2609CE" w14:textId="06BBD3DB" w:rsidR="00AC4A5E" w:rsidRPr="00520292" w:rsidRDefault="00AC4A5E" w:rsidP="00A77BE5">
      <w:pPr>
        <w:rPr>
          <w:rFonts w:cstheme="minorHAnsi"/>
        </w:rPr>
      </w:pPr>
    </w:p>
    <w:p w14:paraId="7452FBB9" w14:textId="77777777" w:rsidR="00E64AF4" w:rsidRPr="00520292" w:rsidRDefault="00E64AF4" w:rsidP="00A77BE5">
      <w:pPr>
        <w:rPr>
          <w:rFonts w:cstheme="minorHAnsi"/>
        </w:rPr>
      </w:pPr>
    </w:p>
    <w:p w14:paraId="3B0AEC39" w14:textId="77777777" w:rsidR="008015D4" w:rsidRDefault="008015D4" w:rsidP="00A77BE5">
      <w:pPr>
        <w:rPr>
          <w:rFonts w:cstheme="minorHAnsi"/>
          <w:sz w:val="22"/>
          <w:szCs w:val="22"/>
        </w:rPr>
      </w:pPr>
    </w:p>
    <w:p w14:paraId="0CF96EAF" w14:textId="77777777" w:rsidR="008015D4" w:rsidRDefault="008015D4" w:rsidP="00A77BE5">
      <w:pPr>
        <w:rPr>
          <w:rFonts w:cstheme="minorHAnsi"/>
          <w:sz w:val="22"/>
          <w:szCs w:val="22"/>
        </w:rPr>
      </w:pPr>
    </w:p>
    <w:p w14:paraId="5EF49CC9" w14:textId="77777777" w:rsidR="008015D4" w:rsidRDefault="008015D4" w:rsidP="00A77BE5">
      <w:pPr>
        <w:rPr>
          <w:rFonts w:cstheme="minorHAnsi"/>
          <w:sz w:val="22"/>
          <w:szCs w:val="22"/>
        </w:rPr>
      </w:pPr>
    </w:p>
    <w:p w14:paraId="74631658" w14:textId="77777777" w:rsidR="008015D4" w:rsidRDefault="008015D4" w:rsidP="00A77BE5">
      <w:pPr>
        <w:rPr>
          <w:rFonts w:cstheme="minorHAnsi"/>
          <w:sz w:val="22"/>
          <w:szCs w:val="22"/>
        </w:rPr>
      </w:pPr>
    </w:p>
    <w:p w14:paraId="61908353" w14:textId="77777777" w:rsidR="008015D4" w:rsidRDefault="008015D4" w:rsidP="00A77BE5">
      <w:pPr>
        <w:rPr>
          <w:rFonts w:cstheme="minorHAnsi"/>
          <w:sz w:val="22"/>
          <w:szCs w:val="22"/>
        </w:rPr>
      </w:pPr>
    </w:p>
    <w:p w14:paraId="5B0A7340" w14:textId="77777777" w:rsidR="008015D4" w:rsidRDefault="008015D4" w:rsidP="00A77BE5">
      <w:pPr>
        <w:rPr>
          <w:rFonts w:cstheme="minorHAnsi"/>
          <w:sz w:val="22"/>
          <w:szCs w:val="22"/>
        </w:rPr>
      </w:pPr>
    </w:p>
    <w:p w14:paraId="7175184D" w14:textId="77777777" w:rsidR="008015D4" w:rsidRDefault="008015D4" w:rsidP="00A77BE5">
      <w:pPr>
        <w:rPr>
          <w:rFonts w:cstheme="minorHAnsi"/>
          <w:sz w:val="22"/>
          <w:szCs w:val="22"/>
        </w:rPr>
      </w:pPr>
    </w:p>
    <w:p w14:paraId="21F32F2C" w14:textId="77777777" w:rsidR="008015D4" w:rsidRDefault="008015D4" w:rsidP="00A77BE5">
      <w:pPr>
        <w:rPr>
          <w:rFonts w:cstheme="minorHAnsi"/>
          <w:sz w:val="22"/>
          <w:szCs w:val="22"/>
        </w:rPr>
      </w:pPr>
    </w:p>
    <w:p w14:paraId="1CECB569" w14:textId="0C36B581" w:rsidR="007A1B2B" w:rsidRDefault="00913F6F" w:rsidP="00913F6F">
      <w:pPr>
        <w:jc w:val="right"/>
        <w:rPr>
          <w:rFonts w:cstheme="minorHAnsi"/>
          <w:sz w:val="22"/>
          <w:szCs w:val="22"/>
        </w:rPr>
      </w:pPr>
      <w:sdt>
        <w:sdtPr>
          <w:rPr>
            <w:rFonts w:cstheme="minorHAnsi"/>
            <w:sz w:val="22"/>
            <w:szCs w:val="22"/>
          </w:rPr>
          <w:id w:val="-1544291815"/>
          <w:citation/>
        </w:sdtPr>
        <w:sdtContent>
          <w:r>
            <w:rPr>
              <w:rFonts w:cstheme="minorHAnsi"/>
              <w:sz w:val="22"/>
              <w:szCs w:val="22"/>
            </w:rPr>
            <w:fldChar w:fldCharType="begin"/>
          </w:r>
          <w:r>
            <w:rPr>
              <w:rFonts w:cstheme="minorHAnsi"/>
              <w:sz w:val="22"/>
              <w:szCs w:val="22"/>
            </w:rPr>
            <w:instrText xml:space="preserve"> CITATION Ern13 \l 2057 </w:instrText>
          </w:r>
          <w:r>
            <w:rPr>
              <w:rFonts w:cstheme="minorHAnsi"/>
              <w:sz w:val="22"/>
              <w:szCs w:val="22"/>
            </w:rPr>
            <w:fldChar w:fldCharType="separate"/>
          </w:r>
          <w:r w:rsidR="00C710D3" w:rsidRPr="00C710D3">
            <w:rPr>
              <w:rFonts w:cstheme="minorHAnsi"/>
              <w:noProof/>
              <w:sz w:val="22"/>
              <w:szCs w:val="22"/>
            </w:rPr>
            <w:t>(Young, 2013)</w:t>
          </w:r>
          <w:r>
            <w:rPr>
              <w:rFonts w:cstheme="minorHAnsi"/>
              <w:sz w:val="22"/>
              <w:szCs w:val="22"/>
            </w:rPr>
            <w:fldChar w:fldCharType="end"/>
          </w:r>
        </w:sdtContent>
      </w:sdt>
    </w:p>
    <w:p w14:paraId="0FE37E35" w14:textId="547B9905" w:rsidR="00175F6A" w:rsidRPr="008015D4" w:rsidRDefault="00FE769C" w:rsidP="00A77BE5">
      <w:pPr>
        <w:rPr>
          <w:rFonts w:cstheme="minorHAnsi"/>
          <w:sz w:val="22"/>
          <w:szCs w:val="22"/>
        </w:rPr>
      </w:pPr>
      <w:r w:rsidRPr="008015D4">
        <w:rPr>
          <w:rFonts w:cstheme="minorHAnsi"/>
          <w:sz w:val="22"/>
          <w:szCs w:val="22"/>
        </w:rPr>
        <w:t>Figure 3 demonstrates</w:t>
      </w:r>
      <w:r w:rsidR="00DC2924" w:rsidRPr="008015D4">
        <w:rPr>
          <w:rFonts w:cstheme="minorHAnsi"/>
          <w:sz w:val="22"/>
          <w:szCs w:val="22"/>
        </w:rPr>
        <w:t xml:space="preserve"> the deeper success of IF in Malaysia. </w:t>
      </w:r>
      <w:r w:rsidR="001D3D84" w:rsidRPr="008015D4">
        <w:rPr>
          <w:rFonts w:cstheme="minorHAnsi"/>
          <w:sz w:val="22"/>
          <w:szCs w:val="22"/>
        </w:rPr>
        <w:t>It illustrates how in each identified factor, IF has stimulate</w:t>
      </w:r>
      <w:r w:rsidR="000A4EC5" w:rsidRPr="008015D4">
        <w:rPr>
          <w:rFonts w:cstheme="minorHAnsi"/>
          <w:sz w:val="22"/>
          <w:szCs w:val="22"/>
        </w:rPr>
        <w:t>d growth and financial securit</w:t>
      </w:r>
      <w:r w:rsidR="00F90631" w:rsidRPr="008015D4">
        <w:rPr>
          <w:rFonts w:cstheme="minorHAnsi"/>
          <w:sz w:val="22"/>
          <w:szCs w:val="22"/>
        </w:rPr>
        <w:t>y within the country.</w:t>
      </w:r>
      <w:r w:rsidR="006A701E" w:rsidRPr="008015D4">
        <w:rPr>
          <w:rFonts w:cstheme="minorHAnsi"/>
          <w:sz w:val="22"/>
          <w:szCs w:val="22"/>
        </w:rPr>
        <w:t xml:space="preserve"> </w:t>
      </w:r>
      <w:r w:rsidR="00F619E8" w:rsidRPr="008015D4">
        <w:rPr>
          <w:rFonts w:cstheme="minorHAnsi"/>
          <w:sz w:val="22"/>
          <w:szCs w:val="22"/>
        </w:rPr>
        <w:t>Empirical</w:t>
      </w:r>
      <w:r w:rsidR="00094D56" w:rsidRPr="008015D4">
        <w:rPr>
          <w:rFonts w:cstheme="minorHAnsi"/>
          <w:sz w:val="22"/>
          <w:szCs w:val="22"/>
        </w:rPr>
        <w:t xml:space="preserve"> evidence supports this concept. </w:t>
      </w:r>
      <w:r w:rsidR="006A701E" w:rsidRPr="008015D4">
        <w:rPr>
          <w:rFonts w:cstheme="minorHAnsi"/>
          <w:sz w:val="22"/>
          <w:szCs w:val="22"/>
        </w:rPr>
        <w:t xml:space="preserve">The </w:t>
      </w:r>
      <w:r w:rsidR="00830F49">
        <w:rPr>
          <w:rFonts w:cstheme="minorHAnsi"/>
          <w:sz w:val="22"/>
          <w:szCs w:val="22"/>
        </w:rPr>
        <w:t>CIA</w:t>
      </w:r>
      <w:r w:rsidR="00094D56" w:rsidRPr="008015D4">
        <w:rPr>
          <w:rFonts w:cstheme="minorHAnsi"/>
          <w:sz w:val="22"/>
          <w:szCs w:val="22"/>
        </w:rPr>
        <w:t xml:space="preserve"> </w:t>
      </w:r>
      <w:r w:rsidR="00FC642E" w:rsidRPr="008015D4">
        <w:rPr>
          <w:rFonts w:cstheme="minorHAnsi"/>
          <w:sz w:val="22"/>
          <w:szCs w:val="22"/>
        </w:rPr>
        <w:t>website</w:t>
      </w:r>
      <w:r w:rsidR="00FC642E">
        <w:rPr>
          <w:rFonts w:cstheme="minorHAnsi"/>
          <w:sz w:val="22"/>
          <w:szCs w:val="22"/>
        </w:rPr>
        <w:t>,</w:t>
      </w:r>
      <w:sdt>
        <w:sdtPr>
          <w:rPr>
            <w:rFonts w:cstheme="minorHAnsi"/>
            <w:sz w:val="22"/>
            <w:szCs w:val="22"/>
          </w:rPr>
          <w:id w:val="1857996565"/>
          <w:citation/>
        </w:sdtPr>
        <w:sdtContent>
          <w:r w:rsidR="00DD559C">
            <w:rPr>
              <w:rFonts w:cstheme="minorHAnsi"/>
              <w:sz w:val="22"/>
              <w:szCs w:val="22"/>
            </w:rPr>
            <w:fldChar w:fldCharType="begin"/>
          </w:r>
          <w:r w:rsidR="00DD559C">
            <w:rPr>
              <w:rFonts w:cstheme="minorHAnsi"/>
              <w:sz w:val="22"/>
              <w:szCs w:val="22"/>
            </w:rPr>
            <w:instrText xml:space="preserve"> CITATION Cen171 \l 2057 </w:instrText>
          </w:r>
          <w:r w:rsidR="00DD559C">
            <w:rPr>
              <w:rFonts w:cstheme="minorHAnsi"/>
              <w:sz w:val="22"/>
              <w:szCs w:val="22"/>
            </w:rPr>
            <w:fldChar w:fldCharType="separate"/>
          </w:r>
          <w:r w:rsidR="00C710D3">
            <w:rPr>
              <w:rFonts w:cstheme="minorHAnsi"/>
              <w:noProof/>
              <w:sz w:val="22"/>
              <w:szCs w:val="22"/>
            </w:rPr>
            <w:t xml:space="preserve"> </w:t>
          </w:r>
          <w:r w:rsidR="00C710D3" w:rsidRPr="00C710D3">
            <w:rPr>
              <w:rFonts w:cstheme="minorHAnsi"/>
              <w:noProof/>
              <w:sz w:val="22"/>
              <w:szCs w:val="22"/>
            </w:rPr>
            <w:t>(Central Intelligence Agency, 2017)</w:t>
          </w:r>
          <w:r w:rsidR="00DD559C">
            <w:rPr>
              <w:rFonts w:cstheme="minorHAnsi"/>
              <w:sz w:val="22"/>
              <w:szCs w:val="22"/>
            </w:rPr>
            <w:fldChar w:fldCharType="end"/>
          </w:r>
        </w:sdtContent>
      </w:sdt>
      <w:r w:rsidR="00535499">
        <w:rPr>
          <w:rFonts w:cstheme="minorHAnsi"/>
          <w:sz w:val="22"/>
          <w:szCs w:val="22"/>
        </w:rPr>
        <w:t xml:space="preserve">, </w:t>
      </w:r>
      <w:r w:rsidR="00094D56" w:rsidRPr="008015D4">
        <w:rPr>
          <w:rFonts w:cstheme="minorHAnsi"/>
          <w:sz w:val="22"/>
          <w:szCs w:val="22"/>
        </w:rPr>
        <w:t>reveals that Malaysia’s current GDP purchasing power parity sits at $933.3 billion</w:t>
      </w:r>
      <w:r w:rsidR="00883426">
        <w:rPr>
          <w:rFonts w:cstheme="minorHAnsi"/>
          <w:sz w:val="22"/>
          <w:szCs w:val="22"/>
        </w:rPr>
        <w:t xml:space="preserve"> and</w:t>
      </w:r>
      <w:r w:rsidR="00AF6735" w:rsidRPr="008015D4">
        <w:rPr>
          <w:rFonts w:cstheme="minorHAnsi"/>
          <w:sz w:val="22"/>
          <w:szCs w:val="22"/>
        </w:rPr>
        <w:t xml:space="preserve"> is positioned </w:t>
      </w:r>
      <w:r w:rsidR="00175F6A" w:rsidRPr="008015D4">
        <w:rPr>
          <w:rFonts w:cstheme="minorHAnsi"/>
          <w:sz w:val="22"/>
          <w:szCs w:val="22"/>
        </w:rPr>
        <w:t xml:space="preserve">an impressive </w:t>
      </w:r>
      <w:r w:rsidR="00AF6735" w:rsidRPr="008015D4">
        <w:rPr>
          <w:rFonts w:cstheme="minorHAnsi"/>
          <w:sz w:val="22"/>
          <w:szCs w:val="22"/>
        </w:rPr>
        <w:t>26</w:t>
      </w:r>
      <w:r w:rsidR="00AF6735" w:rsidRPr="008015D4">
        <w:rPr>
          <w:rFonts w:cstheme="minorHAnsi"/>
          <w:sz w:val="22"/>
          <w:szCs w:val="22"/>
          <w:vertAlign w:val="superscript"/>
        </w:rPr>
        <w:t>th</w:t>
      </w:r>
      <w:r w:rsidR="008221F2" w:rsidRPr="008015D4">
        <w:rPr>
          <w:rFonts w:cstheme="minorHAnsi"/>
          <w:sz w:val="22"/>
          <w:szCs w:val="22"/>
        </w:rPr>
        <w:t xml:space="preserve"> in comparison to the world. </w:t>
      </w:r>
      <w:r w:rsidR="006E277B" w:rsidRPr="008015D4">
        <w:rPr>
          <w:rFonts w:cstheme="minorHAnsi"/>
          <w:sz w:val="22"/>
          <w:szCs w:val="22"/>
        </w:rPr>
        <w:t>With</w:t>
      </w:r>
      <w:r w:rsidR="008221F2" w:rsidRPr="008015D4">
        <w:rPr>
          <w:rFonts w:cstheme="minorHAnsi"/>
          <w:sz w:val="22"/>
          <w:szCs w:val="22"/>
        </w:rPr>
        <w:t xml:space="preserve"> strong co</w:t>
      </w:r>
      <w:r w:rsidR="006E277B" w:rsidRPr="008015D4">
        <w:rPr>
          <w:rFonts w:cstheme="minorHAnsi"/>
          <w:sz w:val="22"/>
          <w:szCs w:val="22"/>
        </w:rPr>
        <w:t xml:space="preserve">rrelations to Figure 3, </w:t>
      </w:r>
      <w:r w:rsidR="008221F2" w:rsidRPr="008015D4">
        <w:rPr>
          <w:rFonts w:cstheme="minorHAnsi"/>
          <w:sz w:val="22"/>
          <w:szCs w:val="22"/>
        </w:rPr>
        <w:t>Malaysia’s total domestic banking assets would increase every year, offering a stronger financial positioning per annum.</w:t>
      </w:r>
      <w:r w:rsidR="001E6A8C" w:rsidRPr="008015D4">
        <w:rPr>
          <w:rFonts w:cstheme="minorHAnsi"/>
          <w:sz w:val="22"/>
          <w:szCs w:val="22"/>
        </w:rPr>
        <w:t xml:space="preserve"> Statistics also highlight</w:t>
      </w:r>
      <w:r w:rsidR="00175F6A" w:rsidRPr="008015D4">
        <w:rPr>
          <w:rFonts w:cstheme="minorHAnsi"/>
          <w:sz w:val="22"/>
          <w:szCs w:val="22"/>
        </w:rPr>
        <w:t xml:space="preserve"> the increase of GDP in recent </w:t>
      </w:r>
      <w:r w:rsidR="00C50CED" w:rsidRPr="008015D4">
        <w:rPr>
          <w:rFonts w:cstheme="minorHAnsi"/>
          <w:sz w:val="22"/>
          <w:szCs w:val="22"/>
        </w:rPr>
        <w:t xml:space="preserve">years, where between 2015 to </w:t>
      </w:r>
      <w:r w:rsidR="00175F6A" w:rsidRPr="008015D4">
        <w:rPr>
          <w:rFonts w:cstheme="minorHAnsi"/>
          <w:sz w:val="22"/>
          <w:szCs w:val="22"/>
        </w:rPr>
        <w:t xml:space="preserve">the </w:t>
      </w:r>
      <w:r w:rsidR="001E6A8C" w:rsidRPr="008015D4">
        <w:rPr>
          <w:rFonts w:cstheme="minorHAnsi"/>
          <w:sz w:val="22"/>
          <w:szCs w:val="22"/>
        </w:rPr>
        <w:t>current day, Malaysia’s GDP has increased from $845.6 billion which means a total increase of $87.7 billion</w:t>
      </w:r>
      <w:r w:rsidR="00C77209" w:rsidRPr="008015D4">
        <w:rPr>
          <w:rFonts w:cstheme="minorHAnsi"/>
          <w:sz w:val="22"/>
          <w:szCs w:val="22"/>
        </w:rPr>
        <w:t>.</w:t>
      </w:r>
    </w:p>
    <w:p w14:paraId="5CFC51A4" w14:textId="77777777" w:rsidR="007A1B2B" w:rsidRDefault="000A4EC5" w:rsidP="00A77BE5">
      <w:pPr>
        <w:rPr>
          <w:rFonts w:cstheme="minorHAnsi"/>
        </w:rPr>
      </w:pPr>
      <w:r>
        <w:rPr>
          <w:rFonts w:cstheme="minorHAnsi"/>
        </w:rPr>
        <w:t xml:space="preserve"> </w:t>
      </w:r>
    </w:p>
    <w:p w14:paraId="0C88DA8C" w14:textId="77777777" w:rsidR="007A1B2B" w:rsidRDefault="007A1B2B" w:rsidP="00A77BE5">
      <w:pPr>
        <w:rPr>
          <w:rFonts w:cstheme="minorHAnsi"/>
        </w:rPr>
      </w:pPr>
    </w:p>
    <w:p w14:paraId="7422D669" w14:textId="77777777" w:rsidR="007A1B2B" w:rsidRDefault="007A1B2B" w:rsidP="00A77BE5">
      <w:pPr>
        <w:rPr>
          <w:rFonts w:cstheme="minorHAnsi"/>
        </w:rPr>
      </w:pPr>
    </w:p>
    <w:p w14:paraId="57BED825" w14:textId="77777777" w:rsidR="007A1B2B" w:rsidRDefault="007A1B2B" w:rsidP="00A77BE5">
      <w:pPr>
        <w:rPr>
          <w:rFonts w:cstheme="minorHAnsi"/>
        </w:rPr>
      </w:pPr>
    </w:p>
    <w:p w14:paraId="576DA75C" w14:textId="77777777" w:rsidR="007A1B2B" w:rsidRDefault="007A1B2B" w:rsidP="00A77BE5">
      <w:pPr>
        <w:rPr>
          <w:rFonts w:cstheme="minorHAnsi"/>
        </w:rPr>
      </w:pPr>
    </w:p>
    <w:p w14:paraId="2909F0CD" w14:textId="77777777" w:rsidR="007A1B2B" w:rsidRDefault="007A1B2B" w:rsidP="00A77BE5">
      <w:pPr>
        <w:rPr>
          <w:rFonts w:cstheme="minorHAnsi"/>
        </w:rPr>
      </w:pPr>
    </w:p>
    <w:p w14:paraId="55BC4BF0" w14:textId="77777777" w:rsidR="007A1B2B" w:rsidRDefault="007A1B2B" w:rsidP="00A77BE5">
      <w:pPr>
        <w:rPr>
          <w:rFonts w:cstheme="minorHAnsi"/>
        </w:rPr>
      </w:pPr>
    </w:p>
    <w:p w14:paraId="7CC01687" w14:textId="77777777" w:rsidR="007A1B2B" w:rsidRDefault="007A1B2B" w:rsidP="00A77BE5">
      <w:pPr>
        <w:rPr>
          <w:rFonts w:cstheme="minorHAnsi"/>
        </w:rPr>
      </w:pPr>
    </w:p>
    <w:p w14:paraId="1BC232A7" w14:textId="04195D0C" w:rsidR="007A1B2B" w:rsidRDefault="007A1B2B" w:rsidP="00A77BE5">
      <w:pPr>
        <w:rPr>
          <w:rFonts w:cstheme="minorHAnsi"/>
        </w:rPr>
      </w:pPr>
    </w:p>
    <w:p w14:paraId="5C134CCE" w14:textId="77777777" w:rsidR="00964182" w:rsidRDefault="00964182" w:rsidP="00A77BE5">
      <w:pPr>
        <w:rPr>
          <w:rFonts w:cstheme="minorHAnsi"/>
        </w:rPr>
      </w:pPr>
    </w:p>
    <w:p w14:paraId="13F02458" w14:textId="3799A0FF" w:rsidR="00AC4A5E" w:rsidRPr="00F0633E" w:rsidRDefault="00E64AF4" w:rsidP="00A77BE5">
      <w:pPr>
        <w:rPr>
          <w:rFonts w:cstheme="minorHAnsi"/>
        </w:rPr>
      </w:pPr>
      <w:r w:rsidRPr="00481FA5">
        <w:rPr>
          <w:rFonts w:cstheme="minorHAnsi"/>
          <w:i/>
          <w:u w:val="single"/>
        </w:rPr>
        <w:lastRenderedPageBreak/>
        <w:t>Figure 4</w:t>
      </w:r>
    </w:p>
    <w:p w14:paraId="41A8BD20" w14:textId="561E781A" w:rsidR="005919B9" w:rsidRDefault="005919B9" w:rsidP="00A77BE5">
      <w:pPr>
        <w:rPr>
          <w:rFonts w:cstheme="minorHAnsi"/>
        </w:rPr>
      </w:pPr>
      <w:r w:rsidRPr="00481FA5">
        <w:rPr>
          <w:rFonts w:cstheme="minorHAnsi"/>
          <w:i/>
          <w:noProof/>
          <w:u w:val="single"/>
          <w:lang w:eastAsia="en-GB"/>
        </w:rPr>
        <w:drawing>
          <wp:anchor distT="0" distB="0" distL="114300" distR="114300" simplePos="0" relativeHeight="251662336" behindDoc="0" locked="0" layoutInCell="1" allowOverlap="1" wp14:anchorId="219A3D69" wp14:editId="5A02285B">
            <wp:simplePos x="0" y="0"/>
            <wp:positionH relativeFrom="column">
              <wp:posOffset>-152400</wp:posOffset>
            </wp:positionH>
            <wp:positionV relativeFrom="paragraph">
              <wp:posOffset>57150</wp:posOffset>
            </wp:positionV>
            <wp:extent cx="3968115" cy="2714625"/>
            <wp:effectExtent l="0" t="0" r="0" b="9525"/>
            <wp:wrapSquare wrapText="bothSides"/>
            <wp:docPr id="9" name="Picture 9" descr="Image result for negative islamic finance statistic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negative islamic finance statistics">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8115"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3EE9E1" w14:textId="77777777" w:rsidR="00F0633E" w:rsidRDefault="00F0633E" w:rsidP="00A77BE5">
      <w:pPr>
        <w:rPr>
          <w:rFonts w:cstheme="minorHAnsi"/>
        </w:rPr>
      </w:pPr>
    </w:p>
    <w:p w14:paraId="0123B549" w14:textId="77777777" w:rsidR="00F0633E" w:rsidRDefault="00F0633E" w:rsidP="00A77BE5">
      <w:pPr>
        <w:rPr>
          <w:rFonts w:cstheme="minorHAnsi"/>
        </w:rPr>
      </w:pPr>
    </w:p>
    <w:p w14:paraId="2B9F4462" w14:textId="77777777" w:rsidR="00F0633E" w:rsidRDefault="00F0633E" w:rsidP="00A77BE5">
      <w:pPr>
        <w:rPr>
          <w:rFonts w:cstheme="minorHAnsi"/>
        </w:rPr>
      </w:pPr>
    </w:p>
    <w:p w14:paraId="63F1D0E6" w14:textId="77777777" w:rsidR="00F0633E" w:rsidRDefault="00F0633E" w:rsidP="00A77BE5">
      <w:pPr>
        <w:rPr>
          <w:rFonts w:cstheme="minorHAnsi"/>
        </w:rPr>
      </w:pPr>
    </w:p>
    <w:p w14:paraId="06360B7F" w14:textId="77777777" w:rsidR="00F0633E" w:rsidRDefault="00F0633E" w:rsidP="00A77BE5">
      <w:pPr>
        <w:rPr>
          <w:rFonts w:cstheme="minorHAnsi"/>
        </w:rPr>
      </w:pPr>
    </w:p>
    <w:p w14:paraId="4A27F72B" w14:textId="77777777" w:rsidR="00F0633E" w:rsidRDefault="00F0633E" w:rsidP="00A77BE5">
      <w:pPr>
        <w:rPr>
          <w:rFonts w:cstheme="minorHAnsi"/>
        </w:rPr>
      </w:pPr>
    </w:p>
    <w:p w14:paraId="17AC1A83" w14:textId="77777777" w:rsidR="00F0633E" w:rsidRDefault="00F0633E" w:rsidP="00A77BE5">
      <w:pPr>
        <w:rPr>
          <w:rFonts w:cstheme="minorHAnsi"/>
        </w:rPr>
      </w:pPr>
    </w:p>
    <w:p w14:paraId="2A7499ED" w14:textId="7F45B808" w:rsidR="00F0633E" w:rsidRDefault="00F0633E" w:rsidP="00A77BE5">
      <w:pPr>
        <w:rPr>
          <w:rFonts w:cstheme="minorHAnsi"/>
        </w:rPr>
      </w:pPr>
    </w:p>
    <w:p w14:paraId="4596C0CA" w14:textId="7B021973" w:rsidR="00F0633E" w:rsidRDefault="00F0633E" w:rsidP="00A77BE5">
      <w:pPr>
        <w:rPr>
          <w:rFonts w:cstheme="minorHAnsi"/>
        </w:rPr>
      </w:pPr>
    </w:p>
    <w:p w14:paraId="1A974A9D" w14:textId="068E7330" w:rsidR="004F665E" w:rsidRPr="004F665E" w:rsidRDefault="004F665E" w:rsidP="004F665E">
      <w:pPr>
        <w:jc w:val="right"/>
        <w:rPr>
          <w:rFonts w:cstheme="minorHAnsi"/>
          <w:sz w:val="22"/>
          <w:szCs w:val="22"/>
        </w:rPr>
      </w:pPr>
      <w:sdt>
        <w:sdtPr>
          <w:rPr>
            <w:rFonts w:cstheme="minorHAnsi"/>
            <w:sz w:val="22"/>
            <w:szCs w:val="22"/>
          </w:rPr>
          <w:id w:val="338518183"/>
          <w:citation/>
        </w:sdtPr>
        <w:sdtContent>
          <w:r w:rsidRPr="004F665E">
            <w:rPr>
              <w:rFonts w:cstheme="minorHAnsi"/>
              <w:sz w:val="22"/>
              <w:szCs w:val="22"/>
            </w:rPr>
            <w:fldChar w:fldCharType="begin"/>
          </w:r>
          <w:r w:rsidRPr="004F665E">
            <w:rPr>
              <w:rFonts w:cstheme="minorHAnsi"/>
              <w:sz w:val="22"/>
              <w:szCs w:val="22"/>
            </w:rPr>
            <w:instrText xml:space="preserve"> CITATION Tom15 \l 2057 </w:instrText>
          </w:r>
          <w:r w:rsidRPr="004F665E">
            <w:rPr>
              <w:rFonts w:cstheme="minorHAnsi"/>
              <w:sz w:val="22"/>
              <w:szCs w:val="22"/>
            </w:rPr>
            <w:fldChar w:fldCharType="separate"/>
          </w:r>
          <w:r w:rsidR="00C710D3" w:rsidRPr="00C710D3">
            <w:rPr>
              <w:rFonts w:cstheme="minorHAnsi"/>
              <w:noProof/>
              <w:sz w:val="22"/>
              <w:szCs w:val="22"/>
            </w:rPr>
            <w:t>(Hirst, 2015)</w:t>
          </w:r>
          <w:r w:rsidRPr="004F665E">
            <w:rPr>
              <w:rFonts w:cstheme="minorHAnsi"/>
              <w:sz w:val="22"/>
              <w:szCs w:val="22"/>
            </w:rPr>
            <w:fldChar w:fldCharType="end"/>
          </w:r>
        </w:sdtContent>
      </w:sdt>
    </w:p>
    <w:p w14:paraId="747D6F62" w14:textId="72FCE820" w:rsidR="00222DE7" w:rsidRPr="007A1B2B" w:rsidRDefault="006E277B" w:rsidP="00A77BE5">
      <w:pPr>
        <w:rPr>
          <w:rFonts w:cstheme="minorHAnsi"/>
          <w:sz w:val="22"/>
          <w:szCs w:val="22"/>
        </w:rPr>
      </w:pPr>
      <w:r w:rsidRPr="007A1B2B">
        <w:rPr>
          <w:rFonts w:cstheme="minorHAnsi"/>
          <w:sz w:val="22"/>
          <w:szCs w:val="22"/>
        </w:rPr>
        <w:t>This</w:t>
      </w:r>
      <w:r w:rsidR="00D23BA7" w:rsidRPr="007A1B2B">
        <w:rPr>
          <w:rFonts w:cstheme="minorHAnsi"/>
          <w:sz w:val="22"/>
          <w:szCs w:val="22"/>
        </w:rPr>
        <w:t xml:space="preserve"> chart </w:t>
      </w:r>
      <w:r w:rsidR="00F745E7" w:rsidRPr="007A1B2B">
        <w:rPr>
          <w:rFonts w:cstheme="minorHAnsi"/>
          <w:sz w:val="22"/>
          <w:szCs w:val="22"/>
        </w:rPr>
        <w:t xml:space="preserve">comparatively </w:t>
      </w:r>
      <w:r w:rsidR="00D23BA7" w:rsidRPr="007A1B2B">
        <w:rPr>
          <w:rFonts w:cstheme="minorHAnsi"/>
          <w:sz w:val="22"/>
          <w:szCs w:val="22"/>
        </w:rPr>
        <w:t xml:space="preserve">indicates </w:t>
      </w:r>
      <w:r w:rsidR="00B9115A" w:rsidRPr="007A1B2B">
        <w:rPr>
          <w:rFonts w:cstheme="minorHAnsi"/>
          <w:sz w:val="22"/>
          <w:szCs w:val="22"/>
        </w:rPr>
        <w:t xml:space="preserve">the </w:t>
      </w:r>
      <w:r w:rsidR="00F745E7" w:rsidRPr="007A1B2B">
        <w:rPr>
          <w:rFonts w:cstheme="minorHAnsi"/>
          <w:sz w:val="22"/>
          <w:szCs w:val="22"/>
        </w:rPr>
        <w:t xml:space="preserve">conventional banking and </w:t>
      </w:r>
      <w:r w:rsidR="00B9115A" w:rsidRPr="007A1B2B">
        <w:rPr>
          <w:rFonts w:cstheme="minorHAnsi"/>
          <w:sz w:val="22"/>
          <w:szCs w:val="22"/>
        </w:rPr>
        <w:t>IF growth rate of individual regions</w:t>
      </w:r>
      <w:r w:rsidR="00F745E7" w:rsidRPr="007A1B2B">
        <w:rPr>
          <w:rFonts w:cstheme="minorHAnsi"/>
          <w:sz w:val="22"/>
          <w:szCs w:val="22"/>
        </w:rPr>
        <w:t xml:space="preserve">. It is interesting to see how that of conventional banking only makes </w:t>
      </w:r>
      <w:r w:rsidR="009D364A" w:rsidRPr="007A1B2B">
        <w:rPr>
          <w:rFonts w:cstheme="minorHAnsi"/>
          <w:sz w:val="22"/>
          <w:szCs w:val="22"/>
        </w:rPr>
        <w:t xml:space="preserve">for </w:t>
      </w:r>
      <w:r w:rsidRPr="007A1B2B">
        <w:rPr>
          <w:rFonts w:cstheme="minorHAnsi"/>
          <w:sz w:val="22"/>
          <w:szCs w:val="22"/>
        </w:rPr>
        <w:t>a small proportion of banking</w:t>
      </w:r>
      <w:r w:rsidR="00F745E7" w:rsidRPr="007A1B2B">
        <w:rPr>
          <w:rFonts w:cstheme="minorHAnsi"/>
          <w:sz w:val="22"/>
          <w:szCs w:val="22"/>
        </w:rPr>
        <w:t>. Bahr</w:t>
      </w:r>
      <w:r w:rsidR="00110E62" w:rsidRPr="007A1B2B">
        <w:rPr>
          <w:rFonts w:cstheme="minorHAnsi"/>
          <w:sz w:val="22"/>
          <w:szCs w:val="22"/>
        </w:rPr>
        <w:t>a</w:t>
      </w:r>
      <w:r w:rsidR="008802AE">
        <w:rPr>
          <w:rFonts w:cstheme="minorHAnsi"/>
          <w:sz w:val="22"/>
          <w:szCs w:val="22"/>
        </w:rPr>
        <w:t>in</w:t>
      </w:r>
      <w:r w:rsidR="009D364A" w:rsidRPr="007A1B2B">
        <w:rPr>
          <w:rFonts w:cstheme="minorHAnsi"/>
          <w:sz w:val="22"/>
          <w:szCs w:val="22"/>
        </w:rPr>
        <w:t xml:space="preserve"> is the only country where </w:t>
      </w:r>
      <w:r w:rsidR="00F745E7" w:rsidRPr="007A1B2B">
        <w:rPr>
          <w:rFonts w:cstheme="minorHAnsi"/>
          <w:sz w:val="22"/>
          <w:szCs w:val="22"/>
        </w:rPr>
        <w:t>conventional banking is actually demonstrating a negative</w:t>
      </w:r>
      <w:r w:rsidR="00961767" w:rsidRPr="007A1B2B">
        <w:rPr>
          <w:rFonts w:cstheme="minorHAnsi"/>
          <w:sz w:val="22"/>
          <w:szCs w:val="22"/>
        </w:rPr>
        <w:t xml:space="preserve"> growth rate o</w:t>
      </w:r>
      <w:r w:rsidR="00157F42" w:rsidRPr="007A1B2B">
        <w:rPr>
          <w:rFonts w:cstheme="minorHAnsi"/>
          <w:sz w:val="22"/>
          <w:szCs w:val="22"/>
        </w:rPr>
        <w:t>f as</w:t>
      </w:r>
      <w:r w:rsidR="009D364A" w:rsidRPr="007A1B2B">
        <w:rPr>
          <w:rFonts w:cstheme="minorHAnsi"/>
          <w:sz w:val="22"/>
          <w:szCs w:val="22"/>
        </w:rPr>
        <w:t>sets in 2013</w:t>
      </w:r>
      <w:r w:rsidR="00961767" w:rsidRPr="007A1B2B">
        <w:rPr>
          <w:rFonts w:cstheme="minorHAnsi"/>
          <w:sz w:val="22"/>
          <w:szCs w:val="22"/>
        </w:rPr>
        <w:t xml:space="preserve">. </w:t>
      </w:r>
      <w:r w:rsidR="00D0736E" w:rsidRPr="007A1B2B">
        <w:rPr>
          <w:rFonts w:cstheme="minorHAnsi"/>
          <w:sz w:val="22"/>
          <w:szCs w:val="22"/>
        </w:rPr>
        <w:t>Bahrain</w:t>
      </w:r>
      <w:r w:rsidR="00815276" w:rsidRPr="007A1B2B">
        <w:rPr>
          <w:rFonts w:cstheme="minorHAnsi"/>
          <w:sz w:val="22"/>
          <w:szCs w:val="22"/>
        </w:rPr>
        <w:t xml:space="preserve"> does well to offer a less prescriptive legislative model for IF which therefore </w:t>
      </w:r>
      <w:r w:rsidR="00F72E1B" w:rsidRPr="007A1B2B">
        <w:rPr>
          <w:rFonts w:cstheme="minorHAnsi"/>
          <w:sz w:val="22"/>
          <w:szCs w:val="22"/>
        </w:rPr>
        <w:t>‘</w:t>
      </w:r>
      <w:r w:rsidR="00815276" w:rsidRPr="007A1B2B">
        <w:rPr>
          <w:rFonts w:cstheme="minorHAnsi"/>
          <w:sz w:val="22"/>
          <w:szCs w:val="22"/>
        </w:rPr>
        <w:t>allows institutions to align their business with rapidly fluctuating global trends</w:t>
      </w:r>
      <w:r w:rsidR="00F72E1B" w:rsidRPr="007A1B2B">
        <w:rPr>
          <w:rFonts w:cstheme="minorHAnsi"/>
          <w:sz w:val="22"/>
          <w:szCs w:val="22"/>
        </w:rPr>
        <w:t>’</w:t>
      </w:r>
      <w:r w:rsidR="00926AB2">
        <w:rPr>
          <w:rFonts w:cstheme="minorHAnsi"/>
          <w:sz w:val="22"/>
          <w:szCs w:val="22"/>
        </w:rPr>
        <w:t xml:space="preserve">. </w:t>
      </w:r>
      <w:sdt>
        <w:sdtPr>
          <w:rPr>
            <w:rFonts w:cstheme="minorHAnsi"/>
            <w:sz w:val="22"/>
            <w:szCs w:val="22"/>
          </w:rPr>
          <w:id w:val="1489442367"/>
          <w:citation/>
        </w:sdtPr>
        <w:sdtContent>
          <w:r w:rsidR="00926AB2">
            <w:rPr>
              <w:rFonts w:cstheme="minorHAnsi"/>
              <w:sz w:val="22"/>
              <w:szCs w:val="22"/>
            </w:rPr>
            <w:fldChar w:fldCharType="begin"/>
          </w:r>
          <w:r w:rsidR="00926AB2">
            <w:rPr>
              <w:rFonts w:cstheme="minorHAnsi"/>
              <w:sz w:val="22"/>
              <w:szCs w:val="22"/>
            </w:rPr>
            <w:instrText xml:space="preserve"> CITATION Inn17 \l 2057 </w:instrText>
          </w:r>
          <w:r w:rsidR="00926AB2">
            <w:rPr>
              <w:rFonts w:cstheme="minorHAnsi"/>
              <w:sz w:val="22"/>
              <w:szCs w:val="22"/>
            </w:rPr>
            <w:fldChar w:fldCharType="separate"/>
          </w:r>
          <w:r w:rsidR="00C710D3" w:rsidRPr="00C710D3">
            <w:rPr>
              <w:rFonts w:cstheme="minorHAnsi"/>
              <w:noProof/>
              <w:sz w:val="22"/>
              <w:szCs w:val="22"/>
            </w:rPr>
            <w:t>(Innovation Enterprise, 2017)</w:t>
          </w:r>
          <w:r w:rsidR="00926AB2">
            <w:rPr>
              <w:rFonts w:cstheme="minorHAnsi"/>
              <w:sz w:val="22"/>
              <w:szCs w:val="22"/>
            </w:rPr>
            <w:fldChar w:fldCharType="end"/>
          </w:r>
        </w:sdtContent>
      </w:sdt>
      <w:r w:rsidR="008802AE">
        <w:rPr>
          <w:rFonts w:cstheme="minorHAnsi"/>
          <w:sz w:val="22"/>
          <w:szCs w:val="22"/>
        </w:rPr>
        <w:t xml:space="preserve"> </w:t>
      </w:r>
      <w:r w:rsidR="002D2361" w:rsidRPr="007A1B2B">
        <w:rPr>
          <w:rFonts w:cstheme="minorHAnsi"/>
          <w:sz w:val="22"/>
          <w:szCs w:val="22"/>
        </w:rPr>
        <w:t xml:space="preserve">Perhaps the continued development of IF institutions </w:t>
      </w:r>
      <w:r w:rsidR="008D015E" w:rsidRPr="007A1B2B">
        <w:rPr>
          <w:rFonts w:cstheme="minorHAnsi"/>
          <w:sz w:val="22"/>
          <w:szCs w:val="22"/>
        </w:rPr>
        <w:t>provide</w:t>
      </w:r>
      <w:r w:rsidR="002D2361" w:rsidRPr="007A1B2B">
        <w:rPr>
          <w:rFonts w:cstheme="minorHAnsi"/>
          <w:sz w:val="22"/>
          <w:szCs w:val="22"/>
        </w:rPr>
        <w:t xml:space="preserve"> a reason for the </w:t>
      </w:r>
      <w:r w:rsidR="00E16C9E" w:rsidRPr="007A1B2B">
        <w:rPr>
          <w:rFonts w:cstheme="minorHAnsi"/>
          <w:sz w:val="22"/>
          <w:szCs w:val="22"/>
        </w:rPr>
        <w:t>country’s</w:t>
      </w:r>
      <w:r w:rsidR="002D2361" w:rsidRPr="007A1B2B">
        <w:rPr>
          <w:rFonts w:cstheme="minorHAnsi"/>
          <w:sz w:val="22"/>
          <w:szCs w:val="22"/>
        </w:rPr>
        <w:t xml:space="preserve"> consistently increasing GDP real growth rate. Bahrain currently holds a 3.8% rate, which is</w:t>
      </w:r>
      <w:r w:rsidR="00D728AC">
        <w:rPr>
          <w:rFonts w:cstheme="minorHAnsi"/>
          <w:sz w:val="22"/>
          <w:szCs w:val="22"/>
        </w:rPr>
        <w:t xml:space="preserve"> an increase of 0.9% from 2015. </w:t>
      </w:r>
      <w:sdt>
        <w:sdtPr>
          <w:rPr>
            <w:rFonts w:cstheme="minorHAnsi"/>
            <w:sz w:val="22"/>
            <w:szCs w:val="22"/>
          </w:rPr>
          <w:id w:val="2095976618"/>
          <w:citation/>
        </w:sdtPr>
        <w:sdtContent>
          <w:r w:rsidR="00D728AC">
            <w:rPr>
              <w:rFonts w:cstheme="minorHAnsi"/>
              <w:sz w:val="22"/>
              <w:szCs w:val="22"/>
            </w:rPr>
            <w:fldChar w:fldCharType="begin"/>
          </w:r>
          <w:r w:rsidR="00D728AC">
            <w:rPr>
              <w:rFonts w:cstheme="minorHAnsi"/>
              <w:sz w:val="22"/>
              <w:szCs w:val="22"/>
            </w:rPr>
            <w:instrText xml:space="preserve"> CITATION Cen171 \l 2057 </w:instrText>
          </w:r>
          <w:r w:rsidR="00D728AC">
            <w:rPr>
              <w:rFonts w:cstheme="minorHAnsi"/>
              <w:sz w:val="22"/>
              <w:szCs w:val="22"/>
            </w:rPr>
            <w:fldChar w:fldCharType="separate"/>
          </w:r>
          <w:r w:rsidR="00C710D3" w:rsidRPr="00C710D3">
            <w:rPr>
              <w:rFonts w:cstheme="minorHAnsi"/>
              <w:noProof/>
              <w:sz w:val="22"/>
              <w:szCs w:val="22"/>
            </w:rPr>
            <w:t>(Central Intelligence Agency, 2017)</w:t>
          </w:r>
          <w:r w:rsidR="00D728AC">
            <w:rPr>
              <w:rFonts w:cstheme="minorHAnsi"/>
              <w:sz w:val="22"/>
              <w:szCs w:val="22"/>
            </w:rPr>
            <w:fldChar w:fldCharType="end"/>
          </w:r>
        </w:sdtContent>
      </w:sdt>
    </w:p>
    <w:p w14:paraId="266039EE" w14:textId="14D3C6EF" w:rsidR="00070251" w:rsidRPr="007A1B2B" w:rsidRDefault="00DD27AD" w:rsidP="00A77BE5">
      <w:pPr>
        <w:rPr>
          <w:rFonts w:cstheme="minorHAnsi"/>
          <w:sz w:val="22"/>
          <w:szCs w:val="22"/>
          <w:lang w:val="en-US"/>
        </w:rPr>
      </w:pPr>
      <w:r w:rsidRPr="007A1B2B">
        <w:rPr>
          <w:rFonts w:cstheme="minorHAnsi"/>
          <w:sz w:val="22"/>
          <w:szCs w:val="22"/>
        </w:rPr>
        <w:t xml:space="preserve">In 2013, Indonesia’s growth rate of assets accounted for 43% of the overall Mena countries. </w:t>
      </w:r>
      <w:r w:rsidR="00D04FE3" w:rsidRPr="007A1B2B">
        <w:rPr>
          <w:rFonts w:cstheme="minorHAnsi"/>
          <w:sz w:val="22"/>
          <w:szCs w:val="22"/>
        </w:rPr>
        <w:t xml:space="preserve">As the </w:t>
      </w:r>
      <w:r w:rsidR="00070251" w:rsidRPr="007A1B2B">
        <w:rPr>
          <w:rFonts w:cstheme="minorHAnsi"/>
          <w:sz w:val="22"/>
          <w:szCs w:val="22"/>
        </w:rPr>
        <w:t>world’s</w:t>
      </w:r>
      <w:r w:rsidR="00D04FE3" w:rsidRPr="007A1B2B">
        <w:rPr>
          <w:rFonts w:cstheme="minorHAnsi"/>
          <w:sz w:val="22"/>
          <w:szCs w:val="22"/>
        </w:rPr>
        <w:t xml:space="preserve"> largest </w:t>
      </w:r>
      <w:r w:rsidR="00070251" w:rsidRPr="007A1B2B">
        <w:rPr>
          <w:rFonts w:cstheme="minorHAnsi"/>
          <w:sz w:val="22"/>
          <w:szCs w:val="22"/>
        </w:rPr>
        <w:t>Muslim</w:t>
      </w:r>
      <w:r w:rsidR="00D04FE3" w:rsidRPr="007A1B2B">
        <w:rPr>
          <w:rFonts w:cstheme="minorHAnsi"/>
          <w:sz w:val="22"/>
          <w:szCs w:val="22"/>
        </w:rPr>
        <w:t xml:space="preserve"> majority country,</w:t>
      </w:r>
      <w:r w:rsidR="00AB3F41" w:rsidRPr="007A1B2B">
        <w:rPr>
          <w:rFonts w:cstheme="minorHAnsi"/>
          <w:sz w:val="22"/>
          <w:szCs w:val="22"/>
        </w:rPr>
        <w:t xml:space="preserve"> </w:t>
      </w:r>
      <w:r w:rsidR="007E4CCA" w:rsidRPr="007A1B2B">
        <w:rPr>
          <w:rFonts w:cstheme="minorHAnsi"/>
          <w:sz w:val="22"/>
          <w:szCs w:val="22"/>
        </w:rPr>
        <w:t>it</w:t>
      </w:r>
      <w:r w:rsidR="006C5249" w:rsidRPr="007A1B2B">
        <w:rPr>
          <w:rFonts w:cstheme="minorHAnsi"/>
          <w:sz w:val="22"/>
          <w:szCs w:val="22"/>
        </w:rPr>
        <w:t xml:space="preserve"> seems fitting to enable more choice to Muslims; ‘</w:t>
      </w:r>
      <w:r w:rsidR="006C5249" w:rsidRPr="007A1B2B">
        <w:rPr>
          <w:rFonts w:cstheme="minorHAnsi"/>
          <w:sz w:val="22"/>
          <w:szCs w:val="22"/>
          <w:lang w:val="en-US"/>
        </w:rPr>
        <w:t xml:space="preserve">to bank in a Shariah-compliant way, they no longer need to sacrifice the convenience, products and services they have been used to </w:t>
      </w:r>
      <w:r w:rsidR="006C5249" w:rsidRPr="004A2385">
        <w:rPr>
          <w:rFonts w:cstheme="minorHAnsi"/>
          <w:sz w:val="22"/>
          <w:szCs w:val="22"/>
          <w:lang w:val="en-US"/>
        </w:rPr>
        <w:t xml:space="preserve">in the past.’ </w:t>
      </w:r>
      <w:sdt>
        <w:sdtPr>
          <w:rPr>
            <w:rFonts w:cstheme="minorHAnsi"/>
            <w:sz w:val="22"/>
            <w:szCs w:val="22"/>
            <w:lang w:val="en-US"/>
          </w:rPr>
          <w:id w:val="572011229"/>
          <w:citation/>
        </w:sdtPr>
        <w:sdtContent>
          <w:r w:rsidR="004A2385" w:rsidRPr="004A2385">
            <w:rPr>
              <w:rFonts w:cstheme="minorHAnsi"/>
              <w:sz w:val="22"/>
              <w:szCs w:val="22"/>
              <w:lang w:val="en-US"/>
            </w:rPr>
            <w:fldChar w:fldCharType="begin"/>
          </w:r>
          <w:r w:rsidR="004A2385" w:rsidRPr="004A2385">
            <w:rPr>
              <w:rFonts w:cstheme="minorHAnsi"/>
              <w:sz w:val="22"/>
              <w:szCs w:val="22"/>
            </w:rPr>
            <w:instrText xml:space="preserve"> CITATION Glo13 \l 2057 </w:instrText>
          </w:r>
          <w:r w:rsidR="004A2385" w:rsidRPr="004A2385">
            <w:rPr>
              <w:rFonts w:cstheme="minorHAnsi"/>
              <w:sz w:val="22"/>
              <w:szCs w:val="22"/>
              <w:lang w:val="en-US"/>
            </w:rPr>
            <w:fldChar w:fldCharType="separate"/>
          </w:r>
          <w:r w:rsidR="00C710D3" w:rsidRPr="00C710D3">
            <w:rPr>
              <w:rFonts w:cstheme="minorHAnsi"/>
              <w:noProof/>
              <w:sz w:val="22"/>
              <w:szCs w:val="22"/>
            </w:rPr>
            <w:t>(Global Business Guide Indonesia, 2013)</w:t>
          </w:r>
          <w:r w:rsidR="004A2385" w:rsidRPr="004A2385">
            <w:rPr>
              <w:rFonts w:cstheme="minorHAnsi"/>
              <w:sz w:val="22"/>
              <w:szCs w:val="22"/>
              <w:lang w:val="en-US"/>
            </w:rPr>
            <w:fldChar w:fldCharType="end"/>
          </w:r>
        </w:sdtContent>
      </w:sdt>
      <w:r w:rsidR="004A2385" w:rsidRPr="004A2385">
        <w:rPr>
          <w:rFonts w:cstheme="minorHAnsi"/>
          <w:sz w:val="22"/>
          <w:szCs w:val="22"/>
          <w:lang w:val="en-US"/>
        </w:rPr>
        <w:t xml:space="preserve"> </w:t>
      </w:r>
      <w:r w:rsidR="004E092E" w:rsidRPr="004A2385">
        <w:rPr>
          <w:rFonts w:cstheme="minorHAnsi"/>
          <w:sz w:val="22"/>
          <w:szCs w:val="22"/>
        </w:rPr>
        <w:t>Since</w:t>
      </w:r>
      <w:r w:rsidR="004E092E" w:rsidRPr="007A1B2B">
        <w:rPr>
          <w:rFonts w:cstheme="minorHAnsi"/>
          <w:sz w:val="22"/>
          <w:szCs w:val="22"/>
        </w:rPr>
        <w:t xml:space="preserve"> 2013, the country’s GDP real growth has </w:t>
      </w:r>
      <w:r w:rsidR="006D2AF4" w:rsidRPr="007A1B2B">
        <w:rPr>
          <w:rFonts w:cstheme="minorHAnsi"/>
          <w:sz w:val="22"/>
          <w:szCs w:val="22"/>
        </w:rPr>
        <w:t>recurrently</w:t>
      </w:r>
      <w:r w:rsidR="004E092E" w:rsidRPr="007A1B2B">
        <w:rPr>
          <w:rFonts w:cstheme="minorHAnsi"/>
          <w:sz w:val="22"/>
          <w:szCs w:val="22"/>
        </w:rPr>
        <w:t xml:space="preserve"> </w:t>
      </w:r>
      <w:r w:rsidR="006D2AF4" w:rsidRPr="007A1B2B">
        <w:rPr>
          <w:rFonts w:cstheme="minorHAnsi"/>
          <w:sz w:val="22"/>
          <w:szCs w:val="22"/>
        </w:rPr>
        <w:t>improved</w:t>
      </w:r>
      <w:r w:rsidR="004E092E" w:rsidRPr="007A1B2B">
        <w:rPr>
          <w:rFonts w:cstheme="minorHAnsi"/>
          <w:sz w:val="22"/>
          <w:szCs w:val="22"/>
        </w:rPr>
        <w:t xml:space="preserve"> </w:t>
      </w:r>
      <w:r w:rsidR="0048223E" w:rsidRPr="007A1B2B">
        <w:rPr>
          <w:rFonts w:cstheme="minorHAnsi"/>
          <w:sz w:val="22"/>
          <w:szCs w:val="22"/>
        </w:rPr>
        <w:t>and it stand</w:t>
      </w:r>
      <w:r w:rsidR="00BE621C" w:rsidRPr="007A1B2B">
        <w:rPr>
          <w:rFonts w:cstheme="minorHAnsi"/>
          <w:sz w:val="22"/>
          <w:szCs w:val="22"/>
        </w:rPr>
        <w:t>s</w:t>
      </w:r>
      <w:r w:rsidR="0048223E" w:rsidRPr="007A1B2B">
        <w:rPr>
          <w:rFonts w:cstheme="minorHAnsi"/>
          <w:sz w:val="22"/>
          <w:szCs w:val="22"/>
        </w:rPr>
        <w:t xml:space="preserve"> today in 7</w:t>
      </w:r>
      <w:r w:rsidR="0048223E" w:rsidRPr="007A1B2B">
        <w:rPr>
          <w:rFonts w:cstheme="minorHAnsi"/>
          <w:sz w:val="22"/>
          <w:szCs w:val="22"/>
          <w:vertAlign w:val="superscript"/>
        </w:rPr>
        <w:t>th</w:t>
      </w:r>
      <w:r w:rsidR="0048223E" w:rsidRPr="007A1B2B">
        <w:rPr>
          <w:rFonts w:cstheme="minorHAnsi"/>
          <w:sz w:val="22"/>
          <w:szCs w:val="22"/>
        </w:rPr>
        <w:t xml:space="preserve"> </w:t>
      </w:r>
      <w:r w:rsidR="004E092E" w:rsidRPr="007A1B2B">
        <w:rPr>
          <w:rFonts w:cstheme="minorHAnsi"/>
          <w:sz w:val="22"/>
          <w:szCs w:val="22"/>
        </w:rPr>
        <w:t xml:space="preserve">position </w:t>
      </w:r>
      <w:r w:rsidR="0048223E" w:rsidRPr="007A1B2B">
        <w:rPr>
          <w:rFonts w:cstheme="minorHAnsi"/>
          <w:sz w:val="22"/>
          <w:szCs w:val="22"/>
        </w:rPr>
        <w:t xml:space="preserve">globally. </w:t>
      </w:r>
      <w:sdt>
        <w:sdtPr>
          <w:rPr>
            <w:rFonts w:cstheme="minorHAnsi"/>
            <w:sz w:val="22"/>
            <w:szCs w:val="22"/>
          </w:rPr>
          <w:id w:val="-968969736"/>
          <w:citation/>
        </w:sdtPr>
        <w:sdtContent>
          <w:r w:rsidR="00F55158">
            <w:rPr>
              <w:rFonts w:cstheme="minorHAnsi"/>
              <w:sz w:val="22"/>
              <w:szCs w:val="22"/>
            </w:rPr>
            <w:fldChar w:fldCharType="begin"/>
          </w:r>
          <w:r w:rsidR="00F55158">
            <w:rPr>
              <w:rFonts w:cstheme="minorHAnsi"/>
              <w:sz w:val="22"/>
              <w:szCs w:val="22"/>
            </w:rPr>
            <w:instrText xml:space="preserve"> CITATION Cen171 \l 2057 </w:instrText>
          </w:r>
          <w:r w:rsidR="00F55158">
            <w:rPr>
              <w:rFonts w:cstheme="minorHAnsi"/>
              <w:sz w:val="22"/>
              <w:szCs w:val="22"/>
            </w:rPr>
            <w:fldChar w:fldCharType="separate"/>
          </w:r>
          <w:r w:rsidR="00C710D3" w:rsidRPr="00C710D3">
            <w:rPr>
              <w:rFonts w:cstheme="minorHAnsi"/>
              <w:noProof/>
              <w:sz w:val="22"/>
              <w:szCs w:val="22"/>
            </w:rPr>
            <w:t>(Central Intelligence Agency, 2017)</w:t>
          </w:r>
          <w:r w:rsidR="00F55158">
            <w:rPr>
              <w:rFonts w:cstheme="minorHAnsi"/>
              <w:sz w:val="22"/>
              <w:szCs w:val="22"/>
            </w:rPr>
            <w:fldChar w:fldCharType="end"/>
          </w:r>
        </w:sdtContent>
      </w:sdt>
      <w:r w:rsidR="00F55158">
        <w:rPr>
          <w:rFonts w:cstheme="minorHAnsi"/>
          <w:sz w:val="22"/>
          <w:szCs w:val="22"/>
        </w:rPr>
        <w:t xml:space="preserve"> </w:t>
      </w:r>
      <w:r w:rsidR="00F71898" w:rsidRPr="007A1B2B">
        <w:rPr>
          <w:rFonts w:cstheme="minorHAnsi"/>
          <w:sz w:val="22"/>
          <w:szCs w:val="22"/>
          <w:lang w:val="en-US"/>
        </w:rPr>
        <w:t xml:space="preserve">However, Indonesia faced a challenge when </w:t>
      </w:r>
      <w:r w:rsidR="001A662A" w:rsidRPr="007A1B2B">
        <w:rPr>
          <w:rFonts w:cstheme="minorHAnsi"/>
          <w:sz w:val="22"/>
          <w:szCs w:val="22"/>
          <w:lang w:val="en-US"/>
        </w:rPr>
        <w:t>recognising</w:t>
      </w:r>
      <w:r w:rsidR="00F71898" w:rsidRPr="007A1B2B">
        <w:rPr>
          <w:rFonts w:cstheme="minorHAnsi"/>
          <w:sz w:val="22"/>
          <w:szCs w:val="22"/>
          <w:lang w:val="en-US"/>
        </w:rPr>
        <w:t xml:space="preserve"> that IF </w:t>
      </w:r>
      <w:r w:rsidR="001A662A" w:rsidRPr="007A1B2B">
        <w:rPr>
          <w:rFonts w:cstheme="minorHAnsi"/>
          <w:sz w:val="22"/>
          <w:szCs w:val="22"/>
          <w:lang w:val="en-US"/>
        </w:rPr>
        <w:t>institutions</w:t>
      </w:r>
      <w:r w:rsidR="006A1421" w:rsidRPr="007A1B2B">
        <w:rPr>
          <w:rFonts w:cstheme="minorHAnsi"/>
          <w:sz w:val="22"/>
          <w:szCs w:val="22"/>
          <w:lang w:val="en-US"/>
        </w:rPr>
        <w:t xml:space="preserve"> d</w:t>
      </w:r>
      <w:r w:rsidR="00F71898" w:rsidRPr="007A1B2B">
        <w:rPr>
          <w:rFonts w:cstheme="minorHAnsi"/>
          <w:sz w:val="22"/>
          <w:szCs w:val="22"/>
          <w:lang w:val="en-US"/>
        </w:rPr>
        <w:t xml:space="preserve">o not have the degree of regulatory and supervisory guidelines like that of conventional banking. </w:t>
      </w:r>
      <w:r w:rsidR="001A662A" w:rsidRPr="007A1B2B">
        <w:rPr>
          <w:rFonts w:cstheme="minorHAnsi"/>
          <w:sz w:val="22"/>
          <w:szCs w:val="22"/>
          <w:lang w:val="en-US"/>
        </w:rPr>
        <w:t>‘</w:t>
      </w:r>
      <w:r w:rsidR="00070251" w:rsidRPr="007A1B2B">
        <w:rPr>
          <w:rFonts w:cstheme="minorHAnsi"/>
          <w:sz w:val="22"/>
          <w:szCs w:val="22"/>
          <w:lang w:val="en-US"/>
        </w:rPr>
        <w:t>T</w:t>
      </w:r>
      <w:r w:rsidR="007E4CCA" w:rsidRPr="007A1B2B">
        <w:rPr>
          <w:rFonts w:cstheme="minorHAnsi"/>
          <w:sz w:val="22"/>
          <w:szCs w:val="22"/>
          <w:lang w:val="en-US"/>
        </w:rPr>
        <w:t xml:space="preserve">hey lack </w:t>
      </w:r>
      <w:r w:rsidR="0098495C" w:rsidRPr="007A1B2B">
        <w:rPr>
          <w:rFonts w:cstheme="minorHAnsi"/>
          <w:sz w:val="22"/>
          <w:szCs w:val="22"/>
          <w:lang w:val="en-US"/>
        </w:rPr>
        <w:t>standardisation and harmonis</w:t>
      </w:r>
      <w:r w:rsidR="00070251" w:rsidRPr="007A1B2B">
        <w:rPr>
          <w:rFonts w:cstheme="minorHAnsi"/>
          <w:sz w:val="22"/>
          <w:szCs w:val="22"/>
          <w:lang w:val="en-US"/>
        </w:rPr>
        <w:t>ation between different jurisdictions.</w:t>
      </w:r>
      <w:r w:rsidR="001A662A" w:rsidRPr="007A1B2B">
        <w:rPr>
          <w:rFonts w:cstheme="minorHAnsi"/>
          <w:sz w:val="22"/>
          <w:szCs w:val="22"/>
          <w:lang w:val="en-US"/>
        </w:rPr>
        <w:t xml:space="preserve">’ </w:t>
      </w:r>
      <w:sdt>
        <w:sdtPr>
          <w:rPr>
            <w:rFonts w:cstheme="minorHAnsi"/>
            <w:sz w:val="22"/>
            <w:szCs w:val="22"/>
            <w:lang w:val="en-US"/>
          </w:rPr>
          <w:id w:val="1762412085"/>
          <w:citation/>
        </w:sdtPr>
        <w:sdtEndPr/>
        <w:sdtContent>
          <w:r w:rsidR="00802167" w:rsidRPr="007A1B2B">
            <w:rPr>
              <w:rFonts w:cstheme="minorHAnsi"/>
              <w:sz w:val="22"/>
              <w:szCs w:val="22"/>
              <w:lang w:val="en-US"/>
            </w:rPr>
            <w:fldChar w:fldCharType="begin"/>
          </w:r>
          <w:r w:rsidR="00802167" w:rsidRPr="007A1B2B">
            <w:rPr>
              <w:rFonts w:cstheme="minorHAnsi"/>
              <w:sz w:val="22"/>
              <w:szCs w:val="22"/>
            </w:rPr>
            <w:instrText xml:space="preserve"> CITATION Mer16 \l 2057 </w:instrText>
          </w:r>
          <w:r w:rsidR="00802167" w:rsidRPr="007A1B2B">
            <w:rPr>
              <w:rFonts w:cstheme="minorHAnsi"/>
              <w:sz w:val="22"/>
              <w:szCs w:val="22"/>
              <w:lang w:val="en-US"/>
            </w:rPr>
            <w:fldChar w:fldCharType="separate"/>
          </w:r>
          <w:r w:rsidR="00C710D3" w:rsidRPr="00C710D3">
            <w:rPr>
              <w:rFonts w:cstheme="minorHAnsi"/>
              <w:noProof/>
              <w:sz w:val="22"/>
              <w:szCs w:val="22"/>
            </w:rPr>
            <w:t>(Piesse, 2016)</w:t>
          </w:r>
          <w:r w:rsidR="00802167" w:rsidRPr="007A1B2B">
            <w:rPr>
              <w:rFonts w:cstheme="minorHAnsi"/>
              <w:sz w:val="22"/>
              <w:szCs w:val="22"/>
              <w:lang w:val="en-US"/>
            </w:rPr>
            <w:fldChar w:fldCharType="end"/>
          </w:r>
        </w:sdtContent>
      </w:sdt>
      <w:r w:rsidR="00B93276" w:rsidRPr="007A1B2B">
        <w:rPr>
          <w:rFonts w:cstheme="minorHAnsi"/>
          <w:sz w:val="22"/>
          <w:szCs w:val="22"/>
          <w:lang w:val="en-US"/>
        </w:rPr>
        <w:t xml:space="preserve"> Perhaps this in itself is a weakness of IF</w:t>
      </w:r>
      <w:r w:rsidR="000B3DE4" w:rsidRPr="007A1B2B">
        <w:rPr>
          <w:rFonts w:cstheme="minorHAnsi"/>
          <w:sz w:val="22"/>
          <w:szCs w:val="22"/>
          <w:lang w:val="en-US"/>
        </w:rPr>
        <w:t xml:space="preserve"> and can act as a limitation and barrier to </w:t>
      </w:r>
      <w:r w:rsidR="00B93276" w:rsidRPr="007A1B2B">
        <w:rPr>
          <w:rFonts w:cstheme="minorHAnsi"/>
          <w:sz w:val="22"/>
          <w:szCs w:val="22"/>
          <w:lang w:val="en-US"/>
        </w:rPr>
        <w:t>further growth and introducti</w:t>
      </w:r>
      <w:r w:rsidR="00C42730" w:rsidRPr="007A1B2B">
        <w:rPr>
          <w:rFonts w:cstheme="minorHAnsi"/>
          <w:sz w:val="22"/>
          <w:szCs w:val="22"/>
          <w:lang w:val="en-US"/>
        </w:rPr>
        <w:t>on of Islamic banking into new markets</w:t>
      </w:r>
      <w:r w:rsidR="00B93276" w:rsidRPr="007A1B2B">
        <w:rPr>
          <w:rFonts w:cstheme="minorHAnsi"/>
          <w:sz w:val="22"/>
          <w:szCs w:val="22"/>
          <w:lang w:val="en-US"/>
        </w:rPr>
        <w:t xml:space="preserve">. </w:t>
      </w:r>
    </w:p>
    <w:p w14:paraId="6A36F549" w14:textId="4ECB0CBC" w:rsidR="00267539" w:rsidRDefault="00267539" w:rsidP="00A77BE5">
      <w:pPr>
        <w:rPr>
          <w:rFonts w:ascii="Roboto" w:hAnsi="Roboto" w:cs="Arial"/>
          <w:color w:val="FF0000"/>
          <w:sz w:val="21"/>
          <w:szCs w:val="21"/>
          <w:lang w:val="en-US"/>
        </w:rPr>
      </w:pPr>
    </w:p>
    <w:p w14:paraId="7E6F056C" w14:textId="31A12BEE" w:rsidR="00267539" w:rsidRPr="001A1B00" w:rsidRDefault="00DD7F96" w:rsidP="00015A77">
      <w:pPr>
        <w:rPr>
          <w:rFonts w:cstheme="minorHAnsi"/>
          <w:b/>
          <w:sz w:val="22"/>
          <w:szCs w:val="22"/>
          <w:u w:val="single"/>
        </w:rPr>
      </w:pPr>
      <w:r w:rsidRPr="001A1B00">
        <w:rPr>
          <w:rFonts w:cstheme="minorHAnsi"/>
          <w:b/>
          <w:sz w:val="22"/>
          <w:szCs w:val="22"/>
          <w:u w:val="single"/>
        </w:rPr>
        <w:t xml:space="preserve">2.2 </w:t>
      </w:r>
      <w:r w:rsidR="00267539" w:rsidRPr="001A1B00">
        <w:rPr>
          <w:rFonts w:cstheme="minorHAnsi"/>
          <w:b/>
          <w:sz w:val="22"/>
          <w:szCs w:val="22"/>
          <w:u w:val="single"/>
        </w:rPr>
        <w:t>Limitations of Islamic Finance</w:t>
      </w:r>
    </w:p>
    <w:p w14:paraId="1786839E" w14:textId="2FCD08F4" w:rsidR="0068616B" w:rsidRPr="00F3265F" w:rsidRDefault="00015A77" w:rsidP="00015A77">
      <w:pPr>
        <w:rPr>
          <w:rFonts w:cstheme="minorHAnsi"/>
          <w:sz w:val="22"/>
          <w:szCs w:val="22"/>
        </w:rPr>
      </w:pPr>
      <w:r w:rsidRPr="00F3265F">
        <w:rPr>
          <w:rFonts w:cstheme="minorHAnsi"/>
          <w:sz w:val="22"/>
          <w:szCs w:val="22"/>
        </w:rPr>
        <w:t xml:space="preserve">Shariah laws are not fully mature yet and therefore some factors to IF are still open to interpretation. For this reason, perhaps IF is a platform </w:t>
      </w:r>
      <w:r w:rsidR="00532192" w:rsidRPr="00F3265F">
        <w:rPr>
          <w:rFonts w:cstheme="minorHAnsi"/>
          <w:sz w:val="22"/>
          <w:szCs w:val="22"/>
        </w:rPr>
        <w:t>that</w:t>
      </w:r>
      <w:r w:rsidR="002D4E8F" w:rsidRPr="00F3265F">
        <w:rPr>
          <w:rFonts w:cstheme="minorHAnsi"/>
          <w:sz w:val="22"/>
          <w:szCs w:val="22"/>
        </w:rPr>
        <w:t xml:space="preserve"> companies can utilize to stay more </w:t>
      </w:r>
      <w:r w:rsidR="005E676F" w:rsidRPr="00F3265F">
        <w:rPr>
          <w:rFonts w:cstheme="minorHAnsi"/>
          <w:sz w:val="22"/>
          <w:szCs w:val="22"/>
        </w:rPr>
        <w:t>stable</w:t>
      </w:r>
      <w:r w:rsidR="002D4E8F" w:rsidRPr="00F3265F">
        <w:rPr>
          <w:rFonts w:cstheme="minorHAnsi"/>
          <w:sz w:val="22"/>
          <w:szCs w:val="22"/>
        </w:rPr>
        <w:t xml:space="preserve"> in such a volatile economy</w:t>
      </w:r>
      <w:r w:rsidR="00F4290F" w:rsidRPr="00F3265F">
        <w:rPr>
          <w:rFonts w:cstheme="minorHAnsi"/>
          <w:sz w:val="22"/>
          <w:szCs w:val="22"/>
        </w:rPr>
        <w:t>, as demonstrated by figure 1</w:t>
      </w:r>
      <w:r w:rsidR="002D4E8F" w:rsidRPr="00F3265F">
        <w:rPr>
          <w:rFonts w:cstheme="minorHAnsi"/>
          <w:sz w:val="22"/>
          <w:szCs w:val="22"/>
        </w:rPr>
        <w:t xml:space="preserve">, </w:t>
      </w:r>
      <w:r w:rsidRPr="00F3265F">
        <w:rPr>
          <w:rFonts w:cstheme="minorHAnsi"/>
          <w:sz w:val="22"/>
          <w:szCs w:val="22"/>
        </w:rPr>
        <w:t xml:space="preserve">but until there is a consensus on Shariah laws, this form of finance is not yet fully </w:t>
      </w:r>
      <w:r w:rsidR="002D4E8F" w:rsidRPr="00F3265F">
        <w:rPr>
          <w:rFonts w:cstheme="minorHAnsi"/>
          <w:sz w:val="22"/>
          <w:szCs w:val="22"/>
        </w:rPr>
        <w:t>effectual</w:t>
      </w:r>
      <w:r w:rsidRPr="00F3265F">
        <w:rPr>
          <w:rFonts w:cstheme="minorHAnsi"/>
          <w:sz w:val="22"/>
          <w:szCs w:val="22"/>
        </w:rPr>
        <w:t xml:space="preserve">. </w:t>
      </w:r>
      <w:r w:rsidR="006862E6" w:rsidRPr="00F3265F">
        <w:rPr>
          <w:rFonts w:cstheme="minorHAnsi"/>
          <w:sz w:val="22"/>
          <w:szCs w:val="22"/>
        </w:rPr>
        <w:t>Nevertheless</w:t>
      </w:r>
      <w:r w:rsidR="0068616B" w:rsidRPr="00F3265F">
        <w:rPr>
          <w:rFonts w:cstheme="minorHAnsi"/>
          <w:sz w:val="22"/>
          <w:szCs w:val="22"/>
        </w:rPr>
        <w:t xml:space="preserve">, measures </w:t>
      </w:r>
      <w:r w:rsidR="00C72C6F" w:rsidRPr="00F3265F">
        <w:rPr>
          <w:rFonts w:cstheme="minorHAnsi"/>
          <w:sz w:val="22"/>
          <w:szCs w:val="22"/>
        </w:rPr>
        <w:t xml:space="preserve">have been </w:t>
      </w:r>
      <w:r w:rsidR="00C72C6F" w:rsidRPr="00F3265F">
        <w:rPr>
          <w:rFonts w:cstheme="minorHAnsi"/>
          <w:sz w:val="22"/>
          <w:szCs w:val="22"/>
        </w:rPr>
        <w:lastRenderedPageBreak/>
        <w:t>introduced in an attempt to overcome</w:t>
      </w:r>
      <w:r w:rsidR="00333839" w:rsidRPr="00F3265F">
        <w:rPr>
          <w:rFonts w:cstheme="minorHAnsi"/>
          <w:sz w:val="22"/>
          <w:szCs w:val="22"/>
        </w:rPr>
        <w:t xml:space="preserve"> this</w:t>
      </w:r>
      <w:r w:rsidR="00C72C6F" w:rsidRPr="00F3265F">
        <w:rPr>
          <w:rFonts w:cstheme="minorHAnsi"/>
          <w:sz w:val="22"/>
          <w:szCs w:val="22"/>
        </w:rPr>
        <w:t>.</w:t>
      </w:r>
      <w:r w:rsidR="000E504F" w:rsidRPr="00F3265F">
        <w:rPr>
          <w:rFonts w:cstheme="minorHAnsi"/>
          <w:sz w:val="22"/>
          <w:szCs w:val="22"/>
        </w:rPr>
        <w:t xml:space="preserve"> </w:t>
      </w:r>
      <w:r w:rsidR="00E87F8A" w:rsidRPr="00F3265F">
        <w:rPr>
          <w:rFonts w:cstheme="minorHAnsi"/>
          <w:sz w:val="22"/>
          <w:szCs w:val="22"/>
        </w:rPr>
        <w:t>Malays</w:t>
      </w:r>
      <w:r w:rsidR="00077DA1" w:rsidRPr="00F3265F">
        <w:rPr>
          <w:rFonts w:cstheme="minorHAnsi"/>
          <w:sz w:val="22"/>
          <w:szCs w:val="22"/>
        </w:rPr>
        <w:t xml:space="preserve">ian government saw the need to </w:t>
      </w:r>
      <w:r w:rsidR="00E87F8A" w:rsidRPr="00F3265F">
        <w:rPr>
          <w:rFonts w:cstheme="minorHAnsi"/>
          <w:sz w:val="22"/>
          <w:szCs w:val="22"/>
        </w:rPr>
        <w:t xml:space="preserve">harmonise </w:t>
      </w:r>
      <w:r w:rsidR="00077DA1" w:rsidRPr="00F3265F">
        <w:rPr>
          <w:rFonts w:cstheme="minorHAnsi"/>
          <w:sz w:val="22"/>
          <w:szCs w:val="22"/>
        </w:rPr>
        <w:t>sharia regulations. ‘</w:t>
      </w:r>
      <w:r w:rsidR="00E87F8A" w:rsidRPr="00F3265F">
        <w:rPr>
          <w:rFonts w:cstheme="minorHAnsi"/>
          <w:sz w:val="22"/>
          <w:szCs w:val="22"/>
        </w:rPr>
        <w:t xml:space="preserve">The 2013 Islamic </w:t>
      </w:r>
      <w:r w:rsidR="005C55C8">
        <w:rPr>
          <w:rFonts w:cstheme="minorHAnsi"/>
          <w:sz w:val="22"/>
          <w:szCs w:val="22"/>
        </w:rPr>
        <w:t xml:space="preserve">Financial Services Act, </w:t>
      </w:r>
      <w:r w:rsidR="00E87F8A" w:rsidRPr="00F3265F">
        <w:rPr>
          <w:rFonts w:cstheme="minorHAnsi"/>
          <w:sz w:val="22"/>
          <w:szCs w:val="22"/>
        </w:rPr>
        <w:t>helped to reduce some of the uncertainty that existed between the courts, the central bank and sharia advisory council, and to provide more clarit</w:t>
      </w:r>
      <w:r w:rsidR="00D21AF2" w:rsidRPr="00F3265F">
        <w:rPr>
          <w:rFonts w:cstheme="minorHAnsi"/>
          <w:sz w:val="22"/>
          <w:szCs w:val="22"/>
        </w:rPr>
        <w:t>y</w:t>
      </w:r>
      <w:r w:rsidR="007B1BB8">
        <w:rPr>
          <w:rFonts w:cstheme="minorHAnsi"/>
          <w:sz w:val="22"/>
          <w:szCs w:val="22"/>
        </w:rPr>
        <w:t xml:space="preserve">.’ </w:t>
      </w:r>
      <w:sdt>
        <w:sdtPr>
          <w:rPr>
            <w:rFonts w:cstheme="minorHAnsi"/>
            <w:sz w:val="22"/>
            <w:szCs w:val="22"/>
          </w:rPr>
          <w:id w:val="781619117"/>
          <w:citation/>
        </w:sdtPr>
        <w:sdtContent>
          <w:r w:rsidR="007B1BB8">
            <w:rPr>
              <w:rFonts w:cstheme="minorHAnsi"/>
              <w:sz w:val="22"/>
              <w:szCs w:val="22"/>
            </w:rPr>
            <w:fldChar w:fldCharType="begin"/>
          </w:r>
          <w:r w:rsidR="007B1BB8">
            <w:rPr>
              <w:rFonts w:cstheme="minorHAnsi"/>
              <w:sz w:val="22"/>
              <w:szCs w:val="22"/>
            </w:rPr>
            <w:instrText xml:space="preserve"> CITATION Ste131 \l 2057 </w:instrText>
          </w:r>
          <w:r w:rsidR="007B1BB8">
            <w:rPr>
              <w:rFonts w:cstheme="minorHAnsi"/>
              <w:sz w:val="22"/>
              <w:szCs w:val="22"/>
            </w:rPr>
            <w:fldChar w:fldCharType="separate"/>
          </w:r>
          <w:r w:rsidR="00C710D3" w:rsidRPr="00C710D3">
            <w:rPr>
              <w:rFonts w:cstheme="minorHAnsi"/>
              <w:noProof/>
              <w:sz w:val="22"/>
              <w:szCs w:val="22"/>
            </w:rPr>
            <w:t>(Lee, 2013)</w:t>
          </w:r>
          <w:r w:rsidR="007B1BB8">
            <w:rPr>
              <w:rFonts w:cstheme="minorHAnsi"/>
              <w:sz w:val="22"/>
              <w:szCs w:val="22"/>
            </w:rPr>
            <w:fldChar w:fldCharType="end"/>
          </w:r>
        </w:sdtContent>
      </w:sdt>
      <w:r w:rsidR="007B1BB8">
        <w:rPr>
          <w:rFonts w:cstheme="minorHAnsi"/>
          <w:sz w:val="22"/>
          <w:szCs w:val="22"/>
        </w:rPr>
        <w:t xml:space="preserve"> </w:t>
      </w:r>
      <w:r w:rsidR="00C53C8D" w:rsidRPr="00F3265F">
        <w:rPr>
          <w:rFonts w:cstheme="minorHAnsi"/>
          <w:sz w:val="22"/>
          <w:szCs w:val="22"/>
        </w:rPr>
        <w:t xml:space="preserve"> It seems more salient now than ever </w:t>
      </w:r>
      <w:r w:rsidR="00AC1538" w:rsidRPr="00F3265F">
        <w:rPr>
          <w:rFonts w:cstheme="minorHAnsi"/>
          <w:sz w:val="22"/>
          <w:szCs w:val="22"/>
        </w:rPr>
        <w:t>that</w:t>
      </w:r>
      <w:r w:rsidR="00C53C8D" w:rsidRPr="00F3265F">
        <w:rPr>
          <w:rFonts w:cstheme="minorHAnsi"/>
          <w:sz w:val="22"/>
          <w:szCs w:val="22"/>
        </w:rPr>
        <w:t xml:space="preserve"> continuous improvement of the environment is ke</w:t>
      </w:r>
      <w:r w:rsidR="00D274D8" w:rsidRPr="00F3265F">
        <w:rPr>
          <w:rFonts w:cstheme="minorHAnsi"/>
          <w:sz w:val="22"/>
          <w:szCs w:val="22"/>
        </w:rPr>
        <w:t>y to strengthening IF</w:t>
      </w:r>
      <w:r w:rsidR="00C53C8D" w:rsidRPr="00F3265F">
        <w:rPr>
          <w:rFonts w:cstheme="minorHAnsi"/>
          <w:sz w:val="22"/>
          <w:szCs w:val="22"/>
        </w:rPr>
        <w:t xml:space="preserve"> for the future. </w:t>
      </w:r>
    </w:p>
    <w:p w14:paraId="77AE1844" w14:textId="77777777" w:rsidR="00594CF3" w:rsidRPr="00F3265F" w:rsidRDefault="00594CF3">
      <w:pPr>
        <w:rPr>
          <w:rFonts w:cstheme="minorHAnsi"/>
          <w:sz w:val="22"/>
          <w:szCs w:val="22"/>
        </w:rPr>
      </w:pPr>
    </w:p>
    <w:p w14:paraId="6454C2E3" w14:textId="6059FF90" w:rsidR="00015A77" w:rsidRPr="00481FA5" w:rsidRDefault="00015A77">
      <w:pPr>
        <w:rPr>
          <w:rFonts w:cstheme="minorHAnsi"/>
          <w:i/>
          <w:u w:val="single"/>
        </w:rPr>
      </w:pPr>
      <w:r w:rsidRPr="00481FA5">
        <w:rPr>
          <w:rFonts w:cstheme="minorHAnsi"/>
          <w:i/>
          <w:noProof/>
          <w:color w:val="0000FF"/>
          <w:u w:val="single"/>
          <w:lang w:eastAsia="en-GB"/>
        </w:rPr>
        <w:drawing>
          <wp:anchor distT="0" distB="0" distL="114300" distR="114300" simplePos="0" relativeHeight="251660288" behindDoc="0" locked="0" layoutInCell="1" allowOverlap="1" wp14:anchorId="70F07F1D" wp14:editId="55496422">
            <wp:simplePos x="0" y="0"/>
            <wp:positionH relativeFrom="column">
              <wp:posOffset>438150</wp:posOffset>
            </wp:positionH>
            <wp:positionV relativeFrom="paragraph">
              <wp:posOffset>264160</wp:posOffset>
            </wp:positionV>
            <wp:extent cx="4486275" cy="2138680"/>
            <wp:effectExtent l="0" t="0" r="9525" b="0"/>
            <wp:wrapSquare wrapText="bothSides"/>
            <wp:docPr id="3" name="Picture 3" descr="Image result for islamic finance succes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slamic finance success">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b="8626"/>
                    <a:stretch/>
                  </pic:blipFill>
                  <pic:spPr bwMode="auto">
                    <a:xfrm>
                      <a:off x="0" y="0"/>
                      <a:ext cx="4486275" cy="213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64AF4" w:rsidRPr="00481FA5">
        <w:rPr>
          <w:rFonts w:cstheme="minorHAnsi"/>
          <w:i/>
          <w:u w:val="single"/>
        </w:rPr>
        <w:t>Figure 5</w:t>
      </w:r>
    </w:p>
    <w:p w14:paraId="22C568CA" w14:textId="77777777" w:rsidR="00015A77" w:rsidRPr="00520292" w:rsidRDefault="00015A77">
      <w:pPr>
        <w:rPr>
          <w:rFonts w:cstheme="minorHAnsi"/>
          <w:u w:val="single"/>
        </w:rPr>
      </w:pPr>
    </w:p>
    <w:p w14:paraId="0A51DD8F" w14:textId="77777777" w:rsidR="00015A77" w:rsidRPr="00520292" w:rsidRDefault="00015A77">
      <w:pPr>
        <w:rPr>
          <w:rFonts w:cstheme="minorHAnsi"/>
          <w:u w:val="single"/>
        </w:rPr>
      </w:pPr>
    </w:p>
    <w:p w14:paraId="01AD7811" w14:textId="77777777" w:rsidR="00564EC3" w:rsidRPr="00520292" w:rsidRDefault="00564EC3">
      <w:pPr>
        <w:rPr>
          <w:rFonts w:cstheme="minorHAnsi"/>
          <w:u w:val="single"/>
        </w:rPr>
      </w:pPr>
    </w:p>
    <w:p w14:paraId="76E3D1BB" w14:textId="77777777" w:rsidR="008818AF" w:rsidRPr="00520292" w:rsidRDefault="008818AF">
      <w:pPr>
        <w:rPr>
          <w:rFonts w:cstheme="minorHAnsi"/>
          <w:lang w:val="en-US"/>
        </w:rPr>
      </w:pPr>
    </w:p>
    <w:p w14:paraId="1CF1DD90" w14:textId="77777777" w:rsidR="008818AF" w:rsidRPr="00520292" w:rsidRDefault="008818AF">
      <w:pPr>
        <w:rPr>
          <w:rFonts w:cstheme="minorHAnsi"/>
          <w:lang w:val="en-US"/>
        </w:rPr>
      </w:pPr>
    </w:p>
    <w:p w14:paraId="05CD93A4" w14:textId="77777777" w:rsidR="008818AF" w:rsidRPr="00520292" w:rsidRDefault="008818AF">
      <w:pPr>
        <w:rPr>
          <w:rFonts w:cstheme="minorHAnsi"/>
          <w:lang w:val="en-US"/>
        </w:rPr>
      </w:pPr>
    </w:p>
    <w:p w14:paraId="3AA5A224" w14:textId="77777777" w:rsidR="008818AF" w:rsidRPr="00520292" w:rsidRDefault="008818AF">
      <w:pPr>
        <w:rPr>
          <w:rFonts w:cstheme="minorHAnsi"/>
          <w:lang w:val="en-US"/>
        </w:rPr>
      </w:pPr>
    </w:p>
    <w:p w14:paraId="7F4A1551" w14:textId="77777777" w:rsidR="008818AF" w:rsidRPr="00520292" w:rsidRDefault="008818AF">
      <w:pPr>
        <w:rPr>
          <w:rFonts w:cstheme="minorHAnsi"/>
          <w:lang w:val="en-US"/>
        </w:rPr>
      </w:pPr>
    </w:p>
    <w:p w14:paraId="04AE22CB" w14:textId="7CFD11FF" w:rsidR="00084058" w:rsidRPr="006D579D" w:rsidRDefault="006D579D" w:rsidP="006D579D">
      <w:pPr>
        <w:jc w:val="right"/>
        <w:rPr>
          <w:rFonts w:cstheme="minorHAnsi"/>
          <w:sz w:val="22"/>
          <w:szCs w:val="22"/>
          <w:lang w:val="en-US"/>
        </w:rPr>
      </w:pPr>
      <w:sdt>
        <w:sdtPr>
          <w:rPr>
            <w:rFonts w:cstheme="minorHAnsi"/>
            <w:sz w:val="22"/>
            <w:szCs w:val="22"/>
            <w:lang w:val="en-US"/>
          </w:rPr>
          <w:id w:val="1840654137"/>
          <w:citation/>
        </w:sdtPr>
        <w:sdtContent>
          <w:r w:rsidRPr="006D579D">
            <w:rPr>
              <w:rFonts w:cstheme="minorHAnsi"/>
              <w:sz w:val="22"/>
              <w:szCs w:val="22"/>
              <w:lang w:val="en-US"/>
            </w:rPr>
            <w:fldChar w:fldCharType="begin"/>
          </w:r>
          <w:r w:rsidRPr="006D579D">
            <w:rPr>
              <w:rFonts w:cstheme="minorHAnsi"/>
              <w:sz w:val="22"/>
              <w:szCs w:val="22"/>
            </w:rPr>
            <w:instrText xml:space="preserve"> CITATION Phi12 \l 2057 </w:instrText>
          </w:r>
          <w:r w:rsidRPr="006D579D">
            <w:rPr>
              <w:rFonts w:cstheme="minorHAnsi"/>
              <w:sz w:val="22"/>
              <w:szCs w:val="22"/>
              <w:lang w:val="en-US"/>
            </w:rPr>
            <w:fldChar w:fldCharType="separate"/>
          </w:r>
          <w:r w:rsidR="00C710D3" w:rsidRPr="00C710D3">
            <w:rPr>
              <w:rFonts w:cstheme="minorHAnsi"/>
              <w:noProof/>
              <w:sz w:val="22"/>
              <w:szCs w:val="22"/>
            </w:rPr>
            <w:t>(Alexander, 2012)</w:t>
          </w:r>
          <w:r w:rsidRPr="006D579D">
            <w:rPr>
              <w:rFonts w:cstheme="minorHAnsi"/>
              <w:sz w:val="22"/>
              <w:szCs w:val="22"/>
              <w:lang w:val="en-US"/>
            </w:rPr>
            <w:fldChar w:fldCharType="end"/>
          </w:r>
        </w:sdtContent>
      </w:sdt>
    </w:p>
    <w:p w14:paraId="257F0633" w14:textId="1B16BB5E" w:rsidR="00230242" w:rsidRPr="00526E1D" w:rsidRDefault="00593D35">
      <w:pPr>
        <w:rPr>
          <w:rFonts w:cstheme="minorHAnsi"/>
          <w:sz w:val="22"/>
          <w:szCs w:val="22"/>
          <w:lang w:val="en-US"/>
        </w:rPr>
      </w:pPr>
      <w:r w:rsidRPr="00526E1D">
        <w:rPr>
          <w:rFonts w:cstheme="minorHAnsi"/>
          <w:sz w:val="22"/>
          <w:szCs w:val="22"/>
          <w:lang w:val="en-US"/>
        </w:rPr>
        <w:t xml:space="preserve">Unlike past figures, </w:t>
      </w:r>
      <w:r w:rsidR="00984DE0" w:rsidRPr="00526E1D">
        <w:rPr>
          <w:rFonts w:cstheme="minorHAnsi"/>
          <w:sz w:val="22"/>
          <w:szCs w:val="22"/>
          <w:lang w:val="en-US"/>
        </w:rPr>
        <w:t xml:space="preserve">Figure 5 actually illuminates a negative aspect of IF. </w:t>
      </w:r>
      <w:r w:rsidR="005871C3" w:rsidRPr="00526E1D">
        <w:rPr>
          <w:rFonts w:cstheme="minorHAnsi"/>
          <w:sz w:val="22"/>
          <w:szCs w:val="22"/>
          <w:lang w:val="en-US"/>
        </w:rPr>
        <w:t>The</w:t>
      </w:r>
      <w:r w:rsidR="00E64AF4" w:rsidRPr="00526E1D">
        <w:rPr>
          <w:rFonts w:cstheme="minorHAnsi"/>
          <w:sz w:val="22"/>
          <w:szCs w:val="22"/>
          <w:lang w:val="en-US"/>
        </w:rPr>
        <w:t xml:space="preserve"> majority of Mena countries on this graph are actually making a loss</w:t>
      </w:r>
      <w:r w:rsidR="005871C3" w:rsidRPr="00526E1D">
        <w:rPr>
          <w:rFonts w:cstheme="minorHAnsi"/>
          <w:sz w:val="22"/>
          <w:szCs w:val="22"/>
          <w:lang w:val="en-US"/>
        </w:rPr>
        <w:t xml:space="preserve"> on ROA</w:t>
      </w:r>
      <w:r w:rsidR="00E64AF4" w:rsidRPr="00526E1D">
        <w:rPr>
          <w:rFonts w:cstheme="minorHAnsi"/>
          <w:sz w:val="22"/>
          <w:szCs w:val="22"/>
          <w:lang w:val="en-US"/>
        </w:rPr>
        <w:t xml:space="preserve">. </w:t>
      </w:r>
      <w:r w:rsidR="00043D0D" w:rsidRPr="00526E1D">
        <w:rPr>
          <w:rFonts w:cstheme="minorHAnsi"/>
          <w:sz w:val="22"/>
          <w:szCs w:val="22"/>
          <w:lang w:val="en-US"/>
        </w:rPr>
        <w:t xml:space="preserve">Perhaps this is a reason why the share of Islamic banks in Pakistan in comparison to the global Shariah compliant banking assets is only 1%. </w:t>
      </w:r>
      <w:r w:rsidR="00230242" w:rsidRPr="00526E1D">
        <w:rPr>
          <w:rFonts w:cstheme="minorHAnsi"/>
          <w:sz w:val="22"/>
          <w:szCs w:val="22"/>
          <w:lang w:val="en-US"/>
        </w:rPr>
        <w:t xml:space="preserve">However, </w:t>
      </w:r>
      <w:r w:rsidR="000414A6" w:rsidRPr="00526E1D">
        <w:rPr>
          <w:rFonts w:cstheme="minorHAnsi"/>
          <w:sz w:val="22"/>
          <w:szCs w:val="22"/>
          <w:lang w:val="en-US"/>
        </w:rPr>
        <w:t>‘t</w:t>
      </w:r>
      <w:r w:rsidR="00230242" w:rsidRPr="00526E1D">
        <w:rPr>
          <w:rFonts w:cstheme="minorHAnsi"/>
          <w:sz w:val="22"/>
          <w:szCs w:val="22"/>
          <w:lang w:val="en-US"/>
        </w:rPr>
        <w:t xml:space="preserve">otal assets of Shariah-compliant banks in the country increased 21.9% to Rs2.48 trillion in the year ended June 30, 2018. With this, the market </w:t>
      </w:r>
      <w:r w:rsidR="000414A6" w:rsidRPr="00526E1D">
        <w:rPr>
          <w:rFonts w:cstheme="minorHAnsi"/>
          <w:sz w:val="22"/>
          <w:szCs w:val="22"/>
          <w:lang w:val="en-US"/>
        </w:rPr>
        <w:t>shares</w:t>
      </w:r>
      <w:r w:rsidR="00230242" w:rsidRPr="00526E1D">
        <w:rPr>
          <w:rFonts w:cstheme="minorHAnsi"/>
          <w:sz w:val="22"/>
          <w:szCs w:val="22"/>
          <w:lang w:val="en-US"/>
        </w:rPr>
        <w:t xml:space="preserve"> of Islamic banking assets surged to 12.9% in the overall banking industry compar</w:t>
      </w:r>
      <w:r w:rsidR="001B7236">
        <w:rPr>
          <w:rFonts w:cstheme="minorHAnsi"/>
          <w:sz w:val="22"/>
          <w:szCs w:val="22"/>
          <w:lang w:val="en-US"/>
        </w:rPr>
        <w:t xml:space="preserve">ed to 11.6% in June last year.’ </w:t>
      </w:r>
      <w:sdt>
        <w:sdtPr>
          <w:rPr>
            <w:rFonts w:cstheme="minorHAnsi"/>
            <w:sz w:val="22"/>
            <w:szCs w:val="22"/>
            <w:lang w:val="en-US"/>
          </w:rPr>
          <w:id w:val="-47461399"/>
          <w:citation/>
        </w:sdtPr>
        <w:sdtContent>
          <w:r w:rsidR="001B7236">
            <w:rPr>
              <w:rFonts w:cstheme="minorHAnsi"/>
              <w:sz w:val="22"/>
              <w:szCs w:val="22"/>
              <w:lang w:val="en-US"/>
            </w:rPr>
            <w:fldChar w:fldCharType="begin"/>
          </w:r>
          <w:r w:rsidR="001B7236">
            <w:rPr>
              <w:rFonts w:cstheme="minorHAnsi"/>
              <w:sz w:val="22"/>
              <w:szCs w:val="22"/>
            </w:rPr>
            <w:instrText xml:space="preserve"> CITATION Sal18 \l 2057 </w:instrText>
          </w:r>
          <w:r w:rsidR="001B7236">
            <w:rPr>
              <w:rFonts w:cstheme="minorHAnsi"/>
              <w:sz w:val="22"/>
              <w:szCs w:val="22"/>
              <w:lang w:val="en-US"/>
            </w:rPr>
            <w:fldChar w:fldCharType="separate"/>
          </w:r>
          <w:r w:rsidR="00C710D3" w:rsidRPr="00C710D3">
            <w:rPr>
              <w:rFonts w:cstheme="minorHAnsi"/>
              <w:noProof/>
              <w:sz w:val="22"/>
              <w:szCs w:val="22"/>
            </w:rPr>
            <w:t>(Siddiqui, 2018)</w:t>
          </w:r>
          <w:r w:rsidR="001B7236">
            <w:rPr>
              <w:rFonts w:cstheme="minorHAnsi"/>
              <w:sz w:val="22"/>
              <w:szCs w:val="22"/>
              <w:lang w:val="en-US"/>
            </w:rPr>
            <w:fldChar w:fldCharType="end"/>
          </w:r>
        </w:sdtContent>
      </w:sdt>
    </w:p>
    <w:p w14:paraId="64EF04BC" w14:textId="6F1ADAEC" w:rsidR="00BB0CDB" w:rsidRPr="00526E1D" w:rsidRDefault="00C4034B">
      <w:pPr>
        <w:rPr>
          <w:rFonts w:cstheme="minorHAnsi"/>
          <w:color w:val="0070C0"/>
          <w:sz w:val="22"/>
          <w:szCs w:val="22"/>
        </w:rPr>
      </w:pPr>
      <w:r w:rsidRPr="00526E1D">
        <w:rPr>
          <w:sz w:val="22"/>
          <w:szCs w:val="22"/>
          <w:lang w:val="en-US"/>
        </w:rPr>
        <w:t xml:space="preserve">Where Pakistan is doing well to recognise and address areas for </w:t>
      </w:r>
      <w:r w:rsidR="002966F2" w:rsidRPr="00526E1D">
        <w:rPr>
          <w:sz w:val="22"/>
          <w:szCs w:val="22"/>
          <w:lang w:val="en-US"/>
        </w:rPr>
        <w:t>enhancement</w:t>
      </w:r>
      <w:r w:rsidRPr="00526E1D">
        <w:rPr>
          <w:sz w:val="22"/>
          <w:szCs w:val="22"/>
          <w:lang w:val="en-US"/>
        </w:rPr>
        <w:t xml:space="preserve">, perhaps there is a </w:t>
      </w:r>
      <w:r w:rsidR="002966F2" w:rsidRPr="00526E1D">
        <w:rPr>
          <w:sz w:val="22"/>
          <w:szCs w:val="22"/>
          <w:lang w:val="en-US"/>
        </w:rPr>
        <w:t>superior</w:t>
      </w:r>
      <w:r w:rsidRPr="00526E1D">
        <w:rPr>
          <w:sz w:val="22"/>
          <w:szCs w:val="22"/>
          <w:lang w:val="en-US"/>
        </w:rPr>
        <w:t xml:space="preserve"> weakness of IF that is somewhat harder to overcome. It has been suggested by</w:t>
      </w:r>
      <w:r w:rsidR="008F54CE" w:rsidRPr="00526E1D">
        <w:rPr>
          <w:sz w:val="22"/>
          <w:szCs w:val="22"/>
          <w:lang w:val="en-US"/>
        </w:rPr>
        <w:t xml:space="preserve"> </w:t>
      </w:r>
      <w:r w:rsidRPr="00526E1D">
        <w:rPr>
          <w:sz w:val="22"/>
          <w:szCs w:val="22"/>
          <w:lang w:val="en-US"/>
        </w:rPr>
        <w:t>that there are key factors to ensure sustainability for IF. One of these factors is the need for high quality, Shariah based pro</w:t>
      </w:r>
      <w:r w:rsidR="001A15C2" w:rsidRPr="00526E1D">
        <w:rPr>
          <w:sz w:val="22"/>
          <w:szCs w:val="22"/>
          <w:lang w:val="en-US"/>
        </w:rPr>
        <w:t>ducts that avoid haram.</w:t>
      </w:r>
      <w:r w:rsidR="007A0217">
        <w:rPr>
          <w:sz w:val="22"/>
          <w:szCs w:val="22"/>
          <w:lang w:val="en-US"/>
        </w:rPr>
        <w:t xml:space="preserve"> </w:t>
      </w:r>
      <w:sdt>
        <w:sdtPr>
          <w:rPr>
            <w:sz w:val="22"/>
            <w:szCs w:val="22"/>
            <w:lang w:val="en-US"/>
          </w:rPr>
          <w:id w:val="1998299039"/>
          <w:citation/>
        </w:sdtPr>
        <w:sdtContent>
          <w:r w:rsidR="007A0217">
            <w:rPr>
              <w:sz w:val="22"/>
              <w:szCs w:val="22"/>
              <w:lang w:val="en-US"/>
            </w:rPr>
            <w:fldChar w:fldCharType="begin"/>
          </w:r>
          <w:r w:rsidR="007A0217">
            <w:rPr>
              <w:sz w:val="22"/>
              <w:szCs w:val="22"/>
            </w:rPr>
            <w:instrText xml:space="preserve"> CITATION The185 \l 2057 </w:instrText>
          </w:r>
          <w:r w:rsidR="007A0217">
            <w:rPr>
              <w:sz w:val="22"/>
              <w:szCs w:val="22"/>
              <w:lang w:val="en-US"/>
            </w:rPr>
            <w:fldChar w:fldCharType="separate"/>
          </w:r>
          <w:r w:rsidR="00C710D3" w:rsidRPr="00C710D3">
            <w:rPr>
              <w:noProof/>
              <w:sz w:val="22"/>
              <w:szCs w:val="22"/>
            </w:rPr>
            <w:t>(Reserve, 2018)</w:t>
          </w:r>
          <w:r w:rsidR="007A0217">
            <w:rPr>
              <w:sz w:val="22"/>
              <w:szCs w:val="22"/>
              <w:lang w:val="en-US"/>
            </w:rPr>
            <w:fldChar w:fldCharType="end"/>
          </w:r>
        </w:sdtContent>
      </w:sdt>
      <w:r w:rsidR="001A15C2" w:rsidRPr="00526E1D">
        <w:rPr>
          <w:sz w:val="22"/>
          <w:szCs w:val="22"/>
          <w:lang w:val="en-US"/>
        </w:rPr>
        <w:t xml:space="preserve"> </w:t>
      </w:r>
      <w:r w:rsidR="009815B6">
        <w:rPr>
          <w:sz w:val="22"/>
          <w:szCs w:val="22"/>
          <w:lang w:val="en-US"/>
        </w:rPr>
        <w:t>The</w:t>
      </w:r>
      <w:r w:rsidR="001A15C2" w:rsidRPr="00526E1D">
        <w:rPr>
          <w:sz w:val="22"/>
          <w:szCs w:val="22"/>
          <w:lang w:val="en-US"/>
        </w:rPr>
        <w:t xml:space="preserve"> expenses required by Islamic Ins</w:t>
      </w:r>
      <w:r w:rsidR="00934859" w:rsidRPr="00526E1D">
        <w:rPr>
          <w:sz w:val="22"/>
          <w:szCs w:val="22"/>
          <w:lang w:val="en-US"/>
        </w:rPr>
        <w:t xml:space="preserve">titutions can be considerable. </w:t>
      </w:r>
      <w:r w:rsidR="002966F2" w:rsidRPr="00526E1D">
        <w:rPr>
          <w:sz w:val="22"/>
          <w:szCs w:val="22"/>
          <w:lang w:val="en-US"/>
        </w:rPr>
        <w:t xml:space="preserve">Due to this, </w:t>
      </w:r>
      <w:r w:rsidR="00934859" w:rsidRPr="00526E1D">
        <w:rPr>
          <w:sz w:val="22"/>
          <w:szCs w:val="22"/>
          <w:lang w:val="en-US"/>
        </w:rPr>
        <w:t>‘</w:t>
      </w:r>
      <w:r w:rsidR="002966F2" w:rsidRPr="00526E1D">
        <w:rPr>
          <w:rFonts w:cstheme="minorHAnsi"/>
          <w:sz w:val="22"/>
          <w:szCs w:val="22"/>
        </w:rPr>
        <w:t>t</w:t>
      </w:r>
      <w:r w:rsidR="00934859" w:rsidRPr="00526E1D">
        <w:rPr>
          <w:rFonts w:cstheme="minorHAnsi"/>
          <w:sz w:val="22"/>
          <w:szCs w:val="22"/>
        </w:rPr>
        <w:t>he pace of innovation of new Islamic financial products may be considerably slower than that of conventional</w:t>
      </w:r>
      <w:r w:rsidR="00A53E60" w:rsidRPr="00526E1D">
        <w:rPr>
          <w:rFonts w:cstheme="minorHAnsi"/>
          <w:sz w:val="22"/>
          <w:szCs w:val="22"/>
        </w:rPr>
        <w:t xml:space="preserve"> products. This may make IF</w:t>
      </w:r>
      <w:r w:rsidR="00934859" w:rsidRPr="00526E1D">
        <w:rPr>
          <w:rFonts w:cstheme="minorHAnsi"/>
          <w:sz w:val="22"/>
          <w:szCs w:val="22"/>
        </w:rPr>
        <w:t xml:space="preserve"> less able to compe</w:t>
      </w:r>
      <w:r w:rsidR="00A53E60" w:rsidRPr="00526E1D">
        <w:rPr>
          <w:rFonts w:cstheme="minorHAnsi"/>
          <w:sz w:val="22"/>
          <w:szCs w:val="22"/>
        </w:rPr>
        <w:t>te with conventional financial</w:t>
      </w:r>
      <w:r w:rsidR="00934859" w:rsidRPr="00526E1D">
        <w:rPr>
          <w:rFonts w:cstheme="minorHAnsi"/>
          <w:sz w:val="22"/>
          <w:szCs w:val="22"/>
        </w:rPr>
        <w:t xml:space="preserve"> and may make it restrict its activities to smaller, niche markets.’</w:t>
      </w:r>
      <w:r w:rsidR="0094480D">
        <w:rPr>
          <w:rFonts w:cstheme="minorHAnsi"/>
          <w:sz w:val="22"/>
          <w:szCs w:val="22"/>
        </w:rPr>
        <w:t xml:space="preserve"> </w:t>
      </w:r>
      <w:sdt>
        <w:sdtPr>
          <w:rPr>
            <w:rFonts w:cstheme="minorHAnsi"/>
            <w:sz w:val="22"/>
            <w:szCs w:val="22"/>
          </w:rPr>
          <w:id w:val="418830671"/>
          <w:citation/>
        </w:sdtPr>
        <w:sdtContent>
          <w:r w:rsidR="0094480D">
            <w:rPr>
              <w:rFonts w:cstheme="minorHAnsi"/>
              <w:sz w:val="22"/>
              <w:szCs w:val="22"/>
            </w:rPr>
            <w:fldChar w:fldCharType="begin"/>
          </w:r>
          <w:r w:rsidR="0094480D">
            <w:rPr>
              <w:rFonts w:cstheme="minorHAnsi"/>
              <w:sz w:val="22"/>
              <w:szCs w:val="22"/>
            </w:rPr>
            <w:instrText xml:space="preserve"> CITATION Chi171 \l 2057 </w:instrText>
          </w:r>
          <w:r w:rsidR="0094480D">
            <w:rPr>
              <w:rFonts w:cstheme="minorHAnsi"/>
              <w:sz w:val="22"/>
              <w:szCs w:val="22"/>
            </w:rPr>
            <w:fldChar w:fldCharType="separate"/>
          </w:r>
          <w:r w:rsidR="00C710D3" w:rsidRPr="00C710D3">
            <w:rPr>
              <w:rFonts w:cstheme="minorHAnsi"/>
              <w:noProof/>
              <w:sz w:val="22"/>
              <w:szCs w:val="22"/>
            </w:rPr>
            <w:t>(Moinuddin, 2017)</w:t>
          </w:r>
          <w:r w:rsidR="0094480D">
            <w:rPr>
              <w:rFonts w:cstheme="minorHAnsi"/>
              <w:sz w:val="22"/>
              <w:szCs w:val="22"/>
            </w:rPr>
            <w:fldChar w:fldCharType="end"/>
          </w:r>
        </w:sdtContent>
      </w:sdt>
    </w:p>
    <w:p w14:paraId="398A7F4E" w14:textId="4305C789" w:rsidR="00122D72" w:rsidRDefault="00122D72">
      <w:pPr>
        <w:rPr>
          <w:rFonts w:cstheme="minorHAnsi"/>
          <w:color w:val="0070C0"/>
        </w:rPr>
      </w:pPr>
    </w:p>
    <w:p w14:paraId="4FC4B899" w14:textId="53242275" w:rsidR="00084058" w:rsidRDefault="00084058">
      <w:pPr>
        <w:rPr>
          <w:rFonts w:cstheme="minorHAnsi"/>
          <w:color w:val="0070C0"/>
        </w:rPr>
      </w:pPr>
    </w:p>
    <w:p w14:paraId="2C4ABC32" w14:textId="0BE06CBD" w:rsidR="00084058" w:rsidRDefault="00084058">
      <w:pPr>
        <w:rPr>
          <w:rFonts w:cstheme="minorHAnsi"/>
          <w:color w:val="0070C0"/>
        </w:rPr>
      </w:pPr>
    </w:p>
    <w:p w14:paraId="47B88804" w14:textId="6A674F55" w:rsidR="00084058" w:rsidRPr="00122D72" w:rsidRDefault="00084058">
      <w:pPr>
        <w:rPr>
          <w:rFonts w:cstheme="minorHAnsi"/>
          <w:color w:val="0070C0"/>
        </w:rPr>
      </w:pPr>
    </w:p>
    <w:p w14:paraId="123E6138" w14:textId="3D6FF306" w:rsidR="008D0A75" w:rsidRPr="00084058" w:rsidRDefault="00A4737C" w:rsidP="008D0A75">
      <w:pPr>
        <w:rPr>
          <w:b/>
          <w:sz w:val="22"/>
          <w:szCs w:val="22"/>
          <w:u w:val="single"/>
        </w:rPr>
      </w:pPr>
      <w:r w:rsidRPr="00084058">
        <w:rPr>
          <w:b/>
          <w:sz w:val="22"/>
          <w:szCs w:val="22"/>
          <w:u w:val="single"/>
        </w:rPr>
        <w:lastRenderedPageBreak/>
        <w:t xml:space="preserve">2.3 </w:t>
      </w:r>
      <w:r w:rsidR="009304D1" w:rsidRPr="00084058">
        <w:rPr>
          <w:b/>
          <w:sz w:val="22"/>
          <w:szCs w:val="22"/>
          <w:u w:val="single"/>
        </w:rPr>
        <w:t>Resilience to Global Crisis</w:t>
      </w:r>
    </w:p>
    <w:p w14:paraId="200C4C6B" w14:textId="252C0B84" w:rsidR="008D0A75" w:rsidRPr="008D0A75" w:rsidRDefault="00CF5F41" w:rsidP="008D0A75">
      <w:pPr>
        <w:rPr>
          <w:i/>
          <w:u w:val="single"/>
        </w:rPr>
      </w:pPr>
      <w:r>
        <w:rPr>
          <w:noProof/>
          <w:color w:val="0000FF"/>
          <w:lang w:eastAsia="en-GB"/>
        </w:rPr>
        <w:drawing>
          <wp:anchor distT="0" distB="0" distL="114300" distR="114300" simplePos="0" relativeHeight="251664384" behindDoc="0" locked="0" layoutInCell="1" allowOverlap="1" wp14:anchorId="3A5C2F1B" wp14:editId="35718B00">
            <wp:simplePos x="0" y="0"/>
            <wp:positionH relativeFrom="column">
              <wp:posOffset>-238125</wp:posOffset>
            </wp:positionH>
            <wp:positionV relativeFrom="paragraph">
              <wp:posOffset>260350</wp:posOffset>
            </wp:positionV>
            <wp:extent cx="2899410" cy="2858770"/>
            <wp:effectExtent l="0" t="0" r="0" b="0"/>
            <wp:wrapSquare wrapText="bothSides"/>
            <wp:docPr id="7" name="Picture 7" descr="Image result for islamic finance statistic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slamic finance statistics">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9410" cy="28587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eastAsia="en-GB"/>
        </w:rPr>
        <w:drawing>
          <wp:anchor distT="0" distB="0" distL="114300" distR="114300" simplePos="0" relativeHeight="251665408" behindDoc="0" locked="0" layoutInCell="1" allowOverlap="1" wp14:anchorId="3D8A8297" wp14:editId="41DAB4D9">
            <wp:simplePos x="0" y="0"/>
            <wp:positionH relativeFrom="column">
              <wp:posOffset>3048000</wp:posOffset>
            </wp:positionH>
            <wp:positionV relativeFrom="paragraph">
              <wp:posOffset>260350</wp:posOffset>
            </wp:positionV>
            <wp:extent cx="2867025" cy="2858770"/>
            <wp:effectExtent l="0" t="0" r="9525" b="0"/>
            <wp:wrapSquare wrapText="bothSides"/>
            <wp:docPr id="8" name="Picture 8" descr="Image result for islamic finance during crisis statistic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slamic finance during crisis statistics">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67025" cy="285877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3D8">
        <w:rPr>
          <w:i/>
          <w:u w:val="single"/>
        </w:rPr>
        <w:t>Figure 6</w:t>
      </w:r>
      <w:r w:rsidRPr="00CF5F41">
        <w:rPr>
          <w:i/>
        </w:rPr>
        <w:tab/>
      </w:r>
      <w:r w:rsidRPr="00CF5F41">
        <w:rPr>
          <w:i/>
        </w:rPr>
        <w:tab/>
      </w:r>
      <w:r w:rsidRPr="00CF5F41">
        <w:rPr>
          <w:i/>
        </w:rPr>
        <w:tab/>
      </w:r>
      <w:r w:rsidRPr="00CF5F41">
        <w:rPr>
          <w:i/>
        </w:rPr>
        <w:tab/>
      </w:r>
      <w:r w:rsidRPr="00CF5F41">
        <w:rPr>
          <w:i/>
        </w:rPr>
        <w:tab/>
        <w:t xml:space="preserve">               </w:t>
      </w:r>
      <w:r w:rsidR="002E73D8">
        <w:rPr>
          <w:i/>
          <w:u w:val="single"/>
        </w:rPr>
        <w:t xml:space="preserve"> Figure 7</w:t>
      </w:r>
    </w:p>
    <w:p w14:paraId="67F5CBA3" w14:textId="5DE36495" w:rsidR="00564EC3" w:rsidRDefault="00564EC3"/>
    <w:p w14:paraId="779695E5" w14:textId="368029E1" w:rsidR="0035172D" w:rsidRPr="0035172D" w:rsidRDefault="0035172D" w:rsidP="0035172D">
      <w:pPr>
        <w:jc w:val="right"/>
        <w:rPr>
          <w:rFonts w:ascii="Calibri" w:hAnsi="Calibri" w:cs="Calibri"/>
          <w:sz w:val="22"/>
          <w:szCs w:val="22"/>
        </w:rPr>
      </w:pPr>
      <w:sdt>
        <w:sdtPr>
          <w:rPr>
            <w:rFonts w:ascii="Calibri" w:hAnsi="Calibri" w:cs="Calibri"/>
            <w:sz w:val="22"/>
            <w:szCs w:val="22"/>
          </w:rPr>
          <w:id w:val="897325726"/>
          <w:citation/>
        </w:sdtPr>
        <w:sdtContent>
          <w:r w:rsidRPr="0035172D">
            <w:rPr>
              <w:rFonts w:ascii="Calibri" w:hAnsi="Calibri" w:cs="Calibri"/>
              <w:sz w:val="22"/>
              <w:szCs w:val="22"/>
            </w:rPr>
            <w:fldChar w:fldCharType="begin"/>
          </w:r>
          <w:r w:rsidRPr="0035172D">
            <w:rPr>
              <w:rFonts w:ascii="Calibri" w:hAnsi="Calibri" w:cs="Calibri"/>
              <w:sz w:val="22"/>
              <w:szCs w:val="22"/>
            </w:rPr>
            <w:instrText xml:space="preserve"> CITATION Int10 \l 2057 </w:instrText>
          </w:r>
          <w:r w:rsidRPr="0035172D">
            <w:rPr>
              <w:rFonts w:ascii="Calibri" w:hAnsi="Calibri" w:cs="Calibri"/>
              <w:sz w:val="22"/>
              <w:szCs w:val="22"/>
            </w:rPr>
            <w:fldChar w:fldCharType="separate"/>
          </w:r>
          <w:r w:rsidR="00C710D3" w:rsidRPr="00C710D3">
            <w:rPr>
              <w:rFonts w:ascii="Calibri" w:hAnsi="Calibri" w:cs="Calibri"/>
              <w:noProof/>
              <w:sz w:val="22"/>
              <w:szCs w:val="22"/>
            </w:rPr>
            <w:t>(International Monetary Fund, 2010)</w:t>
          </w:r>
          <w:r w:rsidRPr="0035172D">
            <w:rPr>
              <w:rFonts w:ascii="Calibri" w:hAnsi="Calibri" w:cs="Calibri"/>
              <w:sz w:val="22"/>
              <w:szCs w:val="22"/>
            </w:rPr>
            <w:fldChar w:fldCharType="end"/>
          </w:r>
        </w:sdtContent>
      </w:sdt>
    </w:p>
    <w:p w14:paraId="50A49268" w14:textId="3585B991" w:rsidR="007B72FD" w:rsidRPr="00E07F93" w:rsidRDefault="007B72FD" w:rsidP="007B72FD">
      <w:pPr>
        <w:rPr>
          <w:rFonts w:cstheme="minorHAnsi"/>
          <w:color w:val="FF0000"/>
          <w:sz w:val="22"/>
          <w:szCs w:val="22"/>
          <w:lang w:val="en"/>
        </w:rPr>
      </w:pPr>
      <w:r w:rsidRPr="00E07F93">
        <w:rPr>
          <w:rFonts w:eastAsia="Times New Roman" w:cstheme="minorHAnsi"/>
          <w:sz w:val="22"/>
          <w:szCs w:val="22"/>
          <w:lang w:eastAsia="en-GB"/>
        </w:rPr>
        <w:t>In 2008, we faced the recession. Using this as an example, it seems that perhaps IF could indeed have enabled institutions to tackle such an issue. I use the word tackle cautiously; statistics reveal that IF institutions were affected from this economic bust, however seemingly, not as severely as conventional banking. Under the Riba and Gharar, any products that a seller cannot deliver and does not currently possess are exempt from Islamic contracts. Under Sharia Laws, a direct link to assets, ‘</w:t>
      </w:r>
      <w:r w:rsidRPr="00E07F93">
        <w:rPr>
          <w:sz w:val="22"/>
          <w:szCs w:val="22"/>
        </w:rPr>
        <w:t xml:space="preserve">is key to the acceptability of Islamic securities’. </w:t>
      </w:r>
      <w:sdt>
        <w:sdtPr>
          <w:rPr>
            <w:sz w:val="22"/>
            <w:szCs w:val="22"/>
          </w:rPr>
          <w:id w:val="-835220330"/>
          <w:citation/>
        </w:sdtPr>
        <w:sdtEndPr/>
        <w:sdtContent>
          <w:r w:rsidRPr="00E07F93">
            <w:rPr>
              <w:sz w:val="22"/>
              <w:szCs w:val="22"/>
            </w:rPr>
            <w:fldChar w:fldCharType="begin"/>
          </w:r>
          <w:r w:rsidRPr="00E07F93">
            <w:rPr>
              <w:sz w:val="22"/>
              <w:szCs w:val="22"/>
            </w:rPr>
            <w:instrText xml:space="preserve"> CITATION Chi171 \l 2057 </w:instrText>
          </w:r>
          <w:r w:rsidRPr="00E07F93">
            <w:rPr>
              <w:sz w:val="22"/>
              <w:szCs w:val="22"/>
            </w:rPr>
            <w:fldChar w:fldCharType="separate"/>
          </w:r>
          <w:r w:rsidR="00C710D3" w:rsidRPr="00C710D3">
            <w:rPr>
              <w:noProof/>
              <w:sz w:val="22"/>
              <w:szCs w:val="22"/>
            </w:rPr>
            <w:t>(Moinuddin, 2017)</w:t>
          </w:r>
          <w:r w:rsidRPr="00E07F93">
            <w:rPr>
              <w:sz w:val="22"/>
              <w:szCs w:val="22"/>
            </w:rPr>
            <w:fldChar w:fldCharType="end"/>
          </w:r>
        </w:sdtContent>
      </w:sdt>
      <w:r w:rsidR="002204AE" w:rsidRPr="00E07F93">
        <w:rPr>
          <w:sz w:val="22"/>
          <w:szCs w:val="22"/>
        </w:rPr>
        <w:t xml:space="preserve"> Figure 6</w:t>
      </w:r>
      <w:r w:rsidRPr="00E07F93">
        <w:rPr>
          <w:sz w:val="22"/>
          <w:szCs w:val="22"/>
        </w:rPr>
        <w:t xml:space="preserve"> can be used to demonstrate the way in which this factor of IF protects customers against such trading, which had less resultant implications from the economic crisis. The graph reveals that between 2007 to 2008, although Islamic banks were subject to a loss in profitability, there was a staggering 25% difference between that of the conventional banking system. </w:t>
      </w:r>
    </w:p>
    <w:p w14:paraId="549180BD" w14:textId="08B39D5A" w:rsidR="007B72FD" w:rsidRPr="00E07F93" w:rsidRDefault="007D3FBB" w:rsidP="007B72FD">
      <w:pPr>
        <w:rPr>
          <w:sz w:val="22"/>
          <w:szCs w:val="22"/>
        </w:rPr>
      </w:pPr>
      <w:r>
        <w:rPr>
          <w:sz w:val="22"/>
          <w:szCs w:val="22"/>
        </w:rPr>
        <w:t xml:space="preserve">However, we cannot ignore </w:t>
      </w:r>
      <w:r w:rsidR="007B72FD" w:rsidRPr="00E07F93">
        <w:rPr>
          <w:sz w:val="22"/>
          <w:szCs w:val="22"/>
        </w:rPr>
        <w:t xml:space="preserve">‘issues may have arisen with regards to liquidity of the market as the Islamic financial sector is in the process of developing more fluid liquidity tools.’ </w:t>
      </w:r>
      <w:sdt>
        <w:sdtPr>
          <w:rPr>
            <w:sz w:val="22"/>
            <w:szCs w:val="22"/>
          </w:rPr>
          <w:id w:val="-1885779002"/>
          <w:citation/>
        </w:sdtPr>
        <w:sdtEndPr/>
        <w:sdtContent>
          <w:r w:rsidR="007B72FD" w:rsidRPr="00E07F93">
            <w:rPr>
              <w:sz w:val="22"/>
              <w:szCs w:val="22"/>
            </w:rPr>
            <w:fldChar w:fldCharType="begin"/>
          </w:r>
          <w:r w:rsidR="007B72FD" w:rsidRPr="00E07F93">
            <w:rPr>
              <w:sz w:val="22"/>
              <w:szCs w:val="22"/>
            </w:rPr>
            <w:instrText xml:space="preserve"> CITATION Chi171 \l 2057 </w:instrText>
          </w:r>
          <w:r w:rsidR="007B72FD" w:rsidRPr="00E07F93">
            <w:rPr>
              <w:sz w:val="22"/>
              <w:szCs w:val="22"/>
            </w:rPr>
            <w:fldChar w:fldCharType="separate"/>
          </w:r>
          <w:r w:rsidR="00C710D3" w:rsidRPr="00C710D3">
            <w:rPr>
              <w:noProof/>
              <w:sz w:val="22"/>
              <w:szCs w:val="22"/>
            </w:rPr>
            <w:t>(Moinuddin, 2017)</w:t>
          </w:r>
          <w:r w:rsidR="007B72FD" w:rsidRPr="00E07F93">
            <w:rPr>
              <w:sz w:val="22"/>
              <w:szCs w:val="22"/>
            </w:rPr>
            <w:fldChar w:fldCharType="end"/>
          </w:r>
        </w:sdtContent>
      </w:sdt>
      <w:r w:rsidR="007B72FD" w:rsidRPr="00E07F93">
        <w:rPr>
          <w:sz w:val="22"/>
          <w:szCs w:val="22"/>
        </w:rPr>
        <w:t xml:space="preserve"> </w:t>
      </w:r>
      <w:r w:rsidR="002204AE" w:rsidRPr="00E07F93">
        <w:rPr>
          <w:sz w:val="22"/>
          <w:szCs w:val="22"/>
        </w:rPr>
        <w:t>Figure 7</w:t>
      </w:r>
      <w:r w:rsidR="007B72FD" w:rsidRPr="00E07F93">
        <w:rPr>
          <w:sz w:val="22"/>
          <w:szCs w:val="22"/>
        </w:rPr>
        <w:t xml:space="preserve"> reveals a dramatic change into 2009 statistics. With the global recession prolonging, even Islamic banking institutions started to feel the impact. Where the initial loss in profitability once remained at a controllable level, 2009 saw a huge decrease in profit; a 40% reduction in profits from the previous year. </w:t>
      </w:r>
    </w:p>
    <w:p w14:paraId="5015A700" w14:textId="052C3C08" w:rsidR="000A767E" w:rsidRDefault="000A767E" w:rsidP="006606FC">
      <w:pPr>
        <w:rPr>
          <w:lang w:val="en"/>
        </w:rPr>
      </w:pPr>
    </w:p>
    <w:p w14:paraId="69E40A82" w14:textId="324356FA" w:rsidR="002E73D8" w:rsidRDefault="002E73D8" w:rsidP="006606FC">
      <w:pPr>
        <w:rPr>
          <w:lang w:val="en"/>
        </w:rPr>
      </w:pPr>
    </w:p>
    <w:p w14:paraId="5C6C7E06" w14:textId="6C41C365" w:rsidR="006E4112" w:rsidRDefault="006E4112" w:rsidP="006606FC">
      <w:pPr>
        <w:rPr>
          <w:lang w:val="en"/>
        </w:rPr>
      </w:pPr>
    </w:p>
    <w:p w14:paraId="325AD6A1" w14:textId="190DBEDD" w:rsidR="006606FC" w:rsidRPr="007B0BB4" w:rsidRDefault="007B0BB4" w:rsidP="00BB0CDB">
      <w:pPr>
        <w:shd w:val="clear" w:color="auto" w:fill="F5F5F5"/>
        <w:rPr>
          <w:rFonts w:eastAsia="Times New Roman" w:cstheme="minorHAnsi"/>
          <w:i/>
          <w:color w:val="FF0000"/>
          <w:u w:val="single"/>
          <w:lang w:eastAsia="en-GB"/>
        </w:rPr>
      </w:pPr>
      <w:r w:rsidRPr="007B0BB4">
        <w:rPr>
          <w:i/>
          <w:u w:val="single"/>
          <w:lang w:val="en"/>
        </w:rPr>
        <w:lastRenderedPageBreak/>
        <w:t>Figure 8</w:t>
      </w:r>
      <w:r w:rsidRPr="007B0BB4">
        <w:rPr>
          <w:i/>
          <w:noProof/>
          <w:color w:val="0000FF"/>
          <w:u w:val="single"/>
          <w:lang w:eastAsia="en-GB"/>
        </w:rPr>
        <w:drawing>
          <wp:anchor distT="0" distB="0" distL="114300" distR="114300" simplePos="0" relativeHeight="251666432" behindDoc="0" locked="0" layoutInCell="1" allowOverlap="1" wp14:anchorId="4FEFC1A1" wp14:editId="6D80BC1D">
            <wp:simplePos x="0" y="0"/>
            <wp:positionH relativeFrom="column">
              <wp:posOffset>8890</wp:posOffset>
            </wp:positionH>
            <wp:positionV relativeFrom="paragraph">
              <wp:posOffset>243840</wp:posOffset>
            </wp:positionV>
            <wp:extent cx="4917440" cy="2571750"/>
            <wp:effectExtent l="0" t="0" r="0" b="0"/>
            <wp:wrapSquare wrapText="bothSides"/>
            <wp:docPr id="5" name="Picture 5" descr="Image result for indonesia stats in recession">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donesia stats in recession">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17440"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9DE7E" w14:textId="77777777" w:rsidR="00564EC3" w:rsidRDefault="00564EC3"/>
    <w:p w14:paraId="2A69BA1C" w14:textId="3905D91E" w:rsidR="006C2ED6" w:rsidRDefault="006C2ED6"/>
    <w:p w14:paraId="30673708" w14:textId="55F30CAD" w:rsidR="004E5D12" w:rsidRDefault="004E5D12"/>
    <w:p w14:paraId="683A381D" w14:textId="23E8A331" w:rsidR="004E5D12" w:rsidRDefault="004E5D12"/>
    <w:p w14:paraId="2EC95AA1" w14:textId="0E3056CE" w:rsidR="004E5D12" w:rsidRDefault="004E5D12"/>
    <w:p w14:paraId="6F7ECA77" w14:textId="21E9FC91" w:rsidR="004E5D12" w:rsidRDefault="004E5D12"/>
    <w:p w14:paraId="288B06AB" w14:textId="12997729" w:rsidR="004E5D12" w:rsidRDefault="004E5D12"/>
    <w:p w14:paraId="247D2581" w14:textId="7D8F8337" w:rsidR="004E5D12" w:rsidRDefault="004E5D12"/>
    <w:p w14:paraId="05A9CE4B" w14:textId="4E280764" w:rsidR="004E5D12" w:rsidRDefault="004E5D12"/>
    <w:p w14:paraId="70B06775" w14:textId="0014462A" w:rsidR="000443D4" w:rsidRPr="000443D4" w:rsidRDefault="000443D4" w:rsidP="000443D4">
      <w:pPr>
        <w:jc w:val="right"/>
        <w:rPr>
          <w:rFonts w:cstheme="minorHAnsi"/>
          <w:sz w:val="22"/>
          <w:szCs w:val="22"/>
        </w:rPr>
      </w:pPr>
      <w:sdt>
        <w:sdtPr>
          <w:rPr>
            <w:rFonts w:cstheme="minorHAnsi"/>
            <w:sz w:val="22"/>
            <w:szCs w:val="22"/>
          </w:rPr>
          <w:id w:val="-1855024002"/>
          <w:citation/>
        </w:sdtPr>
        <w:sdtContent>
          <w:r w:rsidRPr="000443D4">
            <w:rPr>
              <w:rFonts w:cstheme="minorHAnsi"/>
              <w:sz w:val="22"/>
              <w:szCs w:val="22"/>
            </w:rPr>
            <w:fldChar w:fldCharType="begin"/>
          </w:r>
          <w:r w:rsidRPr="000443D4">
            <w:rPr>
              <w:rFonts w:cstheme="minorHAnsi"/>
              <w:sz w:val="22"/>
              <w:szCs w:val="22"/>
            </w:rPr>
            <w:instrText xml:space="preserve"> CITATION FRE18 \l 2057 </w:instrText>
          </w:r>
          <w:r w:rsidRPr="000443D4">
            <w:rPr>
              <w:rFonts w:cstheme="minorHAnsi"/>
              <w:sz w:val="22"/>
              <w:szCs w:val="22"/>
            </w:rPr>
            <w:fldChar w:fldCharType="separate"/>
          </w:r>
          <w:r w:rsidR="00C710D3" w:rsidRPr="00C710D3">
            <w:rPr>
              <w:rFonts w:cstheme="minorHAnsi"/>
              <w:noProof/>
              <w:sz w:val="22"/>
              <w:szCs w:val="22"/>
            </w:rPr>
            <w:t>(FRED Economic Research, 2018)</w:t>
          </w:r>
          <w:r w:rsidRPr="000443D4">
            <w:rPr>
              <w:rFonts w:cstheme="minorHAnsi"/>
              <w:sz w:val="22"/>
              <w:szCs w:val="22"/>
            </w:rPr>
            <w:fldChar w:fldCharType="end"/>
          </w:r>
        </w:sdtContent>
      </w:sdt>
    </w:p>
    <w:p w14:paraId="21670B34" w14:textId="55E6F563" w:rsidR="0071130E" w:rsidRDefault="003C0250">
      <w:pPr>
        <w:rPr>
          <w:rFonts w:cstheme="minorHAnsi"/>
          <w:sz w:val="22"/>
          <w:szCs w:val="22"/>
          <w:lang w:val="en"/>
        </w:rPr>
      </w:pPr>
      <w:r w:rsidRPr="00A55DCD">
        <w:rPr>
          <w:rFonts w:cstheme="minorHAnsi"/>
          <w:sz w:val="22"/>
          <w:szCs w:val="22"/>
          <w:lang w:val="en"/>
        </w:rPr>
        <w:t xml:space="preserve">Let’s now look at the GDP of Indonesia between 1985 to 2015. The country’s peak GDP was around 8 years prior to the recession and from this point onwards shows a </w:t>
      </w:r>
      <w:r w:rsidR="00B51409" w:rsidRPr="00A55DCD">
        <w:rPr>
          <w:rFonts w:cstheme="minorHAnsi"/>
          <w:sz w:val="22"/>
          <w:szCs w:val="22"/>
          <w:lang w:val="en"/>
        </w:rPr>
        <w:t>deterioration</w:t>
      </w:r>
      <w:r w:rsidRPr="00A55DCD">
        <w:rPr>
          <w:rFonts w:cstheme="minorHAnsi"/>
          <w:sz w:val="22"/>
          <w:szCs w:val="22"/>
          <w:lang w:val="en"/>
        </w:rPr>
        <w:t>. Although 2008 was the lowest GDP for Indonesia, I would argue that this steady, prolonged decline</w:t>
      </w:r>
      <w:r w:rsidR="00B51409">
        <w:rPr>
          <w:rFonts w:cstheme="minorHAnsi"/>
          <w:sz w:val="22"/>
          <w:szCs w:val="22"/>
          <w:lang w:val="en"/>
        </w:rPr>
        <w:t xml:space="preserve"> contradicts</w:t>
      </w:r>
      <w:r w:rsidRPr="00A55DCD">
        <w:rPr>
          <w:rFonts w:cstheme="minorHAnsi"/>
          <w:sz w:val="22"/>
          <w:szCs w:val="22"/>
          <w:lang w:val="en"/>
        </w:rPr>
        <w:t xml:space="preserve"> my previous findings.</w:t>
      </w:r>
    </w:p>
    <w:p w14:paraId="3FD0B899" w14:textId="34F54AFF" w:rsidR="003C0250" w:rsidRDefault="003C0250">
      <w:pPr>
        <w:rPr>
          <w:rFonts w:cstheme="minorHAnsi"/>
          <w:i/>
          <w:u w:val="single"/>
          <w:lang w:val="en"/>
        </w:rPr>
      </w:pPr>
      <w:r w:rsidRPr="003C0250">
        <w:rPr>
          <w:rFonts w:cstheme="minorHAnsi"/>
          <w:i/>
          <w:u w:val="single"/>
          <w:lang w:val="en"/>
        </w:rPr>
        <w:t>Figure 9</w:t>
      </w:r>
    </w:p>
    <w:p w14:paraId="414AF5D9" w14:textId="243E5551" w:rsidR="00AA0886" w:rsidRPr="003C0250" w:rsidRDefault="00AA0886">
      <w:pPr>
        <w:rPr>
          <w:rFonts w:cstheme="minorHAnsi"/>
          <w:i/>
          <w:u w:val="single"/>
          <w:lang w:val="en"/>
        </w:rPr>
      </w:pPr>
      <w:r>
        <w:rPr>
          <w:noProof/>
          <w:color w:val="0000FF"/>
          <w:lang w:eastAsia="en-GB"/>
        </w:rPr>
        <w:drawing>
          <wp:inline distT="0" distB="0" distL="0" distR="0" wp14:anchorId="1125AFFB" wp14:editId="785653BF">
            <wp:extent cx="4601198" cy="2971800"/>
            <wp:effectExtent l="0" t="0" r="9525" b="0"/>
            <wp:docPr id="11" name="Picture 11" descr="Related imag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3"/>
                    </pic:cNvPr>
                    <pic:cNvPicPr>
                      <a:picLocks noChangeAspect="1" noChangeArrowheads="1"/>
                    </pic:cNvPicPr>
                  </pic:nvPicPr>
                  <pic:blipFill rotWithShape="1">
                    <a:blip r:embed="rId24">
                      <a:extLst>
                        <a:ext uri="{28A0092B-C50C-407E-A947-70E740481C1C}">
                          <a14:useLocalDpi xmlns:a14="http://schemas.microsoft.com/office/drawing/2010/main" val="0"/>
                        </a:ext>
                      </a:extLst>
                    </a:blip>
                    <a:srcRect l="1751" t="1983" r="1558" b="7082"/>
                    <a:stretch/>
                  </pic:blipFill>
                  <pic:spPr bwMode="auto">
                    <a:xfrm>
                      <a:off x="0" y="0"/>
                      <a:ext cx="4603194" cy="2973089"/>
                    </a:xfrm>
                    <a:prstGeom prst="rect">
                      <a:avLst/>
                    </a:prstGeom>
                    <a:noFill/>
                    <a:ln>
                      <a:noFill/>
                    </a:ln>
                    <a:extLst>
                      <a:ext uri="{53640926-AAD7-44D8-BBD7-CCE9431645EC}">
                        <a14:shadowObscured xmlns:a14="http://schemas.microsoft.com/office/drawing/2010/main"/>
                      </a:ext>
                    </a:extLst>
                  </pic:spPr>
                </pic:pic>
              </a:graphicData>
            </a:graphic>
          </wp:inline>
        </w:drawing>
      </w:r>
    </w:p>
    <w:p w14:paraId="7C6B1CBE" w14:textId="6A1AD994" w:rsidR="003C0250" w:rsidRPr="00BD089A" w:rsidRDefault="00BD089A" w:rsidP="00BD089A">
      <w:pPr>
        <w:jc w:val="right"/>
        <w:rPr>
          <w:rFonts w:cstheme="minorHAnsi"/>
          <w:sz w:val="22"/>
          <w:szCs w:val="22"/>
        </w:rPr>
      </w:pPr>
      <w:sdt>
        <w:sdtPr>
          <w:rPr>
            <w:rFonts w:cstheme="minorHAnsi"/>
            <w:sz w:val="22"/>
            <w:szCs w:val="22"/>
          </w:rPr>
          <w:id w:val="938104296"/>
          <w:citation/>
        </w:sdtPr>
        <w:sdtContent>
          <w:r w:rsidRPr="00BD089A">
            <w:rPr>
              <w:rFonts w:cstheme="minorHAnsi"/>
              <w:sz w:val="22"/>
              <w:szCs w:val="22"/>
            </w:rPr>
            <w:fldChar w:fldCharType="begin"/>
          </w:r>
          <w:r w:rsidRPr="00BD089A">
            <w:rPr>
              <w:rFonts w:cstheme="minorHAnsi"/>
              <w:sz w:val="22"/>
              <w:szCs w:val="22"/>
            </w:rPr>
            <w:instrText xml:space="preserve"> CITATION Tej16 \l 2057 </w:instrText>
          </w:r>
          <w:r w:rsidRPr="00BD089A">
            <w:rPr>
              <w:rFonts w:cstheme="minorHAnsi"/>
              <w:sz w:val="22"/>
              <w:szCs w:val="22"/>
            </w:rPr>
            <w:fldChar w:fldCharType="separate"/>
          </w:r>
          <w:r w:rsidR="00C710D3" w:rsidRPr="00C710D3">
            <w:rPr>
              <w:rFonts w:cstheme="minorHAnsi"/>
              <w:noProof/>
              <w:sz w:val="22"/>
              <w:szCs w:val="22"/>
            </w:rPr>
            <w:t>(Tejvan, 2016)</w:t>
          </w:r>
          <w:r w:rsidRPr="00BD089A">
            <w:rPr>
              <w:rFonts w:cstheme="minorHAnsi"/>
              <w:sz w:val="22"/>
              <w:szCs w:val="22"/>
            </w:rPr>
            <w:fldChar w:fldCharType="end"/>
          </w:r>
        </w:sdtContent>
      </w:sdt>
    </w:p>
    <w:p w14:paraId="2295E24D" w14:textId="3E82E25F" w:rsidR="0071130E" w:rsidRDefault="004640C6">
      <w:pPr>
        <w:rPr>
          <w:rFonts w:eastAsia="Times New Roman" w:cstheme="minorHAnsi"/>
          <w:sz w:val="22"/>
          <w:szCs w:val="22"/>
          <w:lang w:eastAsia="en-GB"/>
        </w:rPr>
      </w:pPr>
      <w:r w:rsidRPr="00D32C30">
        <w:rPr>
          <w:rFonts w:ascii="Calibri" w:hAnsi="Calibri"/>
          <w:sz w:val="22"/>
          <w:szCs w:val="22"/>
        </w:rPr>
        <w:t>If we compare the GDP rates between Indonesia and the UK throughout the same time period, it is clear to see how the UK, under a traditional banking system, suffe</w:t>
      </w:r>
      <w:r w:rsidR="001602F5" w:rsidRPr="00D32C30">
        <w:rPr>
          <w:rFonts w:ascii="Calibri" w:hAnsi="Calibri"/>
          <w:sz w:val="22"/>
          <w:szCs w:val="22"/>
        </w:rPr>
        <w:t xml:space="preserve">red a much greater loss during the time of the </w:t>
      </w:r>
      <w:r w:rsidR="001602F5" w:rsidRPr="00184385">
        <w:rPr>
          <w:sz w:val="22"/>
          <w:szCs w:val="22"/>
        </w:rPr>
        <w:t>recession</w:t>
      </w:r>
      <w:r w:rsidR="001602F5" w:rsidRPr="001743AF">
        <w:rPr>
          <w:sz w:val="22"/>
          <w:szCs w:val="22"/>
        </w:rPr>
        <w:t xml:space="preserve">. </w:t>
      </w:r>
      <w:r w:rsidR="00F54522">
        <w:rPr>
          <w:sz w:val="22"/>
          <w:szCs w:val="22"/>
        </w:rPr>
        <w:t>The</w:t>
      </w:r>
      <w:r w:rsidR="00E70883" w:rsidRPr="001743AF">
        <w:rPr>
          <w:sz w:val="22"/>
          <w:szCs w:val="22"/>
        </w:rPr>
        <w:t xml:space="preserve"> shared responsibility</w:t>
      </w:r>
      <w:r w:rsidR="00184385" w:rsidRPr="001743AF">
        <w:rPr>
          <w:sz w:val="22"/>
          <w:szCs w:val="22"/>
        </w:rPr>
        <w:t xml:space="preserve"> </w:t>
      </w:r>
      <w:r w:rsidR="00CE307B">
        <w:rPr>
          <w:sz w:val="22"/>
          <w:szCs w:val="22"/>
        </w:rPr>
        <w:t xml:space="preserve">specifically </w:t>
      </w:r>
      <w:r w:rsidR="00184385" w:rsidRPr="001743AF">
        <w:rPr>
          <w:sz w:val="22"/>
          <w:szCs w:val="22"/>
        </w:rPr>
        <w:t xml:space="preserve">involved with </w:t>
      </w:r>
      <w:r w:rsidR="00997A87" w:rsidRPr="001743AF">
        <w:rPr>
          <w:sz w:val="22"/>
          <w:szCs w:val="22"/>
        </w:rPr>
        <w:t>Mudaraba</w:t>
      </w:r>
      <w:r w:rsidR="00184385" w:rsidRPr="001743AF">
        <w:rPr>
          <w:sz w:val="22"/>
          <w:szCs w:val="22"/>
        </w:rPr>
        <w:t xml:space="preserve"> and Musharaka</w:t>
      </w:r>
      <w:r w:rsidR="00F54522">
        <w:rPr>
          <w:sz w:val="22"/>
          <w:szCs w:val="22"/>
        </w:rPr>
        <w:t xml:space="preserve"> shifts</w:t>
      </w:r>
      <w:r w:rsidR="00796322">
        <w:rPr>
          <w:sz w:val="22"/>
          <w:szCs w:val="22"/>
        </w:rPr>
        <w:t xml:space="preserve"> most of the risk </w:t>
      </w:r>
      <w:r w:rsidR="00F54522">
        <w:rPr>
          <w:sz w:val="22"/>
          <w:szCs w:val="22"/>
        </w:rPr>
        <w:t>onto</w:t>
      </w:r>
      <w:r w:rsidR="00796322">
        <w:rPr>
          <w:sz w:val="22"/>
          <w:szCs w:val="22"/>
        </w:rPr>
        <w:t xml:space="preserve"> the clients.</w:t>
      </w:r>
      <w:r w:rsidR="004A75A1">
        <w:rPr>
          <w:sz w:val="22"/>
          <w:szCs w:val="22"/>
        </w:rPr>
        <w:t xml:space="preserve"> </w:t>
      </w:r>
      <w:r w:rsidR="004A75A1" w:rsidRPr="004A75A1">
        <w:rPr>
          <w:rFonts w:eastAsia="Times New Roman" w:cstheme="minorHAnsi"/>
          <w:sz w:val="22"/>
          <w:szCs w:val="22"/>
          <w:lang w:eastAsia="en-GB"/>
        </w:rPr>
        <w:t xml:space="preserve">Resultantly, cooperation and trust are advocated in IF </w:t>
      </w:r>
      <w:r w:rsidR="004A75A1" w:rsidRPr="004A75A1">
        <w:rPr>
          <w:rFonts w:eastAsia="Times New Roman" w:cstheme="minorHAnsi"/>
          <w:sz w:val="22"/>
          <w:szCs w:val="22"/>
          <w:lang w:eastAsia="en-GB"/>
        </w:rPr>
        <w:lastRenderedPageBreak/>
        <w:t>regions. ‘</w:t>
      </w:r>
      <w:r w:rsidR="004A75A1" w:rsidRPr="004A75A1">
        <w:rPr>
          <w:rFonts w:cstheme="minorHAnsi"/>
          <w:sz w:val="22"/>
          <w:szCs w:val="22"/>
        </w:rPr>
        <w:t>The ethical stance and fair dealing of Islamic finance virtues means that partnerships, business activity and profit creation comes from benefiting the community as a whole.’</w:t>
      </w:r>
      <w:sdt>
        <w:sdtPr>
          <w:rPr>
            <w:rFonts w:cstheme="minorHAnsi"/>
            <w:sz w:val="22"/>
            <w:szCs w:val="22"/>
          </w:rPr>
          <w:id w:val="-78440393"/>
          <w:citation/>
        </w:sdtPr>
        <w:sdtContent>
          <w:r w:rsidR="004A75A1">
            <w:rPr>
              <w:rFonts w:cstheme="minorHAnsi"/>
              <w:sz w:val="22"/>
              <w:szCs w:val="22"/>
            </w:rPr>
            <w:fldChar w:fldCharType="begin"/>
          </w:r>
          <w:r w:rsidR="004A75A1">
            <w:rPr>
              <w:rFonts w:cstheme="minorHAnsi"/>
              <w:sz w:val="22"/>
              <w:szCs w:val="22"/>
            </w:rPr>
            <w:instrText xml:space="preserve"> CITATION Chi171 \l 2057 </w:instrText>
          </w:r>
          <w:r w:rsidR="004A75A1">
            <w:rPr>
              <w:rFonts w:cstheme="minorHAnsi"/>
              <w:sz w:val="22"/>
              <w:szCs w:val="22"/>
            </w:rPr>
            <w:fldChar w:fldCharType="separate"/>
          </w:r>
          <w:r w:rsidR="004A75A1">
            <w:rPr>
              <w:rFonts w:cstheme="minorHAnsi"/>
              <w:noProof/>
              <w:sz w:val="22"/>
              <w:szCs w:val="22"/>
            </w:rPr>
            <w:t xml:space="preserve"> </w:t>
          </w:r>
          <w:r w:rsidR="004A75A1" w:rsidRPr="004A75A1">
            <w:rPr>
              <w:rFonts w:cstheme="minorHAnsi"/>
              <w:noProof/>
              <w:sz w:val="22"/>
              <w:szCs w:val="22"/>
            </w:rPr>
            <w:t>(Moinuddin, 2017)</w:t>
          </w:r>
          <w:r w:rsidR="004A75A1">
            <w:rPr>
              <w:rFonts w:cstheme="minorHAnsi"/>
              <w:sz w:val="22"/>
              <w:szCs w:val="22"/>
            </w:rPr>
            <w:fldChar w:fldCharType="end"/>
          </w:r>
        </w:sdtContent>
      </w:sdt>
      <w:r w:rsidR="00796322" w:rsidRPr="004A75A1">
        <w:rPr>
          <w:rFonts w:cstheme="minorHAnsi"/>
          <w:sz w:val="22"/>
          <w:szCs w:val="22"/>
        </w:rPr>
        <w:t xml:space="preserve"> </w:t>
      </w:r>
      <w:r w:rsidR="00997A87" w:rsidRPr="004A75A1">
        <w:rPr>
          <w:rFonts w:cstheme="minorHAnsi"/>
          <w:sz w:val="22"/>
          <w:szCs w:val="22"/>
        </w:rPr>
        <w:t>It seems t</w:t>
      </w:r>
      <w:r w:rsidR="00184385" w:rsidRPr="004A75A1">
        <w:rPr>
          <w:rFonts w:cstheme="minorHAnsi"/>
          <w:sz w:val="22"/>
          <w:szCs w:val="22"/>
        </w:rPr>
        <w:t xml:space="preserve">heorists have been </w:t>
      </w:r>
      <w:r w:rsidR="00997A87" w:rsidRPr="004A75A1">
        <w:rPr>
          <w:rFonts w:cstheme="minorHAnsi"/>
          <w:sz w:val="22"/>
          <w:szCs w:val="22"/>
        </w:rPr>
        <w:t>reasonable</w:t>
      </w:r>
      <w:r w:rsidR="00184385" w:rsidRPr="004A75A1">
        <w:rPr>
          <w:rFonts w:cstheme="minorHAnsi"/>
          <w:sz w:val="22"/>
          <w:szCs w:val="22"/>
        </w:rPr>
        <w:t xml:space="preserve"> to describe the ‘</w:t>
      </w:r>
      <w:r w:rsidR="00184385" w:rsidRPr="004A75A1">
        <w:rPr>
          <w:rFonts w:eastAsia="Times New Roman" w:cstheme="minorHAnsi"/>
          <w:sz w:val="22"/>
          <w:szCs w:val="22"/>
          <w:lang w:eastAsia="en-GB"/>
        </w:rPr>
        <w:t>failure to maximise the benefits of our strategic partnerships under convention</w:t>
      </w:r>
      <w:r w:rsidR="00184385" w:rsidRPr="00184385">
        <w:rPr>
          <w:rFonts w:eastAsia="Times New Roman" w:cstheme="minorHAnsi"/>
          <w:sz w:val="22"/>
          <w:szCs w:val="22"/>
          <w:lang w:eastAsia="en-GB"/>
        </w:rPr>
        <w:t>al banking</w:t>
      </w:r>
      <w:r w:rsidR="00E35AAC">
        <w:rPr>
          <w:rFonts w:eastAsia="Times New Roman" w:cstheme="minorHAnsi"/>
          <w:sz w:val="22"/>
          <w:szCs w:val="22"/>
          <w:lang w:eastAsia="en-GB"/>
        </w:rPr>
        <w:t>’,</w:t>
      </w:r>
      <w:r w:rsidR="00184385" w:rsidRPr="00184385">
        <w:rPr>
          <w:rFonts w:eastAsia="Times New Roman" w:cstheme="minorHAnsi"/>
          <w:sz w:val="22"/>
          <w:szCs w:val="22"/>
          <w:lang w:eastAsia="en-GB"/>
        </w:rPr>
        <w:t xml:space="preserve"> </w:t>
      </w:r>
      <w:sdt>
        <w:sdtPr>
          <w:rPr>
            <w:rFonts w:eastAsia="Times New Roman" w:cstheme="minorHAnsi"/>
            <w:sz w:val="22"/>
            <w:szCs w:val="22"/>
            <w:lang w:eastAsia="en-GB"/>
          </w:rPr>
          <w:id w:val="1296725746"/>
          <w:citation/>
        </w:sdtPr>
        <w:sdtEndPr/>
        <w:sdtContent>
          <w:r w:rsidR="00184385" w:rsidRPr="00184385">
            <w:rPr>
              <w:rFonts w:eastAsia="Times New Roman" w:cstheme="minorHAnsi"/>
              <w:sz w:val="22"/>
              <w:szCs w:val="22"/>
              <w:lang w:eastAsia="en-GB"/>
            </w:rPr>
            <w:fldChar w:fldCharType="begin"/>
          </w:r>
          <w:r w:rsidR="00184385" w:rsidRPr="00184385">
            <w:rPr>
              <w:rFonts w:eastAsia="Times New Roman" w:cstheme="minorHAnsi"/>
              <w:sz w:val="22"/>
              <w:szCs w:val="22"/>
              <w:lang w:eastAsia="en-GB"/>
            </w:rPr>
            <w:instrText xml:space="preserve"> CITATION Chi171 \l 2057 </w:instrText>
          </w:r>
          <w:r w:rsidR="00184385" w:rsidRPr="00184385">
            <w:rPr>
              <w:rFonts w:eastAsia="Times New Roman" w:cstheme="minorHAnsi"/>
              <w:sz w:val="22"/>
              <w:szCs w:val="22"/>
              <w:lang w:eastAsia="en-GB"/>
            </w:rPr>
            <w:fldChar w:fldCharType="separate"/>
          </w:r>
          <w:r w:rsidR="00C710D3" w:rsidRPr="00C710D3">
            <w:rPr>
              <w:rFonts w:eastAsia="Times New Roman" w:cstheme="minorHAnsi"/>
              <w:noProof/>
              <w:sz w:val="22"/>
              <w:szCs w:val="22"/>
              <w:lang w:eastAsia="en-GB"/>
            </w:rPr>
            <w:t>(Moinuddin, 2017)</w:t>
          </w:r>
          <w:r w:rsidR="00184385" w:rsidRPr="00184385">
            <w:rPr>
              <w:rFonts w:eastAsia="Times New Roman" w:cstheme="minorHAnsi"/>
              <w:sz w:val="22"/>
              <w:szCs w:val="22"/>
              <w:lang w:eastAsia="en-GB"/>
            </w:rPr>
            <w:fldChar w:fldCharType="end"/>
          </w:r>
        </w:sdtContent>
      </w:sdt>
      <w:r w:rsidR="00E35AAC">
        <w:rPr>
          <w:rFonts w:eastAsia="Times New Roman" w:cstheme="minorHAnsi"/>
          <w:sz w:val="22"/>
          <w:szCs w:val="22"/>
          <w:lang w:eastAsia="en-GB"/>
        </w:rPr>
        <w:t xml:space="preserve">, which can </w:t>
      </w:r>
      <w:r w:rsidR="00CE3B3C">
        <w:rPr>
          <w:rFonts w:eastAsia="Times New Roman" w:cstheme="minorHAnsi"/>
          <w:sz w:val="22"/>
          <w:szCs w:val="22"/>
          <w:lang w:eastAsia="en-GB"/>
        </w:rPr>
        <w:t xml:space="preserve">deliver </w:t>
      </w:r>
      <w:r w:rsidR="00F06FB0">
        <w:rPr>
          <w:rFonts w:eastAsia="Times New Roman" w:cstheme="minorHAnsi"/>
          <w:sz w:val="22"/>
          <w:szCs w:val="22"/>
          <w:lang w:eastAsia="en-GB"/>
        </w:rPr>
        <w:t>elucidation</w:t>
      </w:r>
      <w:r w:rsidR="00E35AAC">
        <w:rPr>
          <w:rFonts w:eastAsia="Times New Roman" w:cstheme="minorHAnsi"/>
          <w:sz w:val="22"/>
          <w:szCs w:val="22"/>
          <w:lang w:eastAsia="en-GB"/>
        </w:rPr>
        <w:t xml:space="preserve"> for the Figure 9 findings. </w:t>
      </w:r>
    </w:p>
    <w:p w14:paraId="15AC043D" w14:textId="77777777" w:rsidR="00F96D42" w:rsidRDefault="00F96D42">
      <w:pPr>
        <w:rPr>
          <w:rFonts w:eastAsia="Times New Roman" w:cstheme="minorHAnsi"/>
          <w:sz w:val="22"/>
          <w:szCs w:val="22"/>
          <w:lang w:eastAsia="en-GB"/>
        </w:rPr>
      </w:pPr>
    </w:p>
    <w:p w14:paraId="1E136175" w14:textId="54BAFFA6" w:rsidR="00B656B6" w:rsidRDefault="00B656B6">
      <w:pPr>
        <w:rPr>
          <w:rFonts w:eastAsia="Times New Roman" w:cstheme="minorHAnsi"/>
          <w:b/>
          <w:sz w:val="22"/>
          <w:szCs w:val="22"/>
          <w:u w:val="single"/>
          <w:lang w:eastAsia="en-GB"/>
        </w:rPr>
      </w:pPr>
      <w:r w:rsidRPr="00B656B6">
        <w:rPr>
          <w:rFonts w:eastAsia="Times New Roman" w:cstheme="minorHAnsi"/>
          <w:b/>
          <w:sz w:val="22"/>
          <w:szCs w:val="22"/>
          <w:u w:val="single"/>
          <w:lang w:eastAsia="en-GB"/>
        </w:rPr>
        <w:t>3.0 Recommendations</w:t>
      </w:r>
    </w:p>
    <w:p w14:paraId="24EE7952" w14:textId="23F13D83" w:rsidR="00F96D42" w:rsidRDefault="00F96D42" w:rsidP="00F96D42">
      <w:pPr>
        <w:pStyle w:val="ListParagraph"/>
        <w:numPr>
          <w:ilvl w:val="0"/>
          <w:numId w:val="3"/>
        </w:numPr>
        <w:rPr>
          <w:rFonts w:eastAsia="Times New Roman" w:cstheme="minorHAnsi"/>
          <w:sz w:val="22"/>
          <w:szCs w:val="22"/>
          <w:lang w:eastAsia="en-GB"/>
        </w:rPr>
      </w:pPr>
      <w:r w:rsidRPr="00F96D42">
        <w:rPr>
          <w:rFonts w:eastAsia="Times New Roman" w:cstheme="minorHAnsi"/>
          <w:sz w:val="22"/>
          <w:szCs w:val="22"/>
          <w:lang w:eastAsia="en-GB"/>
        </w:rPr>
        <w:t>The introduction of furthered regulations would help to outline the Shariah law to eliminate confusion or uncertainty. This would strengthen the environment in which IF could continue emergin</w:t>
      </w:r>
      <w:r>
        <w:rPr>
          <w:rFonts w:eastAsia="Times New Roman" w:cstheme="minorHAnsi"/>
          <w:sz w:val="22"/>
          <w:szCs w:val="22"/>
          <w:lang w:eastAsia="en-GB"/>
        </w:rPr>
        <w:t>g</w:t>
      </w:r>
      <w:r w:rsidRPr="00F96D42">
        <w:rPr>
          <w:rFonts w:eastAsia="Times New Roman" w:cstheme="minorHAnsi"/>
          <w:sz w:val="22"/>
          <w:szCs w:val="22"/>
          <w:lang w:eastAsia="en-GB"/>
        </w:rPr>
        <w:t xml:space="preserve"> based on consensus</w:t>
      </w:r>
      <w:r>
        <w:rPr>
          <w:rFonts w:eastAsia="Times New Roman" w:cstheme="minorHAnsi"/>
          <w:sz w:val="22"/>
          <w:szCs w:val="22"/>
          <w:lang w:eastAsia="en-GB"/>
        </w:rPr>
        <w:t xml:space="preserve"> and harmony</w:t>
      </w:r>
      <w:r w:rsidRPr="00F96D42">
        <w:rPr>
          <w:rFonts w:eastAsia="Times New Roman" w:cstheme="minorHAnsi"/>
          <w:sz w:val="22"/>
          <w:szCs w:val="22"/>
          <w:lang w:eastAsia="en-GB"/>
        </w:rPr>
        <w:t>.</w:t>
      </w:r>
    </w:p>
    <w:p w14:paraId="78D19118" w14:textId="1966E71D" w:rsidR="00E51361" w:rsidRDefault="00133B6C" w:rsidP="00F96D42">
      <w:pPr>
        <w:pStyle w:val="ListParagraph"/>
        <w:numPr>
          <w:ilvl w:val="0"/>
          <w:numId w:val="3"/>
        </w:numPr>
        <w:rPr>
          <w:rFonts w:eastAsia="Times New Roman" w:cstheme="minorHAnsi"/>
          <w:sz w:val="22"/>
          <w:szCs w:val="22"/>
          <w:lang w:eastAsia="en-GB"/>
        </w:rPr>
      </w:pPr>
      <w:r>
        <w:rPr>
          <w:rFonts w:eastAsia="Times New Roman" w:cstheme="minorHAnsi"/>
          <w:sz w:val="22"/>
          <w:szCs w:val="22"/>
          <w:lang w:eastAsia="en-GB"/>
        </w:rPr>
        <w:t xml:space="preserve">Place more focus on IF in the future to reduce the effect of economic crisis. The introduction of IF in areas like the UK would, in practice help GDP and financial positioning stay more steady in a volatile economy and reduce overall disruption. </w:t>
      </w:r>
    </w:p>
    <w:p w14:paraId="1BBD0C98" w14:textId="77777777" w:rsidR="004E1C8C" w:rsidRPr="00F96D42" w:rsidRDefault="004E1C8C" w:rsidP="004E1C8C">
      <w:pPr>
        <w:pStyle w:val="ListParagraph"/>
        <w:rPr>
          <w:rFonts w:eastAsia="Times New Roman" w:cstheme="minorHAnsi"/>
          <w:sz w:val="22"/>
          <w:szCs w:val="22"/>
          <w:lang w:eastAsia="en-GB"/>
        </w:rPr>
      </w:pPr>
    </w:p>
    <w:p w14:paraId="7A348580" w14:textId="393EA66E" w:rsidR="00B656B6" w:rsidRPr="00B656B6" w:rsidRDefault="00B656B6">
      <w:pPr>
        <w:rPr>
          <w:rFonts w:eastAsia="Times New Roman" w:cstheme="minorHAnsi"/>
          <w:b/>
          <w:sz w:val="22"/>
          <w:szCs w:val="22"/>
          <w:u w:val="single"/>
          <w:lang w:eastAsia="en-GB"/>
        </w:rPr>
      </w:pPr>
      <w:r w:rsidRPr="00B656B6">
        <w:rPr>
          <w:rFonts w:eastAsia="Times New Roman" w:cstheme="minorHAnsi"/>
          <w:b/>
          <w:sz w:val="22"/>
          <w:szCs w:val="22"/>
          <w:u w:val="single"/>
          <w:lang w:eastAsia="en-GB"/>
        </w:rPr>
        <w:t>4.0 Conclusion</w:t>
      </w:r>
    </w:p>
    <w:p w14:paraId="6D70BEB6" w14:textId="65C27258" w:rsidR="00B656B6" w:rsidRDefault="001A734D">
      <w:pPr>
        <w:rPr>
          <w:rFonts w:ascii="Calibri" w:hAnsi="Calibri"/>
          <w:sz w:val="22"/>
          <w:szCs w:val="22"/>
        </w:rPr>
      </w:pPr>
      <w:r>
        <w:rPr>
          <w:rFonts w:ascii="Calibri" w:hAnsi="Calibri"/>
          <w:sz w:val="22"/>
          <w:szCs w:val="22"/>
        </w:rPr>
        <w:t xml:space="preserve">Overall, the growth of IF is </w:t>
      </w:r>
      <w:r w:rsidR="00FC2032">
        <w:rPr>
          <w:rFonts w:ascii="Calibri" w:hAnsi="Calibri"/>
          <w:sz w:val="22"/>
          <w:szCs w:val="22"/>
        </w:rPr>
        <w:t>comprehensible</w:t>
      </w:r>
      <w:r>
        <w:rPr>
          <w:rFonts w:ascii="Calibri" w:hAnsi="Calibri"/>
          <w:sz w:val="22"/>
          <w:szCs w:val="22"/>
        </w:rPr>
        <w:t xml:space="preserve"> when reviewing its </w:t>
      </w:r>
      <w:r w:rsidR="00FC2032">
        <w:rPr>
          <w:rFonts w:ascii="Calibri" w:hAnsi="Calibri"/>
          <w:sz w:val="22"/>
          <w:szCs w:val="22"/>
        </w:rPr>
        <w:t>achievements</w:t>
      </w:r>
      <w:r>
        <w:rPr>
          <w:rFonts w:ascii="Calibri" w:hAnsi="Calibri"/>
          <w:sz w:val="22"/>
          <w:szCs w:val="22"/>
        </w:rPr>
        <w:t>. Malaysia and Indonesia are both prime examples of thrivi</w:t>
      </w:r>
      <w:r w:rsidR="00C32717">
        <w:rPr>
          <w:rFonts w:ascii="Calibri" w:hAnsi="Calibri"/>
          <w:sz w:val="22"/>
          <w:szCs w:val="22"/>
        </w:rPr>
        <w:t>ng GDP, where Pakistan is an example where further development is required.</w:t>
      </w:r>
      <w:r>
        <w:rPr>
          <w:rFonts w:ascii="Calibri" w:hAnsi="Calibri"/>
          <w:sz w:val="22"/>
          <w:szCs w:val="22"/>
        </w:rPr>
        <w:t xml:space="preserve"> </w:t>
      </w:r>
      <w:r w:rsidR="003E79FF">
        <w:rPr>
          <w:rFonts w:ascii="Calibri" w:hAnsi="Calibri"/>
          <w:sz w:val="22"/>
          <w:szCs w:val="22"/>
        </w:rPr>
        <w:t>Empir</w:t>
      </w:r>
      <w:r w:rsidR="0003501D">
        <w:rPr>
          <w:rFonts w:ascii="Calibri" w:hAnsi="Calibri"/>
          <w:sz w:val="22"/>
          <w:szCs w:val="22"/>
        </w:rPr>
        <w:t>ic</w:t>
      </w:r>
      <w:r w:rsidR="003E79FF">
        <w:rPr>
          <w:rFonts w:ascii="Calibri" w:hAnsi="Calibri"/>
          <w:sz w:val="22"/>
          <w:szCs w:val="22"/>
        </w:rPr>
        <w:t>al evidence reveals the capabilities of IF however, as a whole, so</w:t>
      </w:r>
      <w:r w:rsidR="00FF0CD9">
        <w:rPr>
          <w:rFonts w:ascii="Calibri" w:hAnsi="Calibri"/>
          <w:sz w:val="22"/>
          <w:szCs w:val="22"/>
        </w:rPr>
        <w:t>m</w:t>
      </w:r>
      <w:r w:rsidR="003E79FF">
        <w:rPr>
          <w:rFonts w:ascii="Calibri" w:hAnsi="Calibri"/>
          <w:sz w:val="22"/>
          <w:szCs w:val="22"/>
        </w:rPr>
        <w:t xml:space="preserve">e </w:t>
      </w:r>
      <w:r w:rsidR="004F244B">
        <w:rPr>
          <w:rFonts w:ascii="Calibri" w:hAnsi="Calibri"/>
          <w:sz w:val="22"/>
          <w:szCs w:val="22"/>
        </w:rPr>
        <w:t>matters</w:t>
      </w:r>
      <w:r w:rsidR="003E79FF">
        <w:rPr>
          <w:rFonts w:ascii="Calibri" w:hAnsi="Calibri"/>
          <w:sz w:val="22"/>
          <w:szCs w:val="22"/>
        </w:rPr>
        <w:t xml:space="preserve"> have been identified on an international level due to the lack of clarity of </w:t>
      </w:r>
      <w:r w:rsidR="004F244B">
        <w:rPr>
          <w:rFonts w:ascii="Calibri" w:hAnsi="Calibri"/>
          <w:sz w:val="22"/>
          <w:szCs w:val="22"/>
        </w:rPr>
        <w:t>Shariah</w:t>
      </w:r>
      <w:r w:rsidR="003E79FF">
        <w:rPr>
          <w:rFonts w:ascii="Calibri" w:hAnsi="Calibri"/>
          <w:sz w:val="22"/>
          <w:szCs w:val="22"/>
        </w:rPr>
        <w:t xml:space="preserve"> law. </w:t>
      </w:r>
      <w:r w:rsidR="004F244B">
        <w:rPr>
          <w:rFonts w:ascii="Calibri" w:hAnsi="Calibri"/>
          <w:sz w:val="22"/>
          <w:szCs w:val="22"/>
        </w:rPr>
        <w:t xml:space="preserve">I have provided a recommendation that </w:t>
      </w:r>
      <w:r w:rsidR="004F51F0">
        <w:rPr>
          <w:rFonts w:ascii="Calibri" w:hAnsi="Calibri"/>
          <w:sz w:val="22"/>
          <w:szCs w:val="22"/>
        </w:rPr>
        <w:t>perhaps</w:t>
      </w:r>
      <w:r w:rsidR="004F244B">
        <w:rPr>
          <w:rFonts w:ascii="Calibri" w:hAnsi="Calibri"/>
          <w:sz w:val="22"/>
          <w:szCs w:val="22"/>
        </w:rPr>
        <w:t xml:space="preserve"> further regulati</w:t>
      </w:r>
      <w:r w:rsidR="00972E5E">
        <w:rPr>
          <w:rFonts w:ascii="Calibri" w:hAnsi="Calibri"/>
          <w:sz w:val="22"/>
          <w:szCs w:val="22"/>
        </w:rPr>
        <w:t xml:space="preserve">ons would provide clarification. </w:t>
      </w:r>
      <w:r w:rsidR="003C11CC">
        <w:rPr>
          <w:rFonts w:ascii="Calibri" w:hAnsi="Calibri"/>
          <w:sz w:val="22"/>
          <w:szCs w:val="22"/>
        </w:rPr>
        <w:t xml:space="preserve">Evidence suggests that although IF is not </w:t>
      </w:r>
      <w:r w:rsidR="00295408">
        <w:rPr>
          <w:rFonts w:ascii="Calibri" w:hAnsi="Calibri"/>
          <w:sz w:val="22"/>
          <w:szCs w:val="22"/>
        </w:rPr>
        <w:t>completely</w:t>
      </w:r>
      <w:r w:rsidR="003C11CC">
        <w:rPr>
          <w:rFonts w:ascii="Calibri" w:hAnsi="Calibri"/>
          <w:sz w:val="22"/>
          <w:szCs w:val="22"/>
        </w:rPr>
        <w:t xml:space="preserve"> unaffected by economic changes, </w:t>
      </w:r>
      <w:r w:rsidR="00D86CF7">
        <w:rPr>
          <w:rFonts w:ascii="Calibri" w:hAnsi="Calibri"/>
          <w:sz w:val="22"/>
          <w:szCs w:val="22"/>
        </w:rPr>
        <w:t xml:space="preserve">it is less </w:t>
      </w:r>
      <w:r w:rsidR="00D26D88">
        <w:rPr>
          <w:rFonts w:ascii="Calibri" w:hAnsi="Calibri"/>
          <w:sz w:val="22"/>
          <w:szCs w:val="22"/>
        </w:rPr>
        <w:t xml:space="preserve">susceptible to less disruption than </w:t>
      </w:r>
      <w:r w:rsidR="00D86CF7">
        <w:rPr>
          <w:rFonts w:ascii="Calibri" w:hAnsi="Calibri"/>
          <w:sz w:val="22"/>
          <w:szCs w:val="22"/>
        </w:rPr>
        <w:t xml:space="preserve">traditional banking. </w:t>
      </w:r>
    </w:p>
    <w:p w14:paraId="6FA99915" w14:textId="37A76B69" w:rsidR="003139AD" w:rsidRDefault="003139AD">
      <w:pPr>
        <w:rPr>
          <w:rFonts w:ascii="Calibri" w:hAnsi="Calibri"/>
          <w:sz w:val="22"/>
          <w:szCs w:val="22"/>
        </w:rPr>
      </w:pPr>
    </w:p>
    <w:p w14:paraId="2CD07D01" w14:textId="14B0D0DA" w:rsidR="003139AD" w:rsidRDefault="003139AD">
      <w:pPr>
        <w:rPr>
          <w:rFonts w:ascii="Calibri" w:hAnsi="Calibri"/>
          <w:sz w:val="22"/>
          <w:szCs w:val="22"/>
        </w:rPr>
      </w:pPr>
    </w:p>
    <w:p w14:paraId="5E49035A" w14:textId="2E1798A4" w:rsidR="003139AD" w:rsidRDefault="003139AD">
      <w:pPr>
        <w:rPr>
          <w:rFonts w:ascii="Calibri" w:hAnsi="Calibri"/>
          <w:sz w:val="22"/>
          <w:szCs w:val="22"/>
        </w:rPr>
      </w:pPr>
    </w:p>
    <w:p w14:paraId="5A478D70" w14:textId="4A7AC851" w:rsidR="003139AD" w:rsidRDefault="003139AD">
      <w:pPr>
        <w:rPr>
          <w:rFonts w:ascii="Calibri" w:hAnsi="Calibri"/>
          <w:sz w:val="22"/>
          <w:szCs w:val="22"/>
        </w:rPr>
      </w:pPr>
    </w:p>
    <w:p w14:paraId="6363B5F9" w14:textId="1FEBC12D" w:rsidR="003139AD" w:rsidRDefault="003139AD">
      <w:pPr>
        <w:rPr>
          <w:rFonts w:ascii="Calibri" w:hAnsi="Calibri"/>
          <w:sz w:val="22"/>
          <w:szCs w:val="22"/>
        </w:rPr>
      </w:pPr>
    </w:p>
    <w:p w14:paraId="325E9784" w14:textId="52CFDD62" w:rsidR="003139AD" w:rsidRDefault="003139AD">
      <w:pPr>
        <w:rPr>
          <w:rFonts w:ascii="Calibri" w:hAnsi="Calibri"/>
          <w:sz w:val="22"/>
          <w:szCs w:val="22"/>
        </w:rPr>
      </w:pPr>
    </w:p>
    <w:p w14:paraId="0B6CCCF9" w14:textId="6B672C59" w:rsidR="003139AD" w:rsidRDefault="003139AD">
      <w:pPr>
        <w:rPr>
          <w:rFonts w:ascii="Calibri" w:hAnsi="Calibri"/>
          <w:sz w:val="22"/>
          <w:szCs w:val="22"/>
        </w:rPr>
      </w:pPr>
    </w:p>
    <w:p w14:paraId="701D3BD4" w14:textId="2CE9CA04" w:rsidR="003139AD" w:rsidRDefault="003139AD">
      <w:pPr>
        <w:rPr>
          <w:rFonts w:ascii="Calibri" w:hAnsi="Calibri"/>
          <w:sz w:val="22"/>
          <w:szCs w:val="22"/>
        </w:rPr>
      </w:pPr>
    </w:p>
    <w:p w14:paraId="1FF7D73E" w14:textId="408612E1" w:rsidR="003139AD" w:rsidRDefault="003139AD">
      <w:pPr>
        <w:rPr>
          <w:rFonts w:ascii="Calibri" w:hAnsi="Calibri"/>
          <w:sz w:val="22"/>
          <w:szCs w:val="22"/>
        </w:rPr>
      </w:pPr>
    </w:p>
    <w:p w14:paraId="728F1C53" w14:textId="3C3AAE7C" w:rsidR="003139AD" w:rsidRDefault="003139AD">
      <w:pPr>
        <w:rPr>
          <w:rFonts w:ascii="Calibri" w:hAnsi="Calibri"/>
          <w:sz w:val="22"/>
          <w:szCs w:val="22"/>
        </w:rPr>
      </w:pPr>
    </w:p>
    <w:p w14:paraId="324498E6" w14:textId="435DD777" w:rsidR="003139AD" w:rsidRDefault="003139AD">
      <w:pPr>
        <w:rPr>
          <w:rFonts w:ascii="Calibri" w:hAnsi="Calibri"/>
          <w:sz w:val="22"/>
          <w:szCs w:val="22"/>
        </w:rPr>
      </w:pPr>
    </w:p>
    <w:p w14:paraId="656CA771" w14:textId="16431621" w:rsidR="0071130E" w:rsidRDefault="0071130E">
      <w:bookmarkStart w:id="0" w:name="_GoBack"/>
      <w:bookmarkEnd w:id="0"/>
    </w:p>
    <w:sdt>
      <w:sdtPr>
        <w:rPr>
          <w:rFonts w:eastAsiaTheme="minorHAnsi"/>
          <w:caps w:val="0"/>
          <w:color w:val="auto"/>
          <w:spacing w:val="0"/>
          <w:sz w:val="20"/>
          <w:szCs w:val="20"/>
        </w:rPr>
        <w:id w:val="-1259678015"/>
        <w:docPartObj>
          <w:docPartGallery w:val="Bibliographies"/>
          <w:docPartUnique/>
        </w:docPartObj>
      </w:sdtPr>
      <w:sdtEndPr>
        <w:rPr>
          <w:rFonts w:eastAsiaTheme="minorEastAsia"/>
        </w:rPr>
      </w:sdtEndPr>
      <w:sdtContent>
        <w:p w14:paraId="14A740F4" w14:textId="77777777" w:rsidR="00BB0CDB" w:rsidRDefault="00BB0CDB">
          <w:pPr>
            <w:pStyle w:val="Heading1"/>
          </w:pPr>
          <w:r>
            <w:t>References</w:t>
          </w:r>
        </w:p>
        <w:sdt>
          <w:sdtPr>
            <w:id w:val="-573587230"/>
            <w:bibliography/>
          </w:sdtPr>
          <w:sdtEndPr/>
          <w:sdtContent>
            <w:p w14:paraId="3EDD44F7" w14:textId="77777777" w:rsidR="00C710D3" w:rsidRDefault="00BB0CDB" w:rsidP="00C710D3">
              <w:pPr>
                <w:pStyle w:val="Bibliography"/>
                <w:rPr>
                  <w:noProof/>
                  <w:sz w:val="24"/>
                  <w:szCs w:val="24"/>
                </w:rPr>
              </w:pPr>
              <w:r>
                <w:fldChar w:fldCharType="begin"/>
              </w:r>
              <w:r>
                <w:instrText xml:space="preserve"> BIBLIOGRAPHY </w:instrText>
              </w:r>
              <w:r>
                <w:fldChar w:fldCharType="separate"/>
              </w:r>
              <w:r w:rsidR="00C710D3">
                <w:rPr>
                  <w:noProof/>
                </w:rPr>
                <w:t xml:space="preserve">Alexander, P., 2012. The struggle to find the right Islamic banking model. </w:t>
              </w:r>
              <w:r w:rsidR="00C710D3">
                <w:rPr>
                  <w:i/>
                  <w:iCs/>
                  <w:noProof/>
                </w:rPr>
                <w:t>The Banker.</w:t>
              </w:r>
            </w:p>
            <w:p w14:paraId="49AB9431" w14:textId="77777777" w:rsidR="00C710D3" w:rsidRDefault="00C710D3" w:rsidP="00C710D3">
              <w:pPr>
                <w:pStyle w:val="Bibliography"/>
                <w:rPr>
                  <w:noProof/>
                </w:rPr>
              </w:pPr>
              <w:r>
                <w:rPr>
                  <w:noProof/>
                </w:rPr>
                <w:t xml:space="preserve">Ambrose, 2017. Islamic Finance Market Size and Growth. </w:t>
              </w:r>
              <w:r>
                <w:rPr>
                  <w:i/>
                  <w:iCs/>
                  <w:noProof/>
                </w:rPr>
                <w:t>Industry Directory.</w:t>
              </w:r>
            </w:p>
            <w:p w14:paraId="566106A6" w14:textId="77777777" w:rsidR="00C710D3" w:rsidRDefault="00C710D3" w:rsidP="00C710D3">
              <w:pPr>
                <w:pStyle w:val="Bibliography"/>
                <w:rPr>
                  <w:noProof/>
                </w:rPr>
              </w:pPr>
              <w:r>
                <w:rPr>
                  <w:noProof/>
                </w:rPr>
                <w:t xml:space="preserve">Central Intelligence Agency, 2017. </w:t>
              </w:r>
              <w:r>
                <w:rPr>
                  <w:i/>
                  <w:iCs/>
                  <w:noProof/>
                </w:rPr>
                <w:t xml:space="preserve">The World Factbook. </w:t>
              </w:r>
              <w:r>
                <w:rPr>
                  <w:noProof/>
                </w:rPr>
                <w:t xml:space="preserve">[Online] </w:t>
              </w:r>
              <w:r>
                <w:rPr>
                  <w:noProof/>
                </w:rPr>
                <w:br/>
                <w:t xml:space="preserve">Available at: </w:t>
              </w:r>
              <w:r>
                <w:rPr>
                  <w:noProof/>
                  <w:u w:val="single"/>
                </w:rPr>
                <w:t>https://www.cia.gov/library/publications/resources/the-world-factbook/</w:t>
              </w:r>
              <w:r>
                <w:rPr>
                  <w:noProof/>
                </w:rPr>
                <w:br/>
                <w:t>[Accessed 11 December 2018].</w:t>
              </w:r>
            </w:p>
            <w:p w14:paraId="6348E8E4" w14:textId="77777777" w:rsidR="00C710D3" w:rsidRDefault="00C710D3" w:rsidP="00C710D3">
              <w:pPr>
                <w:pStyle w:val="Bibliography"/>
                <w:rPr>
                  <w:noProof/>
                </w:rPr>
              </w:pPr>
              <w:r>
                <w:rPr>
                  <w:noProof/>
                </w:rPr>
                <w:t xml:space="preserve">FRED Economic Research, 2018. Total Gross Domestic Product for Indonesia. </w:t>
              </w:r>
              <w:r>
                <w:rPr>
                  <w:i/>
                  <w:iCs/>
                  <w:noProof/>
                </w:rPr>
                <w:t>FRED Economic Research.</w:t>
              </w:r>
            </w:p>
            <w:p w14:paraId="7F1B63D1" w14:textId="77777777" w:rsidR="00C710D3" w:rsidRDefault="00C710D3" w:rsidP="00C710D3">
              <w:pPr>
                <w:pStyle w:val="Bibliography"/>
                <w:rPr>
                  <w:noProof/>
                </w:rPr>
              </w:pPr>
              <w:r>
                <w:rPr>
                  <w:noProof/>
                </w:rPr>
                <w:t xml:space="preserve">Ghalaita, J. B., 2015. The rise of the Islamic economy. </w:t>
              </w:r>
              <w:r>
                <w:rPr>
                  <w:i/>
                  <w:iCs/>
                  <w:noProof/>
                </w:rPr>
                <w:t>World Finance; The Voice of the Market.</w:t>
              </w:r>
            </w:p>
            <w:p w14:paraId="58D145D4" w14:textId="77777777" w:rsidR="00C710D3" w:rsidRDefault="00C710D3" w:rsidP="00C710D3">
              <w:pPr>
                <w:pStyle w:val="Bibliography"/>
                <w:rPr>
                  <w:noProof/>
                </w:rPr>
              </w:pPr>
              <w:r>
                <w:rPr>
                  <w:noProof/>
                </w:rPr>
                <w:t xml:space="preserve">Global Business Guide Indonesia, 2013. The Outlook for Indonesia’s Islamic Banking Sector. </w:t>
              </w:r>
              <w:r>
                <w:rPr>
                  <w:i/>
                  <w:iCs/>
                  <w:noProof/>
                </w:rPr>
                <w:t>Global Business Guide Indonesia.</w:t>
              </w:r>
            </w:p>
            <w:p w14:paraId="6F70CE6C" w14:textId="77777777" w:rsidR="00C710D3" w:rsidRDefault="00C710D3" w:rsidP="00C710D3">
              <w:pPr>
                <w:pStyle w:val="Bibliography"/>
                <w:rPr>
                  <w:noProof/>
                </w:rPr>
              </w:pPr>
              <w:r>
                <w:rPr>
                  <w:noProof/>
                </w:rPr>
                <w:t xml:space="preserve">Harran, A., 1993. </w:t>
              </w:r>
              <w:r>
                <w:rPr>
                  <w:i/>
                  <w:iCs/>
                  <w:noProof/>
                </w:rPr>
                <w:t xml:space="preserve">Islamic Finance: Partnership Financing. </w:t>
              </w:r>
              <w:r>
                <w:rPr>
                  <w:noProof/>
                </w:rPr>
                <w:t>2nd ed. Indiana: Pelanduk Publications.</w:t>
              </w:r>
            </w:p>
            <w:p w14:paraId="55AC0177" w14:textId="77777777" w:rsidR="00C710D3" w:rsidRDefault="00C710D3" w:rsidP="00C710D3">
              <w:pPr>
                <w:pStyle w:val="Bibliography"/>
                <w:rPr>
                  <w:noProof/>
                </w:rPr>
              </w:pPr>
              <w:r>
                <w:rPr>
                  <w:noProof/>
                </w:rPr>
                <w:t xml:space="preserve">Hirst, T., 2015. These are the top 9 countries for Islamic finance. </w:t>
              </w:r>
              <w:r>
                <w:rPr>
                  <w:i/>
                  <w:iCs/>
                  <w:noProof/>
                </w:rPr>
                <w:t>World Economic Forum.</w:t>
              </w:r>
            </w:p>
            <w:p w14:paraId="42C1125D" w14:textId="77777777" w:rsidR="00C710D3" w:rsidRDefault="00C710D3" w:rsidP="00C710D3">
              <w:pPr>
                <w:pStyle w:val="Bibliography"/>
                <w:rPr>
                  <w:noProof/>
                </w:rPr>
              </w:pPr>
              <w:r>
                <w:rPr>
                  <w:noProof/>
                </w:rPr>
                <w:t xml:space="preserve">Hisham, M., 2015. </w:t>
              </w:r>
              <w:r>
                <w:rPr>
                  <w:i/>
                  <w:iCs/>
                  <w:noProof/>
                </w:rPr>
                <w:t xml:space="preserve">Maybank Islamic, </w:t>
              </w:r>
              <w:r>
                <w:rPr>
                  <w:noProof/>
                </w:rPr>
                <w:t>Malaysia: s.n.</w:t>
              </w:r>
            </w:p>
            <w:p w14:paraId="03EA555A" w14:textId="77777777" w:rsidR="00C710D3" w:rsidRDefault="00C710D3" w:rsidP="00C710D3">
              <w:pPr>
                <w:pStyle w:val="Bibliography"/>
                <w:rPr>
                  <w:noProof/>
                </w:rPr>
              </w:pPr>
              <w:r>
                <w:rPr>
                  <w:noProof/>
                </w:rPr>
                <w:t xml:space="preserve">Innovation Enterprise, 2017. 5 Advantages Of Islamic Finance. </w:t>
              </w:r>
              <w:r>
                <w:rPr>
                  <w:i/>
                  <w:iCs/>
                  <w:noProof/>
                </w:rPr>
                <w:t>Innovation Enterprise.</w:t>
              </w:r>
            </w:p>
            <w:p w14:paraId="4FD90FD2" w14:textId="77777777" w:rsidR="00C710D3" w:rsidRDefault="00C710D3" w:rsidP="00C710D3">
              <w:pPr>
                <w:pStyle w:val="Bibliography"/>
                <w:rPr>
                  <w:noProof/>
                </w:rPr>
              </w:pPr>
              <w:r>
                <w:rPr>
                  <w:noProof/>
                </w:rPr>
                <w:t xml:space="preserve">International Monetary Fund, 2010. IMF Survey: Islamic Banks: More Resilient to Crisis?. </w:t>
              </w:r>
              <w:r>
                <w:rPr>
                  <w:i/>
                  <w:iCs/>
                  <w:noProof/>
                </w:rPr>
                <w:t>International Monetary Fund.</w:t>
              </w:r>
            </w:p>
            <w:p w14:paraId="5540D8FC" w14:textId="77777777" w:rsidR="00C710D3" w:rsidRDefault="00C710D3" w:rsidP="00C710D3">
              <w:pPr>
                <w:pStyle w:val="Bibliography"/>
                <w:rPr>
                  <w:noProof/>
                </w:rPr>
              </w:pPr>
              <w:r>
                <w:rPr>
                  <w:noProof/>
                </w:rPr>
                <w:t xml:space="preserve">King, J., 2015. Malaysia's recipe for Islamic finance success. </w:t>
              </w:r>
              <w:r>
                <w:rPr>
                  <w:i/>
                  <w:iCs/>
                  <w:noProof/>
                </w:rPr>
                <w:t>The Banker.</w:t>
              </w:r>
            </w:p>
            <w:p w14:paraId="33D11264" w14:textId="77777777" w:rsidR="00C710D3" w:rsidRDefault="00C710D3" w:rsidP="00C710D3">
              <w:pPr>
                <w:pStyle w:val="Bibliography"/>
                <w:rPr>
                  <w:noProof/>
                </w:rPr>
              </w:pPr>
              <w:r>
                <w:rPr>
                  <w:noProof/>
                </w:rPr>
                <w:t xml:space="preserve">Lee, S., 2013. Malaysia’s new financial services regulatory framework. </w:t>
              </w:r>
              <w:r>
                <w:rPr>
                  <w:i/>
                  <w:iCs/>
                  <w:noProof/>
                </w:rPr>
                <w:t>Financier Worldwide.</w:t>
              </w:r>
            </w:p>
            <w:p w14:paraId="76BB4DCF" w14:textId="77777777" w:rsidR="00C710D3" w:rsidRDefault="00C710D3" w:rsidP="00C710D3">
              <w:pPr>
                <w:pStyle w:val="Bibliography"/>
                <w:rPr>
                  <w:noProof/>
                </w:rPr>
              </w:pPr>
              <w:r>
                <w:rPr>
                  <w:noProof/>
                </w:rPr>
                <w:t xml:space="preserve">Moinuddin, C., 2017. </w:t>
              </w:r>
              <w:r>
                <w:rPr>
                  <w:i/>
                  <w:iCs/>
                  <w:noProof/>
                </w:rPr>
                <w:t xml:space="preserve">An Introduction To Islamic Finance. </w:t>
              </w:r>
              <w:r>
                <w:rPr>
                  <w:noProof/>
                </w:rPr>
                <w:t>1st ed. s.l.:CIMA.</w:t>
              </w:r>
            </w:p>
            <w:p w14:paraId="0AA4E2FB" w14:textId="77777777" w:rsidR="00C710D3" w:rsidRDefault="00C710D3" w:rsidP="00C710D3">
              <w:pPr>
                <w:pStyle w:val="Bibliography"/>
                <w:rPr>
                  <w:noProof/>
                </w:rPr>
              </w:pPr>
              <w:r>
                <w:rPr>
                  <w:noProof/>
                </w:rPr>
                <w:t xml:space="preserve">OpenTuition, 2018. </w:t>
              </w:r>
              <w:r>
                <w:rPr>
                  <w:i/>
                  <w:iCs/>
                  <w:noProof/>
                </w:rPr>
                <w:t xml:space="preserve">ACCA F9 Lecture Notes – Sources of finance – islamic finance. </w:t>
              </w:r>
              <w:r>
                <w:rPr>
                  <w:noProof/>
                </w:rPr>
                <w:t xml:space="preserve">[Online] </w:t>
              </w:r>
              <w:r>
                <w:rPr>
                  <w:noProof/>
                </w:rPr>
                <w:br/>
                <w:t xml:space="preserve">Available at: </w:t>
              </w:r>
              <w:r>
                <w:rPr>
                  <w:noProof/>
                  <w:u w:val="single"/>
                </w:rPr>
                <w:t>https://opentuition.com/acca/f9/acca-f9-lecture-notes-sources-of-finance-islamic-finance/</w:t>
              </w:r>
              <w:r>
                <w:rPr>
                  <w:noProof/>
                </w:rPr>
                <w:br/>
                <w:t>[Accessed 10 December 2018].</w:t>
              </w:r>
            </w:p>
            <w:p w14:paraId="72A4767F" w14:textId="77777777" w:rsidR="00C710D3" w:rsidRDefault="00C710D3" w:rsidP="00C710D3">
              <w:pPr>
                <w:pStyle w:val="Bibliography"/>
                <w:rPr>
                  <w:noProof/>
                </w:rPr>
              </w:pPr>
              <w:r>
                <w:rPr>
                  <w:noProof/>
                </w:rPr>
                <w:t xml:space="preserve">Piesse, M., 2016. Indonesia’s Plan for Global Islamic Finance Center Faces Challenges. </w:t>
              </w:r>
              <w:r>
                <w:rPr>
                  <w:i/>
                  <w:iCs/>
                  <w:noProof/>
                </w:rPr>
                <w:t>The Edge of Risk.</w:t>
              </w:r>
            </w:p>
            <w:p w14:paraId="2A62D2A2" w14:textId="77777777" w:rsidR="00C710D3" w:rsidRDefault="00C710D3" w:rsidP="00C710D3">
              <w:pPr>
                <w:pStyle w:val="Bibliography"/>
                <w:rPr>
                  <w:noProof/>
                </w:rPr>
              </w:pPr>
              <w:r>
                <w:rPr>
                  <w:noProof/>
                </w:rPr>
                <w:t xml:space="preserve">Reserve, T. M., 2018. Key factors to Islamic finance success. </w:t>
              </w:r>
              <w:r>
                <w:rPr>
                  <w:i/>
                  <w:iCs/>
                  <w:noProof/>
                </w:rPr>
                <w:t>The Malaysian Reserve.</w:t>
              </w:r>
            </w:p>
            <w:p w14:paraId="2C376B4B" w14:textId="77777777" w:rsidR="00C710D3" w:rsidRDefault="00C710D3" w:rsidP="00C710D3">
              <w:pPr>
                <w:pStyle w:val="Bibliography"/>
                <w:rPr>
                  <w:noProof/>
                </w:rPr>
              </w:pPr>
              <w:r>
                <w:rPr>
                  <w:noProof/>
                </w:rPr>
                <w:t xml:space="preserve">Shahzad, M., 2016. Barriers to Service Quality in the Banks of Pakistan: A Comparative Study of Islamic and Conventional Banks. </w:t>
              </w:r>
              <w:r>
                <w:rPr>
                  <w:i/>
                  <w:iCs/>
                  <w:noProof/>
                </w:rPr>
                <w:t>Business and Economics Journal.</w:t>
              </w:r>
            </w:p>
            <w:p w14:paraId="651BD8F0" w14:textId="77777777" w:rsidR="00C710D3" w:rsidRDefault="00C710D3" w:rsidP="00C710D3">
              <w:pPr>
                <w:pStyle w:val="Bibliography"/>
                <w:rPr>
                  <w:noProof/>
                </w:rPr>
              </w:pPr>
              <w:r>
                <w:rPr>
                  <w:noProof/>
                </w:rPr>
                <w:t xml:space="preserve">Siddiqui, S., 2018. Pakistan’s share in global Islamic banking assets just 1%. </w:t>
              </w:r>
              <w:r>
                <w:rPr>
                  <w:i/>
                  <w:iCs/>
                  <w:noProof/>
                </w:rPr>
                <w:t>The Express Tribune.</w:t>
              </w:r>
            </w:p>
            <w:p w14:paraId="785E4DF8" w14:textId="77777777" w:rsidR="00C710D3" w:rsidRDefault="00C710D3" w:rsidP="00C710D3">
              <w:pPr>
                <w:pStyle w:val="Bibliography"/>
                <w:rPr>
                  <w:noProof/>
                </w:rPr>
              </w:pPr>
              <w:r>
                <w:rPr>
                  <w:noProof/>
                </w:rPr>
                <w:t xml:space="preserve">Tejvan, 2016. UK Recession of 1991-92. </w:t>
              </w:r>
              <w:r>
                <w:rPr>
                  <w:i/>
                  <w:iCs/>
                  <w:noProof/>
                </w:rPr>
                <w:t>Economics Help.</w:t>
              </w:r>
            </w:p>
            <w:p w14:paraId="54E21AAE" w14:textId="77777777" w:rsidR="00C710D3" w:rsidRDefault="00C710D3" w:rsidP="00C710D3">
              <w:pPr>
                <w:pStyle w:val="Bibliography"/>
                <w:rPr>
                  <w:noProof/>
                </w:rPr>
              </w:pPr>
              <w:r>
                <w:rPr>
                  <w:noProof/>
                </w:rPr>
                <w:t xml:space="preserve">Tuah, Y., 2017. Islamic finance: The unconventional but nascent financial system. </w:t>
              </w:r>
              <w:r>
                <w:rPr>
                  <w:i/>
                  <w:iCs/>
                  <w:noProof/>
                </w:rPr>
                <w:t>Borneo Post Online.</w:t>
              </w:r>
            </w:p>
            <w:p w14:paraId="01265B28" w14:textId="77777777" w:rsidR="00C710D3" w:rsidRDefault="00C710D3" w:rsidP="00C710D3">
              <w:pPr>
                <w:pStyle w:val="Bibliography"/>
                <w:rPr>
                  <w:noProof/>
                </w:rPr>
              </w:pPr>
              <w:r>
                <w:rPr>
                  <w:noProof/>
                </w:rPr>
                <w:t xml:space="preserve">Young, E., 2013. World islamic banking competitiveness report. </w:t>
              </w:r>
              <w:r>
                <w:rPr>
                  <w:i/>
                  <w:iCs/>
                  <w:noProof/>
                </w:rPr>
                <w:t>SlideShare.</w:t>
              </w:r>
            </w:p>
            <w:p w14:paraId="7E85DBD9" w14:textId="7BEE7D90" w:rsidR="00BB0CDB" w:rsidRDefault="00BB0CDB">
              <w:r>
                <w:rPr>
                  <w:b/>
                  <w:bCs/>
                  <w:noProof/>
                </w:rPr>
                <w:fldChar w:fldCharType="end"/>
              </w:r>
            </w:p>
          </w:sdtContent>
        </w:sdt>
      </w:sdtContent>
    </w:sdt>
    <w:sectPr w:rsidR="00BB0CD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9191E" w14:textId="77777777" w:rsidR="00E6027A" w:rsidRDefault="00E6027A" w:rsidP="00481FA5">
      <w:pPr>
        <w:spacing w:after="0" w:line="240" w:lineRule="auto"/>
      </w:pPr>
      <w:r>
        <w:separator/>
      </w:r>
    </w:p>
  </w:endnote>
  <w:endnote w:type="continuationSeparator" w:id="0">
    <w:p w14:paraId="63F5E8F9" w14:textId="77777777" w:rsidR="00E6027A" w:rsidRDefault="00E6027A" w:rsidP="00481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1819089"/>
      <w:docPartObj>
        <w:docPartGallery w:val="Page Numbers (Bottom of Page)"/>
        <w:docPartUnique/>
      </w:docPartObj>
    </w:sdtPr>
    <w:sdtEndPr>
      <w:rPr>
        <w:noProof/>
      </w:rPr>
    </w:sdtEndPr>
    <w:sdtContent>
      <w:p w14:paraId="6EE87270" w14:textId="27F7E75E" w:rsidR="00481FA5" w:rsidRDefault="00481FA5">
        <w:pPr>
          <w:pStyle w:val="Footer"/>
          <w:jc w:val="right"/>
        </w:pPr>
        <w:r>
          <w:fldChar w:fldCharType="begin"/>
        </w:r>
        <w:r>
          <w:instrText xml:space="preserve"> PAGE   \* MERGEFORMAT </w:instrText>
        </w:r>
        <w:r>
          <w:fldChar w:fldCharType="separate"/>
        </w:r>
        <w:r w:rsidR="009C063C">
          <w:rPr>
            <w:noProof/>
          </w:rPr>
          <w:t>12</w:t>
        </w:r>
        <w:r>
          <w:rPr>
            <w:noProof/>
          </w:rPr>
          <w:fldChar w:fldCharType="end"/>
        </w:r>
      </w:p>
    </w:sdtContent>
  </w:sdt>
  <w:p w14:paraId="4B942378" w14:textId="77777777" w:rsidR="00481FA5" w:rsidRDefault="00481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963C9" w14:textId="77777777" w:rsidR="00E6027A" w:rsidRDefault="00E6027A" w:rsidP="00481FA5">
      <w:pPr>
        <w:spacing w:after="0" w:line="240" w:lineRule="auto"/>
      </w:pPr>
      <w:r>
        <w:separator/>
      </w:r>
    </w:p>
  </w:footnote>
  <w:footnote w:type="continuationSeparator" w:id="0">
    <w:p w14:paraId="623366DD" w14:textId="77777777" w:rsidR="00E6027A" w:rsidRDefault="00E6027A" w:rsidP="00481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26A67"/>
    <w:multiLevelType w:val="hybridMultilevel"/>
    <w:tmpl w:val="8BF83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B628A"/>
    <w:multiLevelType w:val="hybridMultilevel"/>
    <w:tmpl w:val="1D546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5233B6"/>
    <w:multiLevelType w:val="hybridMultilevel"/>
    <w:tmpl w:val="F8EE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E5"/>
    <w:rsid w:val="000047CF"/>
    <w:rsid w:val="000050F9"/>
    <w:rsid w:val="0001188E"/>
    <w:rsid w:val="00015A77"/>
    <w:rsid w:val="00034C5D"/>
    <w:rsid w:val="0003501D"/>
    <w:rsid w:val="000414A6"/>
    <w:rsid w:val="000416E1"/>
    <w:rsid w:val="00043D0D"/>
    <w:rsid w:val="000443D4"/>
    <w:rsid w:val="00053A49"/>
    <w:rsid w:val="000644A8"/>
    <w:rsid w:val="00070251"/>
    <w:rsid w:val="00076ACC"/>
    <w:rsid w:val="00077DA1"/>
    <w:rsid w:val="000811C1"/>
    <w:rsid w:val="00084058"/>
    <w:rsid w:val="00086509"/>
    <w:rsid w:val="00094D56"/>
    <w:rsid w:val="000A1E31"/>
    <w:rsid w:val="000A4EC5"/>
    <w:rsid w:val="000A767E"/>
    <w:rsid w:val="000B3DE4"/>
    <w:rsid w:val="000E504F"/>
    <w:rsid w:val="00106036"/>
    <w:rsid w:val="001066D4"/>
    <w:rsid w:val="00110E62"/>
    <w:rsid w:val="0011492F"/>
    <w:rsid w:val="00122D72"/>
    <w:rsid w:val="00133B6C"/>
    <w:rsid w:val="00135CA3"/>
    <w:rsid w:val="00135E83"/>
    <w:rsid w:val="0014434D"/>
    <w:rsid w:val="00150F18"/>
    <w:rsid w:val="00153F60"/>
    <w:rsid w:val="00157F42"/>
    <w:rsid w:val="001602F5"/>
    <w:rsid w:val="00164EE2"/>
    <w:rsid w:val="00170966"/>
    <w:rsid w:val="00171D1A"/>
    <w:rsid w:val="001743AF"/>
    <w:rsid w:val="00175F6A"/>
    <w:rsid w:val="001822C8"/>
    <w:rsid w:val="00184385"/>
    <w:rsid w:val="00190914"/>
    <w:rsid w:val="001A15C2"/>
    <w:rsid w:val="001A1B00"/>
    <w:rsid w:val="001A4FE5"/>
    <w:rsid w:val="001A662A"/>
    <w:rsid w:val="001A734D"/>
    <w:rsid w:val="001B7236"/>
    <w:rsid w:val="001D3D84"/>
    <w:rsid w:val="001D4597"/>
    <w:rsid w:val="001D54FE"/>
    <w:rsid w:val="001D695B"/>
    <w:rsid w:val="001E0C51"/>
    <w:rsid w:val="001E6A8C"/>
    <w:rsid w:val="001F7694"/>
    <w:rsid w:val="002204AE"/>
    <w:rsid w:val="00222DE7"/>
    <w:rsid w:val="00223D46"/>
    <w:rsid w:val="00230242"/>
    <w:rsid w:val="00230624"/>
    <w:rsid w:val="00247404"/>
    <w:rsid w:val="002474D0"/>
    <w:rsid w:val="00251BA0"/>
    <w:rsid w:val="00265F97"/>
    <w:rsid w:val="00266AA6"/>
    <w:rsid w:val="00267539"/>
    <w:rsid w:val="002753F1"/>
    <w:rsid w:val="00294F7D"/>
    <w:rsid w:val="00295408"/>
    <w:rsid w:val="002966F2"/>
    <w:rsid w:val="002D2361"/>
    <w:rsid w:val="002D4E8F"/>
    <w:rsid w:val="002E73D8"/>
    <w:rsid w:val="00310FBC"/>
    <w:rsid w:val="0031266C"/>
    <w:rsid w:val="003139AD"/>
    <w:rsid w:val="003176D8"/>
    <w:rsid w:val="00333839"/>
    <w:rsid w:val="00334BB9"/>
    <w:rsid w:val="00337BDD"/>
    <w:rsid w:val="0035172D"/>
    <w:rsid w:val="00355E95"/>
    <w:rsid w:val="00364299"/>
    <w:rsid w:val="00374B1C"/>
    <w:rsid w:val="00391D96"/>
    <w:rsid w:val="00392B45"/>
    <w:rsid w:val="003A4CAE"/>
    <w:rsid w:val="003C0250"/>
    <w:rsid w:val="003C11CC"/>
    <w:rsid w:val="003C2606"/>
    <w:rsid w:val="003E263B"/>
    <w:rsid w:val="003E5806"/>
    <w:rsid w:val="003E79FF"/>
    <w:rsid w:val="003F3C87"/>
    <w:rsid w:val="0040321A"/>
    <w:rsid w:val="00420A96"/>
    <w:rsid w:val="00420CC6"/>
    <w:rsid w:val="004211AE"/>
    <w:rsid w:val="004640C6"/>
    <w:rsid w:val="00464253"/>
    <w:rsid w:val="00466A2E"/>
    <w:rsid w:val="00472A9D"/>
    <w:rsid w:val="00474905"/>
    <w:rsid w:val="00477423"/>
    <w:rsid w:val="00481BB1"/>
    <w:rsid w:val="00481FA5"/>
    <w:rsid w:val="0048223E"/>
    <w:rsid w:val="00485800"/>
    <w:rsid w:val="00485E76"/>
    <w:rsid w:val="004A1A41"/>
    <w:rsid w:val="004A2385"/>
    <w:rsid w:val="004A75A1"/>
    <w:rsid w:val="004B45D9"/>
    <w:rsid w:val="004B56B2"/>
    <w:rsid w:val="004C7623"/>
    <w:rsid w:val="004D77CD"/>
    <w:rsid w:val="004E092E"/>
    <w:rsid w:val="004E1C8C"/>
    <w:rsid w:val="004E4070"/>
    <w:rsid w:val="004E5D12"/>
    <w:rsid w:val="004E795F"/>
    <w:rsid w:val="004F244B"/>
    <w:rsid w:val="004F51F0"/>
    <w:rsid w:val="004F665E"/>
    <w:rsid w:val="00516BE8"/>
    <w:rsid w:val="00520292"/>
    <w:rsid w:val="00526E1D"/>
    <w:rsid w:val="00527FCC"/>
    <w:rsid w:val="00532192"/>
    <w:rsid w:val="00535499"/>
    <w:rsid w:val="00561722"/>
    <w:rsid w:val="00564EC3"/>
    <w:rsid w:val="0056572F"/>
    <w:rsid w:val="00565E2F"/>
    <w:rsid w:val="00572CDC"/>
    <w:rsid w:val="00576579"/>
    <w:rsid w:val="00583BEB"/>
    <w:rsid w:val="005871C3"/>
    <w:rsid w:val="005919B9"/>
    <w:rsid w:val="00593D35"/>
    <w:rsid w:val="00594CF3"/>
    <w:rsid w:val="005A5795"/>
    <w:rsid w:val="005A6080"/>
    <w:rsid w:val="005B06B6"/>
    <w:rsid w:val="005C0580"/>
    <w:rsid w:val="005C1B6F"/>
    <w:rsid w:val="005C55C8"/>
    <w:rsid w:val="005D3E2F"/>
    <w:rsid w:val="005E676F"/>
    <w:rsid w:val="005E680B"/>
    <w:rsid w:val="005F18B4"/>
    <w:rsid w:val="005F3F35"/>
    <w:rsid w:val="0061151A"/>
    <w:rsid w:val="00630380"/>
    <w:rsid w:val="00644FBA"/>
    <w:rsid w:val="006503FB"/>
    <w:rsid w:val="00654218"/>
    <w:rsid w:val="006606FC"/>
    <w:rsid w:val="00663917"/>
    <w:rsid w:val="00666926"/>
    <w:rsid w:val="0068616B"/>
    <w:rsid w:val="006862E6"/>
    <w:rsid w:val="006A1421"/>
    <w:rsid w:val="006A1AF9"/>
    <w:rsid w:val="006A701E"/>
    <w:rsid w:val="006B490D"/>
    <w:rsid w:val="006B63D4"/>
    <w:rsid w:val="006B6A80"/>
    <w:rsid w:val="006C2ED6"/>
    <w:rsid w:val="006C5249"/>
    <w:rsid w:val="006D0CB3"/>
    <w:rsid w:val="006D2AF4"/>
    <w:rsid w:val="006D579D"/>
    <w:rsid w:val="006E05D3"/>
    <w:rsid w:val="006E277B"/>
    <w:rsid w:val="006E4112"/>
    <w:rsid w:val="006E4A91"/>
    <w:rsid w:val="00705646"/>
    <w:rsid w:val="0071130E"/>
    <w:rsid w:val="007264C1"/>
    <w:rsid w:val="0073150E"/>
    <w:rsid w:val="00733ADF"/>
    <w:rsid w:val="007450A0"/>
    <w:rsid w:val="007525A6"/>
    <w:rsid w:val="00754F58"/>
    <w:rsid w:val="00761544"/>
    <w:rsid w:val="00761B87"/>
    <w:rsid w:val="00763981"/>
    <w:rsid w:val="00796322"/>
    <w:rsid w:val="007A0217"/>
    <w:rsid w:val="007A1B2B"/>
    <w:rsid w:val="007B0BB4"/>
    <w:rsid w:val="007B1BB8"/>
    <w:rsid w:val="007B393A"/>
    <w:rsid w:val="007B72FD"/>
    <w:rsid w:val="007B7B15"/>
    <w:rsid w:val="007D3FBB"/>
    <w:rsid w:val="007E4CCA"/>
    <w:rsid w:val="007F39FD"/>
    <w:rsid w:val="0080073D"/>
    <w:rsid w:val="008015D4"/>
    <w:rsid w:val="00802167"/>
    <w:rsid w:val="008055EE"/>
    <w:rsid w:val="00815276"/>
    <w:rsid w:val="00821185"/>
    <w:rsid w:val="008221F2"/>
    <w:rsid w:val="00823B53"/>
    <w:rsid w:val="00823F3C"/>
    <w:rsid w:val="008262F0"/>
    <w:rsid w:val="0083006A"/>
    <w:rsid w:val="00830F49"/>
    <w:rsid w:val="00835A54"/>
    <w:rsid w:val="008535A3"/>
    <w:rsid w:val="00853937"/>
    <w:rsid w:val="00854BBB"/>
    <w:rsid w:val="00863CF3"/>
    <w:rsid w:val="008802AE"/>
    <w:rsid w:val="008818AF"/>
    <w:rsid w:val="00883426"/>
    <w:rsid w:val="008876E5"/>
    <w:rsid w:val="008926AE"/>
    <w:rsid w:val="008A1C11"/>
    <w:rsid w:val="008A3CAD"/>
    <w:rsid w:val="008D015E"/>
    <w:rsid w:val="008D0A75"/>
    <w:rsid w:val="008D555B"/>
    <w:rsid w:val="008F54CE"/>
    <w:rsid w:val="00903765"/>
    <w:rsid w:val="0090381F"/>
    <w:rsid w:val="00913F6F"/>
    <w:rsid w:val="009140D4"/>
    <w:rsid w:val="0091722C"/>
    <w:rsid w:val="00926AB2"/>
    <w:rsid w:val="009304D1"/>
    <w:rsid w:val="009314D7"/>
    <w:rsid w:val="00934859"/>
    <w:rsid w:val="00941E94"/>
    <w:rsid w:val="0094480D"/>
    <w:rsid w:val="00961767"/>
    <w:rsid w:val="00964182"/>
    <w:rsid w:val="00965518"/>
    <w:rsid w:val="00971391"/>
    <w:rsid w:val="009719E4"/>
    <w:rsid w:val="00972E5E"/>
    <w:rsid w:val="009815B6"/>
    <w:rsid w:val="0098495C"/>
    <w:rsid w:val="00984DE0"/>
    <w:rsid w:val="0099265F"/>
    <w:rsid w:val="009946BF"/>
    <w:rsid w:val="00997A87"/>
    <w:rsid w:val="009C063C"/>
    <w:rsid w:val="009D0FDB"/>
    <w:rsid w:val="009D364A"/>
    <w:rsid w:val="009D70D5"/>
    <w:rsid w:val="009E008F"/>
    <w:rsid w:val="009E43A1"/>
    <w:rsid w:val="00A10861"/>
    <w:rsid w:val="00A14572"/>
    <w:rsid w:val="00A17069"/>
    <w:rsid w:val="00A4737C"/>
    <w:rsid w:val="00A53E60"/>
    <w:rsid w:val="00A55DCD"/>
    <w:rsid w:val="00A73FA3"/>
    <w:rsid w:val="00A77BE5"/>
    <w:rsid w:val="00AA0886"/>
    <w:rsid w:val="00AA3C2C"/>
    <w:rsid w:val="00AB0665"/>
    <w:rsid w:val="00AB3F41"/>
    <w:rsid w:val="00AB5C52"/>
    <w:rsid w:val="00AB694D"/>
    <w:rsid w:val="00AC1538"/>
    <w:rsid w:val="00AC4A5E"/>
    <w:rsid w:val="00AD3D97"/>
    <w:rsid w:val="00AF5340"/>
    <w:rsid w:val="00AF5E8A"/>
    <w:rsid w:val="00AF6735"/>
    <w:rsid w:val="00B02BF1"/>
    <w:rsid w:val="00B14F55"/>
    <w:rsid w:val="00B35B74"/>
    <w:rsid w:val="00B50AA3"/>
    <w:rsid w:val="00B51409"/>
    <w:rsid w:val="00B656B6"/>
    <w:rsid w:val="00B9115A"/>
    <w:rsid w:val="00B915A4"/>
    <w:rsid w:val="00B921BE"/>
    <w:rsid w:val="00B93276"/>
    <w:rsid w:val="00B93E99"/>
    <w:rsid w:val="00B9653D"/>
    <w:rsid w:val="00BA7115"/>
    <w:rsid w:val="00BB0CDB"/>
    <w:rsid w:val="00BD089A"/>
    <w:rsid w:val="00BD6C32"/>
    <w:rsid w:val="00BE454E"/>
    <w:rsid w:val="00BE621C"/>
    <w:rsid w:val="00BF5AC2"/>
    <w:rsid w:val="00C063CA"/>
    <w:rsid w:val="00C10673"/>
    <w:rsid w:val="00C211C8"/>
    <w:rsid w:val="00C32717"/>
    <w:rsid w:val="00C4034B"/>
    <w:rsid w:val="00C42730"/>
    <w:rsid w:val="00C50CED"/>
    <w:rsid w:val="00C53C8D"/>
    <w:rsid w:val="00C57BED"/>
    <w:rsid w:val="00C60B51"/>
    <w:rsid w:val="00C710D3"/>
    <w:rsid w:val="00C72C6F"/>
    <w:rsid w:val="00C73115"/>
    <w:rsid w:val="00C7698B"/>
    <w:rsid w:val="00C77209"/>
    <w:rsid w:val="00C93D0E"/>
    <w:rsid w:val="00CC4A68"/>
    <w:rsid w:val="00CE1BC1"/>
    <w:rsid w:val="00CE307B"/>
    <w:rsid w:val="00CE3B3C"/>
    <w:rsid w:val="00CF5F41"/>
    <w:rsid w:val="00D04FE3"/>
    <w:rsid w:val="00D0736E"/>
    <w:rsid w:val="00D21AF2"/>
    <w:rsid w:val="00D22F20"/>
    <w:rsid w:val="00D23BA7"/>
    <w:rsid w:val="00D26B12"/>
    <w:rsid w:val="00D26D88"/>
    <w:rsid w:val="00D272DE"/>
    <w:rsid w:val="00D274D8"/>
    <w:rsid w:val="00D274EA"/>
    <w:rsid w:val="00D32C30"/>
    <w:rsid w:val="00D358B1"/>
    <w:rsid w:val="00D41E53"/>
    <w:rsid w:val="00D518EC"/>
    <w:rsid w:val="00D63F3D"/>
    <w:rsid w:val="00D6706C"/>
    <w:rsid w:val="00D67164"/>
    <w:rsid w:val="00D728AC"/>
    <w:rsid w:val="00D81A5D"/>
    <w:rsid w:val="00D86913"/>
    <w:rsid w:val="00D86CF7"/>
    <w:rsid w:val="00DA3BC3"/>
    <w:rsid w:val="00DC088F"/>
    <w:rsid w:val="00DC2924"/>
    <w:rsid w:val="00DD252A"/>
    <w:rsid w:val="00DD27AD"/>
    <w:rsid w:val="00DD559C"/>
    <w:rsid w:val="00DD7F96"/>
    <w:rsid w:val="00DE3AB3"/>
    <w:rsid w:val="00DF2D4C"/>
    <w:rsid w:val="00E02645"/>
    <w:rsid w:val="00E02DC9"/>
    <w:rsid w:val="00E07F93"/>
    <w:rsid w:val="00E16C9E"/>
    <w:rsid w:val="00E35AAC"/>
    <w:rsid w:val="00E4352B"/>
    <w:rsid w:val="00E45827"/>
    <w:rsid w:val="00E51361"/>
    <w:rsid w:val="00E6027A"/>
    <w:rsid w:val="00E63B2A"/>
    <w:rsid w:val="00E64AF4"/>
    <w:rsid w:val="00E70883"/>
    <w:rsid w:val="00E83AE8"/>
    <w:rsid w:val="00E87F8A"/>
    <w:rsid w:val="00E93872"/>
    <w:rsid w:val="00E97C27"/>
    <w:rsid w:val="00EC2A03"/>
    <w:rsid w:val="00EC2D4B"/>
    <w:rsid w:val="00EC7EBF"/>
    <w:rsid w:val="00EE1228"/>
    <w:rsid w:val="00EE1E09"/>
    <w:rsid w:val="00EE7E73"/>
    <w:rsid w:val="00EF3C06"/>
    <w:rsid w:val="00EF5BF8"/>
    <w:rsid w:val="00EF5EBC"/>
    <w:rsid w:val="00F0633E"/>
    <w:rsid w:val="00F06FB0"/>
    <w:rsid w:val="00F133EE"/>
    <w:rsid w:val="00F20778"/>
    <w:rsid w:val="00F274DC"/>
    <w:rsid w:val="00F27F7A"/>
    <w:rsid w:val="00F3265F"/>
    <w:rsid w:val="00F4290F"/>
    <w:rsid w:val="00F524D1"/>
    <w:rsid w:val="00F54522"/>
    <w:rsid w:val="00F55158"/>
    <w:rsid w:val="00F619E8"/>
    <w:rsid w:val="00F71898"/>
    <w:rsid w:val="00F72E1B"/>
    <w:rsid w:val="00F730A2"/>
    <w:rsid w:val="00F745E7"/>
    <w:rsid w:val="00F775D0"/>
    <w:rsid w:val="00F81D29"/>
    <w:rsid w:val="00F8417D"/>
    <w:rsid w:val="00F90631"/>
    <w:rsid w:val="00F96D42"/>
    <w:rsid w:val="00FA641C"/>
    <w:rsid w:val="00FB6CD0"/>
    <w:rsid w:val="00FC2032"/>
    <w:rsid w:val="00FC642E"/>
    <w:rsid w:val="00FE769C"/>
    <w:rsid w:val="00FF0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ADD75"/>
  <w15:chartTrackingRefBased/>
  <w15:docId w15:val="{23DFC148-B77D-4F69-9924-0AA08E0A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37BDD"/>
  </w:style>
  <w:style w:type="paragraph" w:styleId="Heading1">
    <w:name w:val="heading 1"/>
    <w:basedOn w:val="Normal"/>
    <w:next w:val="Normal"/>
    <w:link w:val="Heading1Char"/>
    <w:uiPriority w:val="9"/>
    <w:qFormat/>
    <w:rsid w:val="00337BDD"/>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37BDD"/>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37BDD"/>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337BDD"/>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337BDD"/>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337BDD"/>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337BDD"/>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337BD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37BD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0CDB"/>
    <w:pPr>
      <w:spacing w:before="240" w:after="240"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37BDD"/>
    <w:rPr>
      <w:caps/>
      <w:color w:val="FFFFFF" w:themeColor="background1"/>
      <w:spacing w:val="15"/>
      <w:sz w:val="22"/>
      <w:szCs w:val="22"/>
      <w:shd w:val="clear" w:color="auto" w:fill="5B9BD5" w:themeFill="accent1"/>
    </w:rPr>
  </w:style>
  <w:style w:type="paragraph" w:styleId="Bibliography">
    <w:name w:val="Bibliography"/>
    <w:basedOn w:val="Normal"/>
    <w:next w:val="Normal"/>
    <w:uiPriority w:val="37"/>
    <w:unhideWhenUsed/>
    <w:rsid w:val="00BB0CDB"/>
  </w:style>
  <w:style w:type="character" w:styleId="CommentReference">
    <w:name w:val="annotation reference"/>
    <w:basedOn w:val="DefaultParagraphFont"/>
    <w:uiPriority w:val="99"/>
    <w:semiHidden/>
    <w:unhideWhenUsed/>
    <w:rsid w:val="006606FC"/>
    <w:rPr>
      <w:sz w:val="16"/>
      <w:szCs w:val="16"/>
    </w:rPr>
  </w:style>
  <w:style w:type="paragraph" w:styleId="CommentText">
    <w:name w:val="annotation text"/>
    <w:basedOn w:val="Normal"/>
    <w:link w:val="CommentTextChar"/>
    <w:uiPriority w:val="99"/>
    <w:semiHidden/>
    <w:unhideWhenUsed/>
    <w:rsid w:val="006606FC"/>
    <w:pPr>
      <w:spacing w:line="240" w:lineRule="auto"/>
    </w:pPr>
  </w:style>
  <w:style w:type="character" w:customStyle="1" w:styleId="CommentTextChar">
    <w:name w:val="Comment Text Char"/>
    <w:basedOn w:val="DefaultParagraphFont"/>
    <w:link w:val="CommentText"/>
    <w:uiPriority w:val="99"/>
    <w:semiHidden/>
    <w:rsid w:val="006606FC"/>
    <w:rPr>
      <w:sz w:val="20"/>
      <w:szCs w:val="20"/>
    </w:rPr>
  </w:style>
  <w:style w:type="paragraph" w:styleId="Header">
    <w:name w:val="header"/>
    <w:basedOn w:val="Normal"/>
    <w:link w:val="HeaderChar"/>
    <w:uiPriority w:val="99"/>
    <w:unhideWhenUsed/>
    <w:rsid w:val="00481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FA5"/>
  </w:style>
  <w:style w:type="paragraph" w:styleId="Footer">
    <w:name w:val="footer"/>
    <w:basedOn w:val="Normal"/>
    <w:link w:val="FooterChar"/>
    <w:uiPriority w:val="99"/>
    <w:unhideWhenUsed/>
    <w:rsid w:val="00481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FA5"/>
  </w:style>
  <w:style w:type="character" w:customStyle="1" w:styleId="Heading2Char">
    <w:name w:val="Heading 2 Char"/>
    <w:basedOn w:val="DefaultParagraphFont"/>
    <w:link w:val="Heading2"/>
    <w:uiPriority w:val="9"/>
    <w:semiHidden/>
    <w:rsid w:val="00337BDD"/>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337BDD"/>
    <w:rPr>
      <w:caps/>
      <w:color w:val="1F4D78" w:themeColor="accent1" w:themeShade="7F"/>
      <w:spacing w:val="15"/>
    </w:rPr>
  </w:style>
  <w:style w:type="character" w:customStyle="1" w:styleId="Heading4Char">
    <w:name w:val="Heading 4 Char"/>
    <w:basedOn w:val="DefaultParagraphFont"/>
    <w:link w:val="Heading4"/>
    <w:uiPriority w:val="9"/>
    <w:semiHidden/>
    <w:rsid w:val="00337BDD"/>
    <w:rPr>
      <w:caps/>
      <w:color w:val="2E74B5" w:themeColor="accent1" w:themeShade="BF"/>
      <w:spacing w:val="10"/>
    </w:rPr>
  </w:style>
  <w:style w:type="character" w:customStyle="1" w:styleId="Heading5Char">
    <w:name w:val="Heading 5 Char"/>
    <w:basedOn w:val="DefaultParagraphFont"/>
    <w:link w:val="Heading5"/>
    <w:uiPriority w:val="9"/>
    <w:semiHidden/>
    <w:rsid w:val="00337BDD"/>
    <w:rPr>
      <w:caps/>
      <w:color w:val="2E74B5" w:themeColor="accent1" w:themeShade="BF"/>
      <w:spacing w:val="10"/>
    </w:rPr>
  </w:style>
  <w:style w:type="character" w:customStyle="1" w:styleId="Heading6Char">
    <w:name w:val="Heading 6 Char"/>
    <w:basedOn w:val="DefaultParagraphFont"/>
    <w:link w:val="Heading6"/>
    <w:uiPriority w:val="9"/>
    <w:semiHidden/>
    <w:rsid w:val="00337BDD"/>
    <w:rPr>
      <w:caps/>
      <w:color w:val="2E74B5" w:themeColor="accent1" w:themeShade="BF"/>
      <w:spacing w:val="10"/>
    </w:rPr>
  </w:style>
  <w:style w:type="character" w:customStyle="1" w:styleId="Heading7Char">
    <w:name w:val="Heading 7 Char"/>
    <w:basedOn w:val="DefaultParagraphFont"/>
    <w:link w:val="Heading7"/>
    <w:uiPriority w:val="9"/>
    <w:semiHidden/>
    <w:rsid w:val="00337BDD"/>
    <w:rPr>
      <w:caps/>
      <w:color w:val="2E74B5" w:themeColor="accent1" w:themeShade="BF"/>
      <w:spacing w:val="10"/>
    </w:rPr>
  </w:style>
  <w:style w:type="character" w:customStyle="1" w:styleId="Heading8Char">
    <w:name w:val="Heading 8 Char"/>
    <w:basedOn w:val="DefaultParagraphFont"/>
    <w:link w:val="Heading8"/>
    <w:uiPriority w:val="9"/>
    <w:semiHidden/>
    <w:rsid w:val="00337BDD"/>
    <w:rPr>
      <w:caps/>
      <w:spacing w:val="10"/>
      <w:sz w:val="18"/>
      <w:szCs w:val="18"/>
    </w:rPr>
  </w:style>
  <w:style w:type="character" w:customStyle="1" w:styleId="Heading9Char">
    <w:name w:val="Heading 9 Char"/>
    <w:basedOn w:val="DefaultParagraphFont"/>
    <w:link w:val="Heading9"/>
    <w:uiPriority w:val="9"/>
    <w:semiHidden/>
    <w:rsid w:val="00337BDD"/>
    <w:rPr>
      <w:i/>
      <w:iCs/>
      <w:caps/>
      <w:spacing w:val="10"/>
      <w:sz w:val="18"/>
      <w:szCs w:val="18"/>
    </w:rPr>
  </w:style>
  <w:style w:type="paragraph" w:styleId="Caption">
    <w:name w:val="caption"/>
    <w:basedOn w:val="Normal"/>
    <w:next w:val="Normal"/>
    <w:uiPriority w:val="35"/>
    <w:semiHidden/>
    <w:unhideWhenUsed/>
    <w:qFormat/>
    <w:rsid w:val="00337BDD"/>
    <w:rPr>
      <w:b/>
      <w:bCs/>
      <w:color w:val="2E74B5" w:themeColor="accent1" w:themeShade="BF"/>
      <w:sz w:val="16"/>
      <w:szCs w:val="16"/>
    </w:rPr>
  </w:style>
  <w:style w:type="paragraph" w:styleId="Title">
    <w:name w:val="Title"/>
    <w:basedOn w:val="Normal"/>
    <w:next w:val="Normal"/>
    <w:link w:val="TitleChar"/>
    <w:uiPriority w:val="10"/>
    <w:qFormat/>
    <w:rsid w:val="00337BDD"/>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337BDD"/>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337BD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37BDD"/>
    <w:rPr>
      <w:caps/>
      <w:color w:val="595959" w:themeColor="text1" w:themeTint="A6"/>
      <w:spacing w:val="10"/>
      <w:sz w:val="21"/>
      <w:szCs w:val="21"/>
    </w:rPr>
  </w:style>
  <w:style w:type="character" w:styleId="Strong">
    <w:name w:val="Strong"/>
    <w:uiPriority w:val="22"/>
    <w:qFormat/>
    <w:rsid w:val="00337BDD"/>
    <w:rPr>
      <w:b/>
      <w:bCs/>
    </w:rPr>
  </w:style>
  <w:style w:type="character" w:styleId="Emphasis">
    <w:name w:val="Emphasis"/>
    <w:uiPriority w:val="20"/>
    <w:qFormat/>
    <w:rsid w:val="00337BDD"/>
    <w:rPr>
      <w:caps/>
      <w:color w:val="1F4D78" w:themeColor="accent1" w:themeShade="7F"/>
      <w:spacing w:val="5"/>
    </w:rPr>
  </w:style>
  <w:style w:type="paragraph" w:styleId="NoSpacing">
    <w:name w:val="No Spacing"/>
    <w:uiPriority w:val="1"/>
    <w:qFormat/>
    <w:rsid w:val="00337BDD"/>
    <w:pPr>
      <w:spacing w:after="0" w:line="240" w:lineRule="auto"/>
    </w:pPr>
  </w:style>
  <w:style w:type="paragraph" w:styleId="Quote">
    <w:name w:val="Quote"/>
    <w:basedOn w:val="Normal"/>
    <w:next w:val="Normal"/>
    <w:link w:val="QuoteChar"/>
    <w:uiPriority w:val="29"/>
    <w:qFormat/>
    <w:rsid w:val="00337BDD"/>
    <w:rPr>
      <w:i/>
      <w:iCs/>
      <w:sz w:val="24"/>
      <w:szCs w:val="24"/>
    </w:rPr>
  </w:style>
  <w:style w:type="character" w:customStyle="1" w:styleId="QuoteChar">
    <w:name w:val="Quote Char"/>
    <w:basedOn w:val="DefaultParagraphFont"/>
    <w:link w:val="Quote"/>
    <w:uiPriority w:val="29"/>
    <w:rsid w:val="00337BDD"/>
    <w:rPr>
      <w:i/>
      <w:iCs/>
      <w:sz w:val="24"/>
      <w:szCs w:val="24"/>
    </w:rPr>
  </w:style>
  <w:style w:type="paragraph" w:styleId="IntenseQuote">
    <w:name w:val="Intense Quote"/>
    <w:basedOn w:val="Normal"/>
    <w:next w:val="Normal"/>
    <w:link w:val="IntenseQuoteChar"/>
    <w:uiPriority w:val="30"/>
    <w:qFormat/>
    <w:rsid w:val="00337BDD"/>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337BDD"/>
    <w:rPr>
      <w:color w:val="5B9BD5" w:themeColor="accent1"/>
      <w:sz w:val="24"/>
      <w:szCs w:val="24"/>
    </w:rPr>
  </w:style>
  <w:style w:type="character" w:styleId="SubtleEmphasis">
    <w:name w:val="Subtle Emphasis"/>
    <w:uiPriority w:val="19"/>
    <w:qFormat/>
    <w:rsid w:val="00337BDD"/>
    <w:rPr>
      <w:i/>
      <w:iCs/>
      <w:color w:val="1F4D78" w:themeColor="accent1" w:themeShade="7F"/>
    </w:rPr>
  </w:style>
  <w:style w:type="character" w:styleId="IntenseEmphasis">
    <w:name w:val="Intense Emphasis"/>
    <w:uiPriority w:val="21"/>
    <w:qFormat/>
    <w:rsid w:val="00337BDD"/>
    <w:rPr>
      <w:b/>
      <w:bCs/>
      <w:caps/>
      <w:color w:val="1F4D78" w:themeColor="accent1" w:themeShade="7F"/>
      <w:spacing w:val="10"/>
    </w:rPr>
  </w:style>
  <w:style w:type="character" w:styleId="SubtleReference">
    <w:name w:val="Subtle Reference"/>
    <w:uiPriority w:val="31"/>
    <w:qFormat/>
    <w:rsid w:val="00337BDD"/>
    <w:rPr>
      <w:b/>
      <w:bCs/>
      <w:color w:val="5B9BD5" w:themeColor="accent1"/>
    </w:rPr>
  </w:style>
  <w:style w:type="character" w:styleId="IntenseReference">
    <w:name w:val="Intense Reference"/>
    <w:uiPriority w:val="32"/>
    <w:qFormat/>
    <w:rsid w:val="00337BDD"/>
    <w:rPr>
      <w:b/>
      <w:bCs/>
      <w:i/>
      <w:iCs/>
      <w:caps/>
      <w:color w:val="5B9BD5" w:themeColor="accent1"/>
    </w:rPr>
  </w:style>
  <w:style w:type="character" w:styleId="BookTitle">
    <w:name w:val="Book Title"/>
    <w:uiPriority w:val="33"/>
    <w:qFormat/>
    <w:rsid w:val="00337BDD"/>
    <w:rPr>
      <w:b/>
      <w:bCs/>
      <w:i/>
      <w:iCs/>
      <w:spacing w:val="0"/>
    </w:rPr>
  </w:style>
  <w:style w:type="paragraph" w:styleId="TOCHeading">
    <w:name w:val="TOC Heading"/>
    <w:basedOn w:val="Heading1"/>
    <w:next w:val="Normal"/>
    <w:uiPriority w:val="39"/>
    <w:semiHidden/>
    <w:unhideWhenUsed/>
    <w:qFormat/>
    <w:rsid w:val="00337BDD"/>
    <w:pPr>
      <w:outlineLvl w:val="9"/>
    </w:pPr>
  </w:style>
  <w:style w:type="table" w:styleId="TableGrid">
    <w:name w:val="Table Grid"/>
    <w:basedOn w:val="TableNormal"/>
    <w:uiPriority w:val="39"/>
    <w:rsid w:val="00EE7E7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642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96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065">
      <w:bodyDiv w:val="1"/>
      <w:marLeft w:val="0"/>
      <w:marRight w:val="0"/>
      <w:marTop w:val="0"/>
      <w:marBottom w:val="0"/>
      <w:divBdr>
        <w:top w:val="none" w:sz="0" w:space="0" w:color="auto"/>
        <w:left w:val="none" w:sz="0" w:space="0" w:color="auto"/>
        <w:bottom w:val="none" w:sz="0" w:space="0" w:color="auto"/>
        <w:right w:val="none" w:sz="0" w:space="0" w:color="auto"/>
      </w:divBdr>
    </w:div>
    <w:div w:id="9189493">
      <w:bodyDiv w:val="1"/>
      <w:marLeft w:val="0"/>
      <w:marRight w:val="0"/>
      <w:marTop w:val="0"/>
      <w:marBottom w:val="0"/>
      <w:divBdr>
        <w:top w:val="none" w:sz="0" w:space="0" w:color="auto"/>
        <w:left w:val="none" w:sz="0" w:space="0" w:color="auto"/>
        <w:bottom w:val="none" w:sz="0" w:space="0" w:color="auto"/>
        <w:right w:val="none" w:sz="0" w:space="0" w:color="auto"/>
      </w:divBdr>
    </w:div>
    <w:div w:id="14969324">
      <w:bodyDiv w:val="1"/>
      <w:marLeft w:val="0"/>
      <w:marRight w:val="0"/>
      <w:marTop w:val="0"/>
      <w:marBottom w:val="0"/>
      <w:divBdr>
        <w:top w:val="none" w:sz="0" w:space="0" w:color="auto"/>
        <w:left w:val="none" w:sz="0" w:space="0" w:color="auto"/>
        <w:bottom w:val="none" w:sz="0" w:space="0" w:color="auto"/>
        <w:right w:val="none" w:sz="0" w:space="0" w:color="auto"/>
      </w:divBdr>
    </w:div>
    <w:div w:id="51658791">
      <w:bodyDiv w:val="1"/>
      <w:marLeft w:val="0"/>
      <w:marRight w:val="0"/>
      <w:marTop w:val="0"/>
      <w:marBottom w:val="0"/>
      <w:divBdr>
        <w:top w:val="none" w:sz="0" w:space="0" w:color="auto"/>
        <w:left w:val="none" w:sz="0" w:space="0" w:color="auto"/>
        <w:bottom w:val="none" w:sz="0" w:space="0" w:color="auto"/>
        <w:right w:val="none" w:sz="0" w:space="0" w:color="auto"/>
      </w:divBdr>
    </w:div>
    <w:div w:id="71245431">
      <w:bodyDiv w:val="1"/>
      <w:marLeft w:val="0"/>
      <w:marRight w:val="0"/>
      <w:marTop w:val="0"/>
      <w:marBottom w:val="0"/>
      <w:divBdr>
        <w:top w:val="none" w:sz="0" w:space="0" w:color="auto"/>
        <w:left w:val="none" w:sz="0" w:space="0" w:color="auto"/>
        <w:bottom w:val="none" w:sz="0" w:space="0" w:color="auto"/>
        <w:right w:val="none" w:sz="0" w:space="0" w:color="auto"/>
      </w:divBdr>
    </w:div>
    <w:div w:id="88939999">
      <w:bodyDiv w:val="1"/>
      <w:marLeft w:val="0"/>
      <w:marRight w:val="0"/>
      <w:marTop w:val="0"/>
      <w:marBottom w:val="0"/>
      <w:divBdr>
        <w:top w:val="none" w:sz="0" w:space="0" w:color="auto"/>
        <w:left w:val="none" w:sz="0" w:space="0" w:color="auto"/>
        <w:bottom w:val="none" w:sz="0" w:space="0" w:color="auto"/>
        <w:right w:val="none" w:sz="0" w:space="0" w:color="auto"/>
      </w:divBdr>
    </w:div>
    <w:div w:id="110713155">
      <w:bodyDiv w:val="1"/>
      <w:marLeft w:val="0"/>
      <w:marRight w:val="0"/>
      <w:marTop w:val="0"/>
      <w:marBottom w:val="0"/>
      <w:divBdr>
        <w:top w:val="none" w:sz="0" w:space="0" w:color="auto"/>
        <w:left w:val="none" w:sz="0" w:space="0" w:color="auto"/>
        <w:bottom w:val="none" w:sz="0" w:space="0" w:color="auto"/>
        <w:right w:val="none" w:sz="0" w:space="0" w:color="auto"/>
      </w:divBdr>
    </w:div>
    <w:div w:id="117142804">
      <w:bodyDiv w:val="1"/>
      <w:marLeft w:val="0"/>
      <w:marRight w:val="0"/>
      <w:marTop w:val="0"/>
      <w:marBottom w:val="0"/>
      <w:divBdr>
        <w:top w:val="none" w:sz="0" w:space="0" w:color="auto"/>
        <w:left w:val="none" w:sz="0" w:space="0" w:color="auto"/>
        <w:bottom w:val="none" w:sz="0" w:space="0" w:color="auto"/>
        <w:right w:val="none" w:sz="0" w:space="0" w:color="auto"/>
      </w:divBdr>
    </w:div>
    <w:div w:id="142241449">
      <w:bodyDiv w:val="1"/>
      <w:marLeft w:val="0"/>
      <w:marRight w:val="0"/>
      <w:marTop w:val="0"/>
      <w:marBottom w:val="0"/>
      <w:divBdr>
        <w:top w:val="none" w:sz="0" w:space="0" w:color="auto"/>
        <w:left w:val="none" w:sz="0" w:space="0" w:color="auto"/>
        <w:bottom w:val="none" w:sz="0" w:space="0" w:color="auto"/>
        <w:right w:val="none" w:sz="0" w:space="0" w:color="auto"/>
      </w:divBdr>
    </w:div>
    <w:div w:id="155457584">
      <w:bodyDiv w:val="1"/>
      <w:marLeft w:val="0"/>
      <w:marRight w:val="0"/>
      <w:marTop w:val="0"/>
      <w:marBottom w:val="0"/>
      <w:divBdr>
        <w:top w:val="none" w:sz="0" w:space="0" w:color="auto"/>
        <w:left w:val="none" w:sz="0" w:space="0" w:color="auto"/>
        <w:bottom w:val="none" w:sz="0" w:space="0" w:color="auto"/>
        <w:right w:val="none" w:sz="0" w:space="0" w:color="auto"/>
      </w:divBdr>
    </w:div>
    <w:div w:id="196085299">
      <w:bodyDiv w:val="1"/>
      <w:marLeft w:val="0"/>
      <w:marRight w:val="0"/>
      <w:marTop w:val="0"/>
      <w:marBottom w:val="0"/>
      <w:divBdr>
        <w:top w:val="none" w:sz="0" w:space="0" w:color="auto"/>
        <w:left w:val="none" w:sz="0" w:space="0" w:color="auto"/>
        <w:bottom w:val="none" w:sz="0" w:space="0" w:color="auto"/>
        <w:right w:val="none" w:sz="0" w:space="0" w:color="auto"/>
      </w:divBdr>
    </w:div>
    <w:div w:id="209465548">
      <w:bodyDiv w:val="1"/>
      <w:marLeft w:val="0"/>
      <w:marRight w:val="0"/>
      <w:marTop w:val="0"/>
      <w:marBottom w:val="0"/>
      <w:divBdr>
        <w:top w:val="none" w:sz="0" w:space="0" w:color="auto"/>
        <w:left w:val="none" w:sz="0" w:space="0" w:color="auto"/>
        <w:bottom w:val="none" w:sz="0" w:space="0" w:color="auto"/>
        <w:right w:val="none" w:sz="0" w:space="0" w:color="auto"/>
      </w:divBdr>
    </w:div>
    <w:div w:id="223223361">
      <w:bodyDiv w:val="1"/>
      <w:marLeft w:val="0"/>
      <w:marRight w:val="0"/>
      <w:marTop w:val="0"/>
      <w:marBottom w:val="0"/>
      <w:divBdr>
        <w:top w:val="none" w:sz="0" w:space="0" w:color="auto"/>
        <w:left w:val="none" w:sz="0" w:space="0" w:color="auto"/>
        <w:bottom w:val="none" w:sz="0" w:space="0" w:color="auto"/>
        <w:right w:val="none" w:sz="0" w:space="0" w:color="auto"/>
      </w:divBdr>
    </w:div>
    <w:div w:id="254172836">
      <w:bodyDiv w:val="1"/>
      <w:marLeft w:val="0"/>
      <w:marRight w:val="0"/>
      <w:marTop w:val="0"/>
      <w:marBottom w:val="0"/>
      <w:divBdr>
        <w:top w:val="none" w:sz="0" w:space="0" w:color="auto"/>
        <w:left w:val="none" w:sz="0" w:space="0" w:color="auto"/>
        <w:bottom w:val="none" w:sz="0" w:space="0" w:color="auto"/>
        <w:right w:val="none" w:sz="0" w:space="0" w:color="auto"/>
      </w:divBdr>
    </w:div>
    <w:div w:id="265698803">
      <w:bodyDiv w:val="1"/>
      <w:marLeft w:val="0"/>
      <w:marRight w:val="0"/>
      <w:marTop w:val="0"/>
      <w:marBottom w:val="0"/>
      <w:divBdr>
        <w:top w:val="none" w:sz="0" w:space="0" w:color="auto"/>
        <w:left w:val="none" w:sz="0" w:space="0" w:color="auto"/>
        <w:bottom w:val="none" w:sz="0" w:space="0" w:color="auto"/>
        <w:right w:val="none" w:sz="0" w:space="0" w:color="auto"/>
      </w:divBdr>
    </w:div>
    <w:div w:id="280961900">
      <w:bodyDiv w:val="1"/>
      <w:marLeft w:val="0"/>
      <w:marRight w:val="0"/>
      <w:marTop w:val="0"/>
      <w:marBottom w:val="0"/>
      <w:divBdr>
        <w:top w:val="none" w:sz="0" w:space="0" w:color="auto"/>
        <w:left w:val="none" w:sz="0" w:space="0" w:color="auto"/>
        <w:bottom w:val="none" w:sz="0" w:space="0" w:color="auto"/>
        <w:right w:val="none" w:sz="0" w:space="0" w:color="auto"/>
      </w:divBdr>
    </w:div>
    <w:div w:id="328560570">
      <w:bodyDiv w:val="1"/>
      <w:marLeft w:val="0"/>
      <w:marRight w:val="0"/>
      <w:marTop w:val="0"/>
      <w:marBottom w:val="0"/>
      <w:divBdr>
        <w:top w:val="none" w:sz="0" w:space="0" w:color="auto"/>
        <w:left w:val="none" w:sz="0" w:space="0" w:color="auto"/>
        <w:bottom w:val="none" w:sz="0" w:space="0" w:color="auto"/>
        <w:right w:val="none" w:sz="0" w:space="0" w:color="auto"/>
      </w:divBdr>
    </w:div>
    <w:div w:id="331221976">
      <w:bodyDiv w:val="1"/>
      <w:marLeft w:val="0"/>
      <w:marRight w:val="0"/>
      <w:marTop w:val="0"/>
      <w:marBottom w:val="0"/>
      <w:divBdr>
        <w:top w:val="none" w:sz="0" w:space="0" w:color="auto"/>
        <w:left w:val="none" w:sz="0" w:space="0" w:color="auto"/>
        <w:bottom w:val="none" w:sz="0" w:space="0" w:color="auto"/>
        <w:right w:val="none" w:sz="0" w:space="0" w:color="auto"/>
      </w:divBdr>
    </w:div>
    <w:div w:id="334773086">
      <w:bodyDiv w:val="1"/>
      <w:marLeft w:val="0"/>
      <w:marRight w:val="0"/>
      <w:marTop w:val="0"/>
      <w:marBottom w:val="0"/>
      <w:divBdr>
        <w:top w:val="none" w:sz="0" w:space="0" w:color="auto"/>
        <w:left w:val="none" w:sz="0" w:space="0" w:color="auto"/>
        <w:bottom w:val="none" w:sz="0" w:space="0" w:color="auto"/>
        <w:right w:val="none" w:sz="0" w:space="0" w:color="auto"/>
      </w:divBdr>
    </w:div>
    <w:div w:id="342053979">
      <w:bodyDiv w:val="1"/>
      <w:marLeft w:val="0"/>
      <w:marRight w:val="0"/>
      <w:marTop w:val="0"/>
      <w:marBottom w:val="0"/>
      <w:divBdr>
        <w:top w:val="none" w:sz="0" w:space="0" w:color="auto"/>
        <w:left w:val="none" w:sz="0" w:space="0" w:color="auto"/>
        <w:bottom w:val="none" w:sz="0" w:space="0" w:color="auto"/>
        <w:right w:val="none" w:sz="0" w:space="0" w:color="auto"/>
      </w:divBdr>
    </w:div>
    <w:div w:id="344138619">
      <w:bodyDiv w:val="1"/>
      <w:marLeft w:val="0"/>
      <w:marRight w:val="0"/>
      <w:marTop w:val="0"/>
      <w:marBottom w:val="0"/>
      <w:divBdr>
        <w:top w:val="none" w:sz="0" w:space="0" w:color="auto"/>
        <w:left w:val="none" w:sz="0" w:space="0" w:color="auto"/>
        <w:bottom w:val="none" w:sz="0" w:space="0" w:color="auto"/>
        <w:right w:val="none" w:sz="0" w:space="0" w:color="auto"/>
      </w:divBdr>
    </w:div>
    <w:div w:id="351348920">
      <w:bodyDiv w:val="1"/>
      <w:marLeft w:val="0"/>
      <w:marRight w:val="0"/>
      <w:marTop w:val="0"/>
      <w:marBottom w:val="0"/>
      <w:divBdr>
        <w:top w:val="none" w:sz="0" w:space="0" w:color="auto"/>
        <w:left w:val="none" w:sz="0" w:space="0" w:color="auto"/>
        <w:bottom w:val="none" w:sz="0" w:space="0" w:color="auto"/>
        <w:right w:val="none" w:sz="0" w:space="0" w:color="auto"/>
      </w:divBdr>
    </w:div>
    <w:div w:id="373042537">
      <w:bodyDiv w:val="1"/>
      <w:marLeft w:val="0"/>
      <w:marRight w:val="0"/>
      <w:marTop w:val="0"/>
      <w:marBottom w:val="0"/>
      <w:divBdr>
        <w:top w:val="none" w:sz="0" w:space="0" w:color="auto"/>
        <w:left w:val="none" w:sz="0" w:space="0" w:color="auto"/>
        <w:bottom w:val="none" w:sz="0" w:space="0" w:color="auto"/>
        <w:right w:val="none" w:sz="0" w:space="0" w:color="auto"/>
      </w:divBdr>
    </w:div>
    <w:div w:id="376007302">
      <w:bodyDiv w:val="1"/>
      <w:marLeft w:val="0"/>
      <w:marRight w:val="0"/>
      <w:marTop w:val="0"/>
      <w:marBottom w:val="0"/>
      <w:divBdr>
        <w:top w:val="none" w:sz="0" w:space="0" w:color="auto"/>
        <w:left w:val="none" w:sz="0" w:space="0" w:color="auto"/>
        <w:bottom w:val="none" w:sz="0" w:space="0" w:color="auto"/>
        <w:right w:val="none" w:sz="0" w:space="0" w:color="auto"/>
      </w:divBdr>
    </w:div>
    <w:div w:id="381902619">
      <w:bodyDiv w:val="1"/>
      <w:marLeft w:val="0"/>
      <w:marRight w:val="0"/>
      <w:marTop w:val="0"/>
      <w:marBottom w:val="0"/>
      <w:divBdr>
        <w:top w:val="none" w:sz="0" w:space="0" w:color="auto"/>
        <w:left w:val="none" w:sz="0" w:space="0" w:color="auto"/>
        <w:bottom w:val="none" w:sz="0" w:space="0" w:color="auto"/>
        <w:right w:val="none" w:sz="0" w:space="0" w:color="auto"/>
      </w:divBdr>
    </w:div>
    <w:div w:id="384987482">
      <w:bodyDiv w:val="1"/>
      <w:marLeft w:val="0"/>
      <w:marRight w:val="0"/>
      <w:marTop w:val="0"/>
      <w:marBottom w:val="0"/>
      <w:divBdr>
        <w:top w:val="none" w:sz="0" w:space="0" w:color="auto"/>
        <w:left w:val="none" w:sz="0" w:space="0" w:color="auto"/>
        <w:bottom w:val="none" w:sz="0" w:space="0" w:color="auto"/>
        <w:right w:val="none" w:sz="0" w:space="0" w:color="auto"/>
      </w:divBdr>
    </w:div>
    <w:div w:id="506015867">
      <w:bodyDiv w:val="1"/>
      <w:marLeft w:val="0"/>
      <w:marRight w:val="0"/>
      <w:marTop w:val="0"/>
      <w:marBottom w:val="0"/>
      <w:divBdr>
        <w:top w:val="none" w:sz="0" w:space="0" w:color="auto"/>
        <w:left w:val="none" w:sz="0" w:space="0" w:color="auto"/>
        <w:bottom w:val="none" w:sz="0" w:space="0" w:color="auto"/>
        <w:right w:val="none" w:sz="0" w:space="0" w:color="auto"/>
      </w:divBdr>
    </w:div>
    <w:div w:id="518930391">
      <w:bodyDiv w:val="1"/>
      <w:marLeft w:val="0"/>
      <w:marRight w:val="0"/>
      <w:marTop w:val="0"/>
      <w:marBottom w:val="0"/>
      <w:divBdr>
        <w:top w:val="none" w:sz="0" w:space="0" w:color="auto"/>
        <w:left w:val="none" w:sz="0" w:space="0" w:color="auto"/>
        <w:bottom w:val="none" w:sz="0" w:space="0" w:color="auto"/>
        <w:right w:val="none" w:sz="0" w:space="0" w:color="auto"/>
      </w:divBdr>
    </w:div>
    <w:div w:id="527526880">
      <w:bodyDiv w:val="1"/>
      <w:marLeft w:val="0"/>
      <w:marRight w:val="0"/>
      <w:marTop w:val="0"/>
      <w:marBottom w:val="0"/>
      <w:divBdr>
        <w:top w:val="none" w:sz="0" w:space="0" w:color="auto"/>
        <w:left w:val="none" w:sz="0" w:space="0" w:color="auto"/>
        <w:bottom w:val="none" w:sz="0" w:space="0" w:color="auto"/>
        <w:right w:val="none" w:sz="0" w:space="0" w:color="auto"/>
      </w:divBdr>
    </w:div>
    <w:div w:id="532965518">
      <w:bodyDiv w:val="1"/>
      <w:marLeft w:val="0"/>
      <w:marRight w:val="0"/>
      <w:marTop w:val="0"/>
      <w:marBottom w:val="0"/>
      <w:divBdr>
        <w:top w:val="none" w:sz="0" w:space="0" w:color="auto"/>
        <w:left w:val="none" w:sz="0" w:space="0" w:color="auto"/>
        <w:bottom w:val="none" w:sz="0" w:space="0" w:color="auto"/>
        <w:right w:val="none" w:sz="0" w:space="0" w:color="auto"/>
      </w:divBdr>
    </w:div>
    <w:div w:id="533469607">
      <w:bodyDiv w:val="1"/>
      <w:marLeft w:val="0"/>
      <w:marRight w:val="0"/>
      <w:marTop w:val="0"/>
      <w:marBottom w:val="0"/>
      <w:divBdr>
        <w:top w:val="none" w:sz="0" w:space="0" w:color="auto"/>
        <w:left w:val="none" w:sz="0" w:space="0" w:color="auto"/>
        <w:bottom w:val="none" w:sz="0" w:space="0" w:color="auto"/>
        <w:right w:val="none" w:sz="0" w:space="0" w:color="auto"/>
      </w:divBdr>
    </w:div>
    <w:div w:id="548886155">
      <w:bodyDiv w:val="1"/>
      <w:marLeft w:val="0"/>
      <w:marRight w:val="0"/>
      <w:marTop w:val="0"/>
      <w:marBottom w:val="0"/>
      <w:divBdr>
        <w:top w:val="none" w:sz="0" w:space="0" w:color="auto"/>
        <w:left w:val="none" w:sz="0" w:space="0" w:color="auto"/>
        <w:bottom w:val="none" w:sz="0" w:space="0" w:color="auto"/>
        <w:right w:val="none" w:sz="0" w:space="0" w:color="auto"/>
      </w:divBdr>
    </w:div>
    <w:div w:id="573979565">
      <w:bodyDiv w:val="1"/>
      <w:marLeft w:val="0"/>
      <w:marRight w:val="0"/>
      <w:marTop w:val="0"/>
      <w:marBottom w:val="0"/>
      <w:divBdr>
        <w:top w:val="none" w:sz="0" w:space="0" w:color="auto"/>
        <w:left w:val="none" w:sz="0" w:space="0" w:color="auto"/>
        <w:bottom w:val="none" w:sz="0" w:space="0" w:color="auto"/>
        <w:right w:val="none" w:sz="0" w:space="0" w:color="auto"/>
      </w:divBdr>
    </w:div>
    <w:div w:id="607857139">
      <w:bodyDiv w:val="1"/>
      <w:marLeft w:val="0"/>
      <w:marRight w:val="0"/>
      <w:marTop w:val="0"/>
      <w:marBottom w:val="0"/>
      <w:divBdr>
        <w:top w:val="none" w:sz="0" w:space="0" w:color="auto"/>
        <w:left w:val="none" w:sz="0" w:space="0" w:color="auto"/>
        <w:bottom w:val="none" w:sz="0" w:space="0" w:color="auto"/>
        <w:right w:val="none" w:sz="0" w:space="0" w:color="auto"/>
      </w:divBdr>
    </w:div>
    <w:div w:id="612442768">
      <w:bodyDiv w:val="1"/>
      <w:marLeft w:val="0"/>
      <w:marRight w:val="0"/>
      <w:marTop w:val="0"/>
      <w:marBottom w:val="0"/>
      <w:divBdr>
        <w:top w:val="none" w:sz="0" w:space="0" w:color="auto"/>
        <w:left w:val="none" w:sz="0" w:space="0" w:color="auto"/>
        <w:bottom w:val="none" w:sz="0" w:space="0" w:color="auto"/>
        <w:right w:val="none" w:sz="0" w:space="0" w:color="auto"/>
      </w:divBdr>
    </w:div>
    <w:div w:id="628367064">
      <w:bodyDiv w:val="1"/>
      <w:marLeft w:val="0"/>
      <w:marRight w:val="0"/>
      <w:marTop w:val="0"/>
      <w:marBottom w:val="0"/>
      <w:divBdr>
        <w:top w:val="none" w:sz="0" w:space="0" w:color="auto"/>
        <w:left w:val="none" w:sz="0" w:space="0" w:color="auto"/>
        <w:bottom w:val="none" w:sz="0" w:space="0" w:color="auto"/>
        <w:right w:val="none" w:sz="0" w:space="0" w:color="auto"/>
      </w:divBdr>
    </w:div>
    <w:div w:id="638924872">
      <w:bodyDiv w:val="1"/>
      <w:marLeft w:val="0"/>
      <w:marRight w:val="0"/>
      <w:marTop w:val="0"/>
      <w:marBottom w:val="0"/>
      <w:divBdr>
        <w:top w:val="none" w:sz="0" w:space="0" w:color="auto"/>
        <w:left w:val="none" w:sz="0" w:space="0" w:color="auto"/>
        <w:bottom w:val="none" w:sz="0" w:space="0" w:color="auto"/>
        <w:right w:val="none" w:sz="0" w:space="0" w:color="auto"/>
      </w:divBdr>
    </w:div>
    <w:div w:id="650671593">
      <w:bodyDiv w:val="1"/>
      <w:marLeft w:val="0"/>
      <w:marRight w:val="0"/>
      <w:marTop w:val="0"/>
      <w:marBottom w:val="0"/>
      <w:divBdr>
        <w:top w:val="none" w:sz="0" w:space="0" w:color="auto"/>
        <w:left w:val="none" w:sz="0" w:space="0" w:color="auto"/>
        <w:bottom w:val="none" w:sz="0" w:space="0" w:color="auto"/>
        <w:right w:val="none" w:sz="0" w:space="0" w:color="auto"/>
      </w:divBdr>
    </w:div>
    <w:div w:id="662658554">
      <w:bodyDiv w:val="1"/>
      <w:marLeft w:val="0"/>
      <w:marRight w:val="0"/>
      <w:marTop w:val="0"/>
      <w:marBottom w:val="0"/>
      <w:divBdr>
        <w:top w:val="none" w:sz="0" w:space="0" w:color="auto"/>
        <w:left w:val="none" w:sz="0" w:space="0" w:color="auto"/>
        <w:bottom w:val="none" w:sz="0" w:space="0" w:color="auto"/>
        <w:right w:val="none" w:sz="0" w:space="0" w:color="auto"/>
      </w:divBdr>
    </w:div>
    <w:div w:id="692615047">
      <w:bodyDiv w:val="1"/>
      <w:marLeft w:val="0"/>
      <w:marRight w:val="0"/>
      <w:marTop w:val="0"/>
      <w:marBottom w:val="0"/>
      <w:divBdr>
        <w:top w:val="none" w:sz="0" w:space="0" w:color="auto"/>
        <w:left w:val="none" w:sz="0" w:space="0" w:color="auto"/>
        <w:bottom w:val="none" w:sz="0" w:space="0" w:color="auto"/>
        <w:right w:val="none" w:sz="0" w:space="0" w:color="auto"/>
      </w:divBdr>
    </w:div>
    <w:div w:id="692802176">
      <w:bodyDiv w:val="1"/>
      <w:marLeft w:val="0"/>
      <w:marRight w:val="0"/>
      <w:marTop w:val="0"/>
      <w:marBottom w:val="0"/>
      <w:divBdr>
        <w:top w:val="none" w:sz="0" w:space="0" w:color="auto"/>
        <w:left w:val="none" w:sz="0" w:space="0" w:color="auto"/>
        <w:bottom w:val="none" w:sz="0" w:space="0" w:color="auto"/>
        <w:right w:val="none" w:sz="0" w:space="0" w:color="auto"/>
      </w:divBdr>
    </w:div>
    <w:div w:id="763188429">
      <w:bodyDiv w:val="1"/>
      <w:marLeft w:val="0"/>
      <w:marRight w:val="0"/>
      <w:marTop w:val="0"/>
      <w:marBottom w:val="0"/>
      <w:divBdr>
        <w:top w:val="none" w:sz="0" w:space="0" w:color="auto"/>
        <w:left w:val="none" w:sz="0" w:space="0" w:color="auto"/>
        <w:bottom w:val="none" w:sz="0" w:space="0" w:color="auto"/>
        <w:right w:val="none" w:sz="0" w:space="0" w:color="auto"/>
      </w:divBdr>
    </w:div>
    <w:div w:id="785083180">
      <w:bodyDiv w:val="1"/>
      <w:marLeft w:val="0"/>
      <w:marRight w:val="0"/>
      <w:marTop w:val="0"/>
      <w:marBottom w:val="0"/>
      <w:divBdr>
        <w:top w:val="none" w:sz="0" w:space="0" w:color="auto"/>
        <w:left w:val="none" w:sz="0" w:space="0" w:color="auto"/>
        <w:bottom w:val="none" w:sz="0" w:space="0" w:color="auto"/>
        <w:right w:val="none" w:sz="0" w:space="0" w:color="auto"/>
      </w:divBdr>
    </w:div>
    <w:div w:id="791287967">
      <w:bodyDiv w:val="1"/>
      <w:marLeft w:val="0"/>
      <w:marRight w:val="0"/>
      <w:marTop w:val="0"/>
      <w:marBottom w:val="0"/>
      <w:divBdr>
        <w:top w:val="none" w:sz="0" w:space="0" w:color="auto"/>
        <w:left w:val="none" w:sz="0" w:space="0" w:color="auto"/>
        <w:bottom w:val="none" w:sz="0" w:space="0" w:color="auto"/>
        <w:right w:val="none" w:sz="0" w:space="0" w:color="auto"/>
      </w:divBdr>
    </w:div>
    <w:div w:id="797605274">
      <w:bodyDiv w:val="1"/>
      <w:marLeft w:val="0"/>
      <w:marRight w:val="0"/>
      <w:marTop w:val="0"/>
      <w:marBottom w:val="0"/>
      <w:divBdr>
        <w:top w:val="none" w:sz="0" w:space="0" w:color="auto"/>
        <w:left w:val="none" w:sz="0" w:space="0" w:color="auto"/>
        <w:bottom w:val="none" w:sz="0" w:space="0" w:color="auto"/>
        <w:right w:val="none" w:sz="0" w:space="0" w:color="auto"/>
      </w:divBdr>
    </w:div>
    <w:div w:id="802621585">
      <w:bodyDiv w:val="1"/>
      <w:marLeft w:val="0"/>
      <w:marRight w:val="0"/>
      <w:marTop w:val="0"/>
      <w:marBottom w:val="0"/>
      <w:divBdr>
        <w:top w:val="none" w:sz="0" w:space="0" w:color="auto"/>
        <w:left w:val="none" w:sz="0" w:space="0" w:color="auto"/>
        <w:bottom w:val="none" w:sz="0" w:space="0" w:color="auto"/>
        <w:right w:val="none" w:sz="0" w:space="0" w:color="auto"/>
      </w:divBdr>
    </w:div>
    <w:div w:id="803422801">
      <w:bodyDiv w:val="1"/>
      <w:marLeft w:val="0"/>
      <w:marRight w:val="0"/>
      <w:marTop w:val="0"/>
      <w:marBottom w:val="0"/>
      <w:divBdr>
        <w:top w:val="none" w:sz="0" w:space="0" w:color="auto"/>
        <w:left w:val="none" w:sz="0" w:space="0" w:color="auto"/>
        <w:bottom w:val="none" w:sz="0" w:space="0" w:color="auto"/>
        <w:right w:val="none" w:sz="0" w:space="0" w:color="auto"/>
      </w:divBdr>
    </w:div>
    <w:div w:id="807867850">
      <w:bodyDiv w:val="1"/>
      <w:marLeft w:val="0"/>
      <w:marRight w:val="0"/>
      <w:marTop w:val="0"/>
      <w:marBottom w:val="0"/>
      <w:divBdr>
        <w:top w:val="none" w:sz="0" w:space="0" w:color="auto"/>
        <w:left w:val="none" w:sz="0" w:space="0" w:color="auto"/>
        <w:bottom w:val="none" w:sz="0" w:space="0" w:color="auto"/>
        <w:right w:val="none" w:sz="0" w:space="0" w:color="auto"/>
      </w:divBdr>
    </w:div>
    <w:div w:id="808400335">
      <w:bodyDiv w:val="1"/>
      <w:marLeft w:val="0"/>
      <w:marRight w:val="0"/>
      <w:marTop w:val="0"/>
      <w:marBottom w:val="0"/>
      <w:divBdr>
        <w:top w:val="none" w:sz="0" w:space="0" w:color="auto"/>
        <w:left w:val="none" w:sz="0" w:space="0" w:color="auto"/>
        <w:bottom w:val="none" w:sz="0" w:space="0" w:color="auto"/>
        <w:right w:val="none" w:sz="0" w:space="0" w:color="auto"/>
      </w:divBdr>
    </w:div>
    <w:div w:id="808715086">
      <w:bodyDiv w:val="1"/>
      <w:marLeft w:val="0"/>
      <w:marRight w:val="0"/>
      <w:marTop w:val="0"/>
      <w:marBottom w:val="0"/>
      <w:divBdr>
        <w:top w:val="none" w:sz="0" w:space="0" w:color="auto"/>
        <w:left w:val="none" w:sz="0" w:space="0" w:color="auto"/>
        <w:bottom w:val="none" w:sz="0" w:space="0" w:color="auto"/>
        <w:right w:val="none" w:sz="0" w:space="0" w:color="auto"/>
      </w:divBdr>
    </w:div>
    <w:div w:id="824709757">
      <w:bodyDiv w:val="1"/>
      <w:marLeft w:val="0"/>
      <w:marRight w:val="0"/>
      <w:marTop w:val="0"/>
      <w:marBottom w:val="0"/>
      <w:divBdr>
        <w:top w:val="none" w:sz="0" w:space="0" w:color="auto"/>
        <w:left w:val="none" w:sz="0" w:space="0" w:color="auto"/>
        <w:bottom w:val="none" w:sz="0" w:space="0" w:color="auto"/>
        <w:right w:val="none" w:sz="0" w:space="0" w:color="auto"/>
      </w:divBdr>
    </w:div>
    <w:div w:id="827982678">
      <w:bodyDiv w:val="1"/>
      <w:marLeft w:val="0"/>
      <w:marRight w:val="0"/>
      <w:marTop w:val="0"/>
      <w:marBottom w:val="0"/>
      <w:divBdr>
        <w:top w:val="none" w:sz="0" w:space="0" w:color="auto"/>
        <w:left w:val="none" w:sz="0" w:space="0" w:color="auto"/>
        <w:bottom w:val="none" w:sz="0" w:space="0" w:color="auto"/>
        <w:right w:val="none" w:sz="0" w:space="0" w:color="auto"/>
      </w:divBdr>
    </w:div>
    <w:div w:id="845945227">
      <w:bodyDiv w:val="1"/>
      <w:marLeft w:val="0"/>
      <w:marRight w:val="0"/>
      <w:marTop w:val="0"/>
      <w:marBottom w:val="0"/>
      <w:divBdr>
        <w:top w:val="none" w:sz="0" w:space="0" w:color="auto"/>
        <w:left w:val="none" w:sz="0" w:space="0" w:color="auto"/>
        <w:bottom w:val="none" w:sz="0" w:space="0" w:color="auto"/>
        <w:right w:val="none" w:sz="0" w:space="0" w:color="auto"/>
      </w:divBdr>
    </w:div>
    <w:div w:id="851450683">
      <w:bodyDiv w:val="1"/>
      <w:marLeft w:val="0"/>
      <w:marRight w:val="0"/>
      <w:marTop w:val="0"/>
      <w:marBottom w:val="0"/>
      <w:divBdr>
        <w:top w:val="none" w:sz="0" w:space="0" w:color="auto"/>
        <w:left w:val="none" w:sz="0" w:space="0" w:color="auto"/>
        <w:bottom w:val="none" w:sz="0" w:space="0" w:color="auto"/>
        <w:right w:val="none" w:sz="0" w:space="0" w:color="auto"/>
      </w:divBdr>
    </w:div>
    <w:div w:id="869269925">
      <w:bodyDiv w:val="1"/>
      <w:marLeft w:val="0"/>
      <w:marRight w:val="0"/>
      <w:marTop w:val="0"/>
      <w:marBottom w:val="0"/>
      <w:divBdr>
        <w:top w:val="none" w:sz="0" w:space="0" w:color="auto"/>
        <w:left w:val="none" w:sz="0" w:space="0" w:color="auto"/>
        <w:bottom w:val="none" w:sz="0" w:space="0" w:color="auto"/>
        <w:right w:val="none" w:sz="0" w:space="0" w:color="auto"/>
      </w:divBdr>
    </w:div>
    <w:div w:id="870194263">
      <w:bodyDiv w:val="1"/>
      <w:marLeft w:val="0"/>
      <w:marRight w:val="0"/>
      <w:marTop w:val="0"/>
      <w:marBottom w:val="0"/>
      <w:divBdr>
        <w:top w:val="none" w:sz="0" w:space="0" w:color="auto"/>
        <w:left w:val="none" w:sz="0" w:space="0" w:color="auto"/>
        <w:bottom w:val="none" w:sz="0" w:space="0" w:color="auto"/>
        <w:right w:val="none" w:sz="0" w:space="0" w:color="auto"/>
      </w:divBdr>
    </w:div>
    <w:div w:id="879052417">
      <w:bodyDiv w:val="1"/>
      <w:marLeft w:val="0"/>
      <w:marRight w:val="0"/>
      <w:marTop w:val="0"/>
      <w:marBottom w:val="0"/>
      <w:divBdr>
        <w:top w:val="none" w:sz="0" w:space="0" w:color="auto"/>
        <w:left w:val="none" w:sz="0" w:space="0" w:color="auto"/>
        <w:bottom w:val="none" w:sz="0" w:space="0" w:color="auto"/>
        <w:right w:val="none" w:sz="0" w:space="0" w:color="auto"/>
      </w:divBdr>
    </w:div>
    <w:div w:id="898899940">
      <w:bodyDiv w:val="1"/>
      <w:marLeft w:val="0"/>
      <w:marRight w:val="0"/>
      <w:marTop w:val="0"/>
      <w:marBottom w:val="0"/>
      <w:divBdr>
        <w:top w:val="none" w:sz="0" w:space="0" w:color="auto"/>
        <w:left w:val="none" w:sz="0" w:space="0" w:color="auto"/>
        <w:bottom w:val="none" w:sz="0" w:space="0" w:color="auto"/>
        <w:right w:val="none" w:sz="0" w:space="0" w:color="auto"/>
      </w:divBdr>
    </w:div>
    <w:div w:id="909340119">
      <w:bodyDiv w:val="1"/>
      <w:marLeft w:val="0"/>
      <w:marRight w:val="0"/>
      <w:marTop w:val="0"/>
      <w:marBottom w:val="0"/>
      <w:divBdr>
        <w:top w:val="none" w:sz="0" w:space="0" w:color="auto"/>
        <w:left w:val="none" w:sz="0" w:space="0" w:color="auto"/>
        <w:bottom w:val="none" w:sz="0" w:space="0" w:color="auto"/>
        <w:right w:val="none" w:sz="0" w:space="0" w:color="auto"/>
      </w:divBdr>
    </w:div>
    <w:div w:id="922880439">
      <w:bodyDiv w:val="1"/>
      <w:marLeft w:val="0"/>
      <w:marRight w:val="0"/>
      <w:marTop w:val="0"/>
      <w:marBottom w:val="0"/>
      <w:divBdr>
        <w:top w:val="none" w:sz="0" w:space="0" w:color="auto"/>
        <w:left w:val="none" w:sz="0" w:space="0" w:color="auto"/>
        <w:bottom w:val="none" w:sz="0" w:space="0" w:color="auto"/>
        <w:right w:val="none" w:sz="0" w:space="0" w:color="auto"/>
      </w:divBdr>
    </w:div>
    <w:div w:id="926157633">
      <w:bodyDiv w:val="1"/>
      <w:marLeft w:val="0"/>
      <w:marRight w:val="0"/>
      <w:marTop w:val="0"/>
      <w:marBottom w:val="0"/>
      <w:divBdr>
        <w:top w:val="none" w:sz="0" w:space="0" w:color="auto"/>
        <w:left w:val="none" w:sz="0" w:space="0" w:color="auto"/>
        <w:bottom w:val="none" w:sz="0" w:space="0" w:color="auto"/>
        <w:right w:val="none" w:sz="0" w:space="0" w:color="auto"/>
      </w:divBdr>
    </w:div>
    <w:div w:id="934945566">
      <w:bodyDiv w:val="1"/>
      <w:marLeft w:val="0"/>
      <w:marRight w:val="0"/>
      <w:marTop w:val="0"/>
      <w:marBottom w:val="0"/>
      <w:divBdr>
        <w:top w:val="none" w:sz="0" w:space="0" w:color="auto"/>
        <w:left w:val="none" w:sz="0" w:space="0" w:color="auto"/>
        <w:bottom w:val="none" w:sz="0" w:space="0" w:color="auto"/>
        <w:right w:val="none" w:sz="0" w:space="0" w:color="auto"/>
      </w:divBdr>
    </w:div>
    <w:div w:id="936865809">
      <w:bodyDiv w:val="1"/>
      <w:marLeft w:val="0"/>
      <w:marRight w:val="0"/>
      <w:marTop w:val="0"/>
      <w:marBottom w:val="0"/>
      <w:divBdr>
        <w:top w:val="none" w:sz="0" w:space="0" w:color="auto"/>
        <w:left w:val="none" w:sz="0" w:space="0" w:color="auto"/>
        <w:bottom w:val="none" w:sz="0" w:space="0" w:color="auto"/>
        <w:right w:val="none" w:sz="0" w:space="0" w:color="auto"/>
      </w:divBdr>
    </w:div>
    <w:div w:id="960307181">
      <w:bodyDiv w:val="1"/>
      <w:marLeft w:val="0"/>
      <w:marRight w:val="0"/>
      <w:marTop w:val="0"/>
      <w:marBottom w:val="0"/>
      <w:divBdr>
        <w:top w:val="none" w:sz="0" w:space="0" w:color="auto"/>
        <w:left w:val="none" w:sz="0" w:space="0" w:color="auto"/>
        <w:bottom w:val="none" w:sz="0" w:space="0" w:color="auto"/>
        <w:right w:val="none" w:sz="0" w:space="0" w:color="auto"/>
      </w:divBdr>
    </w:div>
    <w:div w:id="987519967">
      <w:bodyDiv w:val="1"/>
      <w:marLeft w:val="0"/>
      <w:marRight w:val="0"/>
      <w:marTop w:val="0"/>
      <w:marBottom w:val="0"/>
      <w:divBdr>
        <w:top w:val="none" w:sz="0" w:space="0" w:color="auto"/>
        <w:left w:val="none" w:sz="0" w:space="0" w:color="auto"/>
        <w:bottom w:val="none" w:sz="0" w:space="0" w:color="auto"/>
        <w:right w:val="none" w:sz="0" w:space="0" w:color="auto"/>
      </w:divBdr>
    </w:div>
    <w:div w:id="1003554615">
      <w:bodyDiv w:val="1"/>
      <w:marLeft w:val="0"/>
      <w:marRight w:val="0"/>
      <w:marTop w:val="0"/>
      <w:marBottom w:val="0"/>
      <w:divBdr>
        <w:top w:val="none" w:sz="0" w:space="0" w:color="auto"/>
        <w:left w:val="none" w:sz="0" w:space="0" w:color="auto"/>
        <w:bottom w:val="none" w:sz="0" w:space="0" w:color="auto"/>
        <w:right w:val="none" w:sz="0" w:space="0" w:color="auto"/>
      </w:divBdr>
    </w:div>
    <w:div w:id="1015351338">
      <w:bodyDiv w:val="1"/>
      <w:marLeft w:val="0"/>
      <w:marRight w:val="0"/>
      <w:marTop w:val="0"/>
      <w:marBottom w:val="0"/>
      <w:divBdr>
        <w:top w:val="none" w:sz="0" w:space="0" w:color="auto"/>
        <w:left w:val="none" w:sz="0" w:space="0" w:color="auto"/>
        <w:bottom w:val="none" w:sz="0" w:space="0" w:color="auto"/>
        <w:right w:val="none" w:sz="0" w:space="0" w:color="auto"/>
      </w:divBdr>
    </w:div>
    <w:div w:id="1017584729">
      <w:bodyDiv w:val="1"/>
      <w:marLeft w:val="0"/>
      <w:marRight w:val="0"/>
      <w:marTop w:val="0"/>
      <w:marBottom w:val="0"/>
      <w:divBdr>
        <w:top w:val="none" w:sz="0" w:space="0" w:color="auto"/>
        <w:left w:val="none" w:sz="0" w:space="0" w:color="auto"/>
        <w:bottom w:val="none" w:sz="0" w:space="0" w:color="auto"/>
        <w:right w:val="none" w:sz="0" w:space="0" w:color="auto"/>
      </w:divBdr>
    </w:div>
    <w:div w:id="1022129150">
      <w:bodyDiv w:val="1"/>
      <w:marLeft w:val="0"/>
      <w:marRight w:val="0"/>
      <w:marTop w:val="0"/>
      <w:marBottom w:val="0"/>
      <w:divBdr>
        <w:top w:val="none" w:sz="0" w:space="0" w:color="auto"/>
        <w:left w:val="none" w:sz="0" w:space="0" w:color="auto"/>
        <w:bottom w:val="none" w:sz="0" w:space="0" w:color="auto"/>
        <w:right w:val="none" w:sz="0" w:space="0" w:color="auto"/>
      </w:divBdr>
    </w:div>
    <w:div w:id="1022390642">
      <w:bodyDiv w:val="1"/>
      <w:marLeft w:val="0"/>
      <w:marRight w:val="0"/>
      <w:marTop w:val="0"/>
      <w:marBottom w:val="0"/>
      <w:divBdr>
        <w:top w:val="none" w:sz="0" w:space="0" w:color="auto"/>
        <w:left w:val="none" w:sz="0" w:space="0" w:color="auto"/>
        <w:bottom w:val="none" w:sz="0" w:space="0" w:color="auto"/>
        <w:right w:val="none" w:sz="0" w:space="0" w:color="auto"/>
      </w:divBdr>
    </w:div>
    <w:div w:id="1036085329">
      <w:bodyDiv w:val="1"/>
      <w:marLeft w:val="0"/>
      <w:marRight w:val="0"/>
      <w:marTop w:val="0"/>
      <w:marBottom w:val="0"/>
      <w:divBdr>
        <w:top w:val="none" w:sz="0" w:space="0" w:color="auto"/>
        <w:left w:val="none" w:sz="0" w:space="0" w:color="auto"/>
        <w:bottom w:val="none" w:sz="0" w:space="0" w:color="auto"/>
        <w:right w:val="none" w:sz="0" w:space="0" w:color="auto"/>
      </w:divBdr>
    </w:div>
    <w:div w:id="1053456815">
      <w:bodyDiv w:val="1"/>
      <w:marLeft w:val="0"/>
      <w:marRight w:val="0"/>
      <w:marTop w:val="0"/>
      <w:marBottom w:val="0"/>
      <w:divBdr>
        <w:top w:val="none" w:sz="0" w:space="0" w:color="auto"/>
        <w:left w:val="none" w:sz="0" w:space="0" w:color="auto"/>
        <w:bottom w:val="none" w:sz="0" w:space="0" w:color="auto"/>
        <w:right w:val="none" w:sz="0" w:space="0" w:color="auto"/>
      </w:divBdr>
    </w:div>
    <w:div w:id="1059405583">
      <w:bodyDiv w:val="1"/>
      <w:marLeft w:val="0"/>
      <w:marRight w:val="0"/>
      <w:marTop w:val="0"/>
      <w:marBottom w:val="0"/>
      <w:divBdr>
        <w:top w:val="none" w:sz="0" w:space="0" w:color="auto"/>
        <w:left w:val="none" w:sz="0" w:space="0" w:color="auto"/>
        <w:bottom w:val="none" w:sz="0" w:space="0" w:color="auto"/>
        <w:right w:val="none" w:sz="0" w:space="0" w:color="auto"/>
      </w:divBdr>
    </w:div>
    <w:div w:id="1067996238">
      <w:bodyDiv w:val="1"/>
      <w:marLeft w:val="0"/>
      <w:marRight w:val="0"/>
      <w:marTop w:val="0"/>
      <w:marBottom w:val="0"/>
      <w:divBdr>
        <w:top w:val="none" w:sz="0" w:space="0" w:color="auto"/>
        <w:left w:val="none" w:sz="0" w:space="0" w:color="auto"/>
        <w:bottom w:val="none" w:sz="0" w:space="0" w:color="auto"/>
        <w:right w:val="none" w:sz="0" w:space="0" w:color="auto"/>
      </w:divBdr>
    </w:div>
    <w:div w:id="1109853064">
      <w:bodyDiv w:val="1"/>
      <w:marLeft w:val="0"/>
      <w:marRight w:val="0"/>
      <w:marTop w:val="0"/>
      <w:marBottom w:val="0"/>
      <w:divBdr>
        <w:top w:val="none" w:sz="0" w:space="0" w:color="auto"/>
        <w:left w:val="none" w:sz="0" w:space="0" w:color="auto"/>
        <w:bottom w:val="none" w:sz="0" w:space="0" w:color="auto"/>
        <w:right w:val="none" w:sz="0" w:space="0" w:color="auto"/>
      </w:divBdr>
    </w:div>
    <w:div w:id="1123646194">
      <w:bodyDiv w:val="1"/>
      <w:marLeft w:val="0"/>
      <w:marRight w:val="0"/>
      <w:marTop w:val="0"/>
      <w:marBottom w:val="0"/>
      <w:divBdr>
        <w:top w:val="none" w:sz="0" w:space="0" w:color="auto"/>
        <w:left w:val="none" w:sz="0" w:space="0" w:color="auto"/>
        <w:bottom w:val="none" w:sz="0" w:space="0" w:color="auto"/>
        <w:right w:val="none" w:sz="0" w:space="0" w:color="auto"/>
      </w:divBdr>
    </w:div>
    <w:div w:id="1182865044">
      <w:bodyDiv w:val="1"/>
      <w:marLeft w:val="0"/>
      <w:marRight w:val="0"/>
      <w:marTop w:val="0"/>
      <w:marBottom w:val="0"/>
      <w:divBdr>
        <w:top w:val="none" w:sz="0" w:space="0" w:color="auto"/>
        <w:left w:val="none" w:sz="0" w:space="0" w:color="auto"/>
        <w:bottom w:val="none" w:sz="0" w:space="0" w:color="auto"/>
        <w:right w:val="none" w:sz="0" w:space="0" w:color="auto"/>
      </w:divBdr>
    </w:div>
    <w:div w:id="1191143101">
      <w:bodyDiv w:val="1"/>
      <w:marLeft w:val="0"/>
      <w:marRight w:val="0"/>
      <w:marTop w:val="0"/>
      <w:marBottom w:val="0"/>
      <w:divBdr>
        <w:top w:val="none" w:sz="0" w:space="0" w:color="auto"/>
        <w:left w:val="none" w:sz="0" w:space="0" w:color="auto"/>
        <w:bottom w:val="none" w:sz="0" w:space="0" w:color="auto"/>
        <w:right w:val="none" w:sz="0" w:space="0" w:color="auto"/>
      </w:divBdr>
    </w:div>
    <w:div w:id="1206257893">
      <w:bodyDiv w:val="1"/>
      <w:marLeft w:val="0"/>
      <w:marRight w:val="0"/>
      <w:marTop w:val="0"/>
      <w:marBottom w:val="0"/>
      <w:divBdr>
        <w:top w:val="none" w:sz="0" w:space="0" w:color="auto"/>
        <w:left w:val="none" w:sz="0" w:space="0" w:color="auto"/>
        <w:bottom w:val="none" w:sz="0" w:space="0" w:color="auto"/>
        <w:right w:val="none" w:sz="0" w:space="0" w:color="auto"/>
      </w:divBdr>
    </w:div>
    <w:div w:id="1235776122">
      <w:bodyDiv w:val="1"/>
      <w:marLeft w:val="0"/>
      <w:marRight w:val="0"/>
      <w:marTop w:val="0"/>
      <w:marBottom w:val="0"/>
      <w:divBdr>
        <w:top w:val="none" w:sz="0" w:space="0" w:color="auto"/>
        <w:left w:val="none" w:sz="0" w:space="0" w:color="auto"/>
        <w:bottom w:val="none" w:sz="0" w:space="0" w:color="auto"/>
        <w:right w:val="none" w:sz="0" w:space="0" w:color="auto"/>
      </w:divBdr>
    </w:div>
    <w:div w:id="1261529057">
      <w:bodyDiv w:val="1"/>
      <w:marLeft w:val="0"/>
      <w:marRight w:val="0"/>
      <w:marTop w:val="0"/>
      <w:marBottom w:val="0"/>
      <w:divBdr>
        <w:top w:val="none" w:sz="0" w:space="0" w:color="auto"/>
        <w:left w:val="none" w:sz="0" w:space="0" w:color="auto"/>
        <w:bottom w:val="none" w:sz="0" w:space="0" w:color="auto"/>
        <w:right w:val="none" w:sz="0" w:space="0" w:color="auto"/>
      </w:divBdr>
    </w:div>
    <w:div w:id="1270358020">
      <w:bodyDiv w:val="1"/>
      <w:marLeft w:val="0"/>
      <w:marRight w:val="0"/>
      <w:marTop w:val="0"/>
      <w:marBottom w:val="0"/>
      <w:divBdr>
        <w:top w:val="none" w:sz="0" w:space="0" w:color="auto"/>
        <w:left w:val="none" w:sz="0" w:space="0" w:color="auto"/>
        <w:bottom w:val="none" w:sz="0" w:space="0" w:color="auto"/>
        <w:right w:val="none" w:sz="0" w:space="0" w:color="auto"/>
      </w:divBdr>
    </w:div>
    <w:div w:id="1287662667">
      <w:bodyDiv w:val="1"/>
      <w:marLeft w:val="0"/>
      <w:marRight w:val="0"/>
      <w:marTop w:val="0"/>
      <w:marBottom w:val="0"/>
      <w:divBdr>
        <w:top w:val="none" w:sz="0" w:space="0" w:color="auto"/>
        <w:left w:val="none" w:sz="0" w:space="0" w:color="auto"/>
        <w:bottom w:val="none" w:sz="0" w:space="0" w:color="auto"/>
        <w:right w:val="none" w:sz="0" w:space="0" w:color="auto"/>
      </w:divBdr>
    </w:div>
    <w:div w:id="1296334645">
      <w:bodyDiv w:val="1"/>
      <w:marLeft w:val="0"/>
      <w:marRight w:val="0"/>
      <w:marTop w:val="0"/>
      <w:marBottom w:val="0"/>
      <w:divBdr>
        <w:top w:val="none" w:sz="0" w:space="0" w:color="auto"/>
        <w:left w:val="none" w:sz="0" w:space="0" w:color="auto"/>
        <w:bottom w:val="none" w:sz="0" w:space="0" w:color="auto"/>
        <w:right w:val="none" w:sz="0" w:space="0" w:color="auto"/>
      </w:divBdr>
    </w:div>
    <w:div w:id="1325233949">
      <w:bodyDiv w:val="1"/>
      <w:marLeft w:val="0"/>
      <w:marRight w:val="0"/>
      <w:marTop w:val="0"/>
      <w:marBottom w:val="0"/>
      <w:divBdr>
        <w:top w:val="none" w:sz="0" w:space="0" w:color="auto"/>
        <w:left w:val="none" w:sz="0" w:space="0" w:color="auto"/>
        <w:bottom w:val="none" w:sz="0" w:space="0" w:color="auto"/>
        <w:right w:val="none" w:sz="0" w:space="0" w:color="auto"/>
      </w:divBdr>
    </w:div>
    <w:div w:id="1363748816">
      <w:bodyDiv w:val="1"/>
      <w:marLeft w:val="0"/>
      <w:marRight w:val="0"/>
      <w:marTop w:val="0"/>
      <w:marBottom w:val="0"/>
      <w:divBdr>
        <w:top w:val="none" w:sz="0" w:space="0" w:color="auto"/>
        <w:left w:val="none" w:sz="0" w:space="0" w:color="auto"/>
        <w:bottom w:val="none" w:sz="0" w:space="0" w:color="auto"/>
        <w:right w:val="none" w:sz="0" w:space="0" w:color="auto"/>
      </w:divBdr>
    </w:div>
    <w:div w:id="1366323303">
      <w:bodyDiv w:val="1"/>
      <w:marLeft w:val="0"/>
      <w:marRight w:val="0"/>
      <w:marTop w:val="0"/>
      <w:marBottom w:val="0"/>
      <w:divBdr>
        <w:top w:val="none" w:sz="0" w:space="0" w:color="auto"/>
        <w:left w:val="none" w:sz="0" w:space="0" w:color="auto"/>
        <w:bottom w:val="none" w:sz="0" w:space="0" w:color="auto"/>
        <w:right w:val="none" w:sz="0" w:space="0" w:color="auto"/>
      </w:divBdr>
    </w:div>
    <w:div w:id="1375733565">
      <w:bodyDiv w:val="1"/>
      <w:marLeft w:val="0"/>
      <w:marRight w:val="0"/>
      <w:marTop w:val="0"/>
      <w:marBottom w:val="0"/>
      <w:divBdr>
        <w:top w:val="none" w:sz="0" w:space="0" w:color="auto"/>
        <w:left w:val="none" w:sz="0" w:space="0" w:color="auto"/>
        <w:bottom w:val="none" w:sz="0" w:space="0" w:color="auto"/>
        <w:right w:val="none" w:sz="0" w:space="0" w:color="auto"/>
      </w:divBdr>
    </w:div>
    <w:div w:id="1382635665">
      <w:bodyDiv w:val="1"/>
      <w:marLeft w:val="0"/>
      <w:marRight w:val="0"/>
      <w:marTop w:val="0"/>
      <w:marBottom w:val="0"/>
      <w:divBdr>
        <w:top w:val="none" w:sz="0" w:space="0" w:color="auto"/>
        <w:left w:val="none" w:sz="0" w:space="0" w:color="auto"/>
        <w:bottom w:val="none" w:sz="0" w:space="0" w:color="auto"/>
        <w:right w:val="none" w:sz="0" w:space="0" w:color="auto"/>
      </w:divBdr>
    </w:div>
    <w:div w:id="1429885382">
      <w:bodyDiv w:val="1"/>
      <w:marLeft w:val="0"/>
      <w:marRight w:val="0"/>
      <w:marTop w:val="0"/>
      <w:marBottom w:val="0"/>
      <w:divBdr>
        <w:top w:val="none" w:sz="0" w:space="0" w:color="auto"/>
        <w:left w:val="none" w:sz="0" w:space="0" w:color="auto"/>
        <w:bottom w:val="none" w:sz="0" w:space="0" w:color="auto"/>
        <w:right w:val="none" w:sz="0" w:space="0" w:color="auto"/>
      </w:divBdr>
    </w:div>
    <w:div w:id="1430470753">
      <w:bodyDiv w:val="1"/>
      <w:marLeft w:val="0"/>
      <w:marRight w:val="0"/>
      <w:marTop w:val="0"/>
      <w:marBottom w:val="0"/>
      <w:divBdr>
        <w:top w:val="none" w:sz="0" w:space="0" w:color="auto"/>
        <w:left w:val="none" w:sz="0" w:space="0" w:color="auto"/>
        <w:bottom w:val="none" w:sz="0" w:space="0" w:color="auto"/>
        <w:right w:val="none" w:sz="0" w:space="0" w:color="auto"/>
      </w:divBdr>
    </w:div>
    <w:div w:id="1444878752">
      <w:bodyDiv w:val="1"/>
      <w:marLeft w:val="0"/>
      <w:marRight w:val="0"/>
      <w:marTop w:val="0"/>
      <w:marBottom w:val="0"/>
      <w:divBdr>
        <w:top w:val="none" w:sz="0" w:space="0" w:color="auto"/>
        <w:left w:val="none" w:sz="0" w:space="0" w:color="auto"/>
        <w:bottom w:val="none" w:sz="0" w:space="0" w:color="auto"/>
        <w:right w:val="none" w:sz="0" w:space="0" w:color="auto"/>
      </w:divBdr>
    </w:div>
    <w:div w:id="1457216972">
      <w:bodyDiv w:val="1"/>
      <w:marLeft w:val="0"/>
      <w:marRight w:val="0"/>
      <w:marTop w:val="0"/>
      <w:marBottom w:val="0"/>
      <w:divBdr>
        <w:top w:val="none" w:sz="0" w:space="0" w:color="auto"/>
        <w:left w:val="none" w:sz="0" w:space="0" w:color="auto"/>
        <w:bottom w:val="none" w:sz="0" w:space="0" w:color="auto"/>
        <w:right w:val="none" w:sz="0" w:space="0" w:color="auto"/>
      </w:divBdr>
    </w:div>
    <w:div w:id="1475635290">
      <w:bodyDiv w:val="1"/>
      <w:marLeft w:val="0"/>
      <w:marRight w:val="0"/>
      <w:marTop w:val="0"/>
      <w:marBottom w:val="0"/>
      <w:divBdr>
        <w:top w:val="none" w:sz="0" w:space="0" w:color="auto"/>
        <w:left w:val="none" w:sz="0" w:space="0" w:color="auto"/>
        <w:bottom w:val="none" w:sz="0" w:space="0" w:color="auto"/>
        <w:right w:val="none" w:sz="0" w:space="0" w:color="auto"/>
      </w:divBdr>
    </w:div>
    <w:div w:id="1487093574">
      <w:bodyDiv w:val="1"/>
      <w:marLeft w:val="0"/>
      <w:marRight w:val="0"/>
      <w:marTop w:val="0"/>
      <w:marBottom w:val="0"/>
      <w:divBdr>
        <w:top w:val="none" w:sz="0" w:space="0" w:color="auto"/>
        <w:left w:val="none" w:sz="0" w:space="0" w:color="auto"/>
        <w:bottom w:val="none" w:sz="0" w:space="0" w:color="auto"/>
        <w:right w:val="none" w:sz="0" w:space="0" w:color="auto"/>
      </w:divBdr>
    </w:div>
    <w:div w:id="1499076521">
      <w:bodyDiv w:val="1"/>
      <w:marLeft w:val="0"/>
      <w:marRight w:val="0"/>
      <w:marTop w:val="0"/>
      <w:marBottom w:val="0"/>
      <w:divBdr>
        <w:top w:val="none" w:sz="0" w:space="0" w:color="auto"/>
        <w:left w:val="none" w:sz="0" w:space="0" w:color="auto"/>
        <w:bottom w:val="none" w:sz="0" w:space="0" w:color="auto"/>
        <w:right w:val="none" w:sz="0" w:space="0" w:color="auto"/>
      </w:divBdr>
    </w:div>
    <w:div w:id="1505902773">
      <w:bodyDiv w:val="1"/>
      <w:marLeft w:val="0"/>
      <w:marRight w:val="0"/>
      <w:marTop w:val="0"/>
      <w:marBottom w:val="0"/>
      <w:divBdr>
        <w:top w:val="none" w:sz="0" w:space="0" w:color="auto"/>
        <w:left w:val="none" w:sz="0" w:space="0" w:color="auto"/>
        <w:bottom w:val="none" w:sz="0" w:space="0" w:color="auto"/>
        <w:right w:val="none" w:sz="0" w:space="0" w:color="auto"/>
      </w:divBdr>
    </w:div>
    <w:div w:id="1519466777">
      <w:bodyDiv w:val="1"/>
      <w:marLeft w:val="0"/>
      <w:marRight w:val="0"/>
      <w:marTop w:val="0"/>
      <w:marBottom w:val="0"/>
      <w:divBdr>
        <w:top w:val="none" w:sz="0" w:space="0" w:color="auto"/>
        <w:left w:val="none" w:sz="0" w:space="0" w:color="auto"/>
        <w:bottom w:val="none" w:sz="0" w:space="0" w:color="auto"/>
        <w:right w:val="none" w:sz="0" w:space="0" w:color="auto"/>
      </w:divBdr>
    </w:div>
    <w:div w:id="1519654443">
      <w:bodyDiv w:val="1"/>
      <w:marLeft w:val="0"/>
      <w:marRight w:val="0"/>
      <w:marTop w:val="0"/>
      <w:marBottom w:val="0"/>
      <w:divBdr>
        <w:top w:val="none" w:sz="0" w:space="0" w:color="auto"/>
        <w:left w:val="none" w:sz="0" w:space="0" w:color="auto"/>
        <w:bottom w:val="none" w:sz="0" w:space="0" w:color="auto"/>
        <w:right w:val="none" w:sz="0" w:space="0" w:color="auto"/>
      </w:divBdr>
    </w:div>
    <w:div w:id="1520699036">
      <w:bodyDiv w:val="1"/>
      <w:marLeft w:val="0"/>
      <w:marRight w:val="0"/>
      <w:marTop w:val="0"/>
      <w:marBottom w:val="0"/>
      <w:divBdr>
        <w:top w:val="none" w:sz="0" w:space="0" w:color="auto"/>
        <w:left w:val="none" w:sz="0" w:space="0" w:color="auto"/>
        <w:bottom w:val="none" w:sz="0" w:space="0" w:color="auto"/>
        <w:right w:val="none" w:sz="0" w:space="0" w:color="auto"/>
      </w:divBdr>
    </w:div>
    <w:div w:id="1544290729">
      <w:bodyDiv w:val="1"/>
      <w:marLeft w:val="0"/>
      <w:marRight w:val="0"/>
      <w:marTop w:val="0"/>
      <w:marBottom w:val="0"/>
      <w:divBdr>
        <w:top w:val="none" w:sz="0" w:space="0" w:color="auto"/>
        <w:left w:val="none" w:sz="0" w:space="0" w:color="auto"/>
        <w:bottom w:val="none" w:sz="0" w:space="0" w:color="auto"/>
        <w:right w:val="none" w:sz="0" w:space="0" w:color="auto"/>
      </w:divBdr>
    </w:div>
    <w:div w:id="1554585895">
      <w:bodyDiv w:val="1"/>
      <w:marLeft w:val="0"/>
      <w:marRight w:val="0"/>
      <w:marTop w:val="0"/>
      <w:marBottom w:val="0"/>
      <w:divBdr>
        <w:top w:val="none" w:sz="0" w:space="0" w:color="auto"/>
        <w:left w:val="none" w:sz="0" w:space="0" w:color="auto"/>
        <w:bottom w:val="none" w:sz="0" w:space="0" w:color="auto"/>
        <w:right w:val="none" w:sz="0" w:space="0" w:color="auto"/>
      </w:divBdr>
    </w:div>
    <w:div w:id="1558396517">
      <w:bodyDiv w:val="1"/>
      <w:marLeft w:val="0"/>
      <w:marRight w:val="0"/>
      <w:marTop w:val="0"/>
      <w:marBottom w:val="0"/>
      <w:divBdr>
        <w:top w:val="none" w:sz="0" w:space="0" w:color="auto"/>
        <w:left w:val="none" w:sz="0" w:space="0" w:color="auto"/>
        <w:bottom w:val="none" w:sz="0" w:space="0" w:color="auto"/>
        <w:right w:val="none" w:sz="0" w:space="0" w:color="auto"/>
      </w:divBdr>
    </w:div>
    <w:div w:id="1579824945">
      <w:bodyDiv w:val="1"/>
      <w:marLeft w:val="0"/>
      <w:marRight w:val="0"/>
      <w:marTop w:val="0"/>
      <w:marBottom w:val="0"/>
      <w:divBdr>
        <w:top w:val="none" w:sz="0" w:space="0" w:color="auto"/>
        <w:left w:val="none" w:sz="0" w:space="0" w:color="auto"/>
        <w:bottom w:val="none" w:sz="0" w:space="0" w:color="auto"/>
        <w:right w:val="none" w:sz="0" w:space="0" w:color="auto"/>
      </w:divBdr>
    </w:div>
    <w:div w:id="1580217362">
      <w:bodyDiv w:val="1"/>
      <w:marLeft w:val="0"/>
      <w:marRight w:val="0"/>
      <w:marTop w:val="0"/>
      <w:marBottom w:val="0"/>
      <w:divBdr>
        <w:top w:val="none" w:sz="0" w:space="0" w:color="auto"/>
        <w:left w:val="none" w:sz="0" w:space="0" w:color="auto"/>
        <w:bottom w:val="none" w:sz="0" w:space="0" w:color="auto"/>
        <w:right w:val="none" w:sz="0" w:space="0" w:color="auto"/>
      </w:divBdr>
    </w:div>
    <w:div w:id="1580946404">
      <w:bodyDiv w:val="1"/>
      <w:marLeft w:val="0"/>
      <w:marRight w:val="0"/>
      <w:marTop w:val="0"/>
      <w:marBottom w:val="0"/>
      <w:divBdr>
        <w:top w:val="none" w:sz="0" w:space="0" w:color="auto"/>
        <w:left w:val="none" w:sz="0" w:space="0" w:color="auto"/>
        <w:bottom w:val="none" w:sz="0" w:space="0" w:color="auto"/>
        <w:right w:val="none" w:sz="0" w:space="0" w:color="auto"/>
      </w:divBdr>
      <w:divsChild>
        <w:div w:id="679621218">
          <w:marLeft w:val="0"/>
          <w:marRight w:val="0"/>
          <w:marTop w:val="0"/>
          <w:marBottom w:val="0"/>
          <w:divBdr>
            <w:top w:val="none" w:sz="0" w:space="0" w:color="auto"/>
            <w:left w:val="none" w:sz="0" w:space="0" w:color="auto"/>
            <w:bottom w:val="none" w:sz="0" w:space="0" w:color="auto"/>
            <w:right w:val="none" w:sz="0" w:space="0" w:color="auto"/>
          </w:divBdr>
          <w:divsChild>
            <w:div w:id="2056350288">
              <w:marLeft w:val="0"/>
              <w:marRight w:val="0"/>
              <w:marTop w:val="0"/>
              <w:marBottom w:val="0"/>
              <w:divBdr>
                <w:top w:val="none" w:sz="0" w:space="0" w:color="auto"/>
                <w:left w:val="none" w:sz="0" w:space="0" w:color="auto"/>
                <w:bottom w:val="none" w:sz="0" w:space="0" w:color="auto"/>
                <w:right w:val="none" w:sz="0" w:space="0" w:color="auto"/>
              </w:divBdr>
              <w:divsChild>
                <w:div w:id="2050568282">
                  <w:marLeft w:val="0"/>
                  <w:marRight w:val="0"/>
                  <w:marTop w:val="0"/>
                  <w:marBottom w:val="0"/>
                  <w:divBdr>
                    <w:top w:val="none" w:sz="0" w:space="0" w:color="auto"/>
                    <w:left w:val="none" w:sz="0" w:space="0" w:color="auto"/>
                    <w:bottom w:val="none" w:sz="0" w:space="0" w:color="auto"/>
                    <w:right w:val="none" w:sz="0" w:space="0" w:color="auto"/>
                  </w:divBdr>
                  <w:divsChild>
                    <w:div w:id="1474525145">
                      <w:marLeft w:val="0"/>
                      <w:marRight w:val="0"/>
                      <w:marTop w:val="0"/>
                      <w:marBottom w:val="0"/>
                      <w:divBdr>
                        <w:top w:val="none" w:sz="0" w:space="0" w:color="auto"/>
                        <w:left w:val="none" w:sz="0" w:space="0" w:color="auto"/>
                        <w:bottom w:val="none" w:sz="0" w:space="0" w:color="auto"/>
                        <w:right w:val="none" w:sz="0" w:space="0" w:color="auto"/>
                      </w:divBdr>
                      <w:divsChild>
                        <w:div w:id="564875946">
                          <w:marLeft w:val="0"/>
                          <w:marRight w:val="0"/>
                          <w:marTop w:val="0"/>
                          <w:marBottom w:val="0"/>
                          <w:divBdr>
                            <w:top w:val="none" w:sz="0" w:space="0" w:color="auto"/>
                            <w:left w:val="none" w:sz="0" w:space="0" w:color="auto"/>
                            <w:bottom w:val="none" w:sz="0" w:space="0" w:color="auto"/>
                            <w:right w:val="none" w:sz="0" w:space="0" w:color="auto"/>
                          </w:divBdr>
                          <w:divsChild>
                            <w:div w:id="769930601">
                              <w:marLeft w:val="0"/>
                              <w:marRight w:val="0"/>
                              <w:marTop w:val="300"/>
                              <w:marBottom w:val="0"/>
                              <w:divBdr>
                                <w:top w:val="none" w:sz="0" w:space="0" w:color="auto"/>
                                <w:left w:val="none" w:sz="0" w:space="0" w:color="auto"/>
                                <w:bottom w:val="none" w:sz="0" w:space="0" w:color="auto"/>
                                <w:right w:val="none" w:sz="0" w:space="0" w:color="auto"/>
                              </w:divBdr>
                              <w:divsChild>
                                <w:div w:id="582877312">
                                  <w:marLeft w:val="0"/>
                                  <w:marRight w:val="0"/>
                                  <w:marTop w:val="0"/>
                                  <w:marBottom w:val="0"/>
                                  <w:divBdr>
                                    <w:top w:val="none" w:sz="0" w:space="0" w:color="auto"/>
                                    <w:left w:val="none" w:sz="0" w:space="0" w:color="auto"/>
                                    <w:bottom w:val="none" w:sz="0" w:space="0" w:color="auto"/>
                                    <w:right w:val="none" w:sz="0" w:space="0" w:color="auto"/>
                                  </w:divBdr>
                                  <w:divsChild>
                                    <w:div w:id="820846982">
                                      <w:marLeft w:val="0"/>
                                      <w:marRight w:val="0"/>
                                      <w:marTop w:val="0"/>
                                      <w:marBottom w:val="0"/>
                                      <w:divBdr>
                                        <w:top w:val="none" w:sz="0" w:space="0" w:color="auto"/>
                                        <w:left w:val="none" w:sz="0" w:space="0" w:color="auto"/>
                                        <w:bottom w:val="none" w:sz="0" w:space="0" w:color="auto"/>
                                        <w:right w:val="none" w:sz="0" w:space="0" w:color="auto"/>
                                      </w:divBdr>
                                      <w:divsChild>
                                        <w:div w:id="477653868">
                                          <w:marLeft w:val="0"/>
                                          <w:marRight w:val="0"/>
                                          <w:marTop w:val="0"/>
                                          <w:marBottom w:val="0"/>
                                          <w:divBdr>
                                            <w:top w:val="none" w:sz="0" w:space="0" w:color="auto"/>
                                            <w:left w:val="none" w:sz="0" w:space="0" w:color="auto"/>
                                            <w:bottom w:val="none" w:sz="0" w:space="0" w:color="auto"/>
                                            <w:right w:val="none" w:sz="0" w:space="0" w:color="auto"/>
                                          </w:divBdr>
                                          <w:divsChild>
                                            <w:div w:id="1687636768">
                                              <w:marLeft w:val="0"/>
                                              <w:marRight w:val="0"/>
                                              <w:marTop w:val="0"/>
                                              <w:marBottom w:val="0"/>
                                              <w:divBdr>
                                                <w:top w:val="none" w:sz="0" w:space="0" w:color="auto"/>
                                                <w:left w:val="none" w:sz="0" w:space="0" w:color="auto"/>
                                                <w:bottom w:val="none" w:sz="0" w:space="0" w:color="auto"/>
                                                <w:right w:val="none" w:sz="0" w:space="0" w:color="auto"/>
                                              </w:divBdr>
                                              <w:divsChild>
                                                <w:div w:id="220143170">
                                                  <w:marLeft w:val="0"/>
                                                  <w:marRight w:val="0"/>
                                                  <w:marTop w:val="0"/>
                                                  <w:marBottom w:val="0"/>
                                                  <w:divBdr>
                                                    <w:top w:val="none" w:sz="0" w:space="0" w:color="auto"/>
                                                    <w:left w:val="none" w:sz="0" w:space="0" w:color="auto"/>
                                                    <w:bottom w:val="none" w:sz="0" w:space="0" w:color="auto"/>
                                                    <w:right w:val="none" w:sz="0" w:space="0" w:color="auto"/>
                                                  </w:divBdr>
                                                  <w:divsChild>
                                                    <w:div w:id="10360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5799818">
      <w:bodyDiv w:val="1"/>
      <w:marLeft w:val="0"/>
      <w:marRight w:val="0"/>
      <w:marTop w:val="0"/>
      <w:marBottom w:val="0"/>
      <w:divBdr>
        <w:top w:val="none" w:sz="0" w:space="0" w:color="auto"/>
        <w:left w:val="none" w:sz="0" w:space="0" w:color="auto"/>
        <w:bottom w:val="none" w:sz="0" w:space="0" w:color="auto"/>
        <w:right w:val="none" w:sz="0" w:space="0" w:color="auto"/>
      </w:divBdr>
    </w:div>
    <w:div w:id="1609924202">
      <w:bodyDiv w:val="1"/>
      <w:marLeft w:val="0"/>
      <w:marRight w:val="0"/>
      <w:marTop w:val="0"/>
      <w:marBottom w:val="0"/>
      <w:divBdr>
        <w:top w:val="none" w:sz="0" w:space="0" w:color="auto"/>
        <w:left w:val="none" w:sz="0" w:space="0" w:color="auto"/>
        <w:bottom w:val="none" w:sz="0" w:space="0" w:color="auto"/>
        <w:right w:val="none" w:sz="0" w:space="0" w:color="auto"/>
      </w:divBdr>
    </w:div>
    <w:div w:id="1610549340">
      <w:bodyDiv w:val="1"/>
      <w:marLeft w:val="0"/>
      <w:marRight w:val="0"/>
      <w:marTop w:val="0"/>
      <w:marBottom w:val="0"/>
      <w:divBdr>
        <w:top w:val="none" w:sz="0" w:space="0" w:color="auto"/>
        <w:left w:val="none" w:sz="0" w:space="0" w:color="auto"/>
        <w:bottom w:val="none" w:sz="0" w:space="0" w:color="auto"/>
        <w:right w:val="none" w:sz="0" w:space="0" w:color="auto"/>
      </w:divBdr>
    </w:div>
    <w:div w:id="1615405237">
      <w:bodyDiv w:val="1"/>
      <w:marLeft w:val="0"/>
      <w:marRight w:val="0"/>
      <w:marTop w:val="0"/>
      <w:marBottom w:val="0"/>
      <w:divBdr>
        <w:top w:val="none" w:sz="0" w:space="0" w:color="auto"/>
        <w:left w:val="none" w:sz="0" w:space="0" w:color="auto"/>
        <w:bottom w:val="none" w:sz="0" w:space="0" w:color="auto"/>
        <w:right w:val="none" w:sz="0" w:space="0" w:color="auto"/>
      </w:divBdr>
    </w:div>
    <w:div w:id="1629699259">
      <w:bodyDiv w:val="1"/>
      <w:marLeft w:val="0"/>
      <w:marRight w:val="0"/>
      <w:marTop w:val="0"/>
      <w:marBottom w:val="0"/>
      <w:divBdr>
        <w:top w:val="none" w:sz="0" w:space="0" w:color="auto"/>
        <w:left w:val="none" w:sz="0" w:space="0" w:color="auto"/>
        <w:bottom w:val="none" w:sz="0" w:space="0" w:color="auto"/>
        <w:right w:val="none" w:sz="0" w:space="0" w:color="auto"/>
      </w:divBdr>
    </w:div>
    <w:div w:id="1631550758">
      <w:bodyDiv w:val="1"/>
      <w:marLeft w:val="0"/>
      <w:marRight w:val="0"/>
      <w:marTop w:val="0"/>
      <w:marBottom w:val="0"/>
      <w:divBdr>
        <w:top w:val="none" w:sz="0" w:space="0" w:color="auto"/>
        <w:left w:val="none" w:sz="0" w:space="0" w:color="auto"/>
        <w:bottom w:val="none" w:sz="0" w:space="0" w:color="auto"/>
        <w:right w:val="none" w:sz="0" w:space="0" w:color="auto"/>
      </w:divBdr>
    </w:div>
    <w:div w:id="1635134358">
      <w:bodyDiv w:val="1"/>
      <w:marLeft w:val="0"/>
      <w:marRight w:val="0"/>
      <w:marTop w:val="0"/>
      <w:marBottom w:val="0"/>
      <w:divBdr>
        <w:top w:val="none" w:sz="0" w:space="0" w:color="auto"/>
        <w:left w:val="none" w:sz="0" w:space="0" w:color="auto"/>
        <w:bottom w:val="none" w:sz="0" w:space="0" w:color="auto"/>
        <w:right w:val="none" w:sz="0" w:space="0" w:color="auto"/>
      </w:divBdr>
    </w:div>
    <w:div w:id="1646466974">
      <w:bodyDiv w:val="1"/>
      <w:marLeft w:val="0"/>
      <w:marRight w:val="0"/>
      <w:marTop w:val="0"/>
      <w:marBottom w:val="0"/>
      <w:divBdr>
        <w:top w:val="none" w:sz="0" w:space="0" w:color="auto"/>
        <w:left w:val="none" w:sz="0" w:space="0" w:color="auto"/>
        <w:bottom w:val="none" w:sz="0" w:space="0" w:color="auto"/>
        <w:right w:val="none" w:sz="0" w:space="0" w:color="auto"/>
      </w:divBdr>
    </w:div>
    <w:div w:id="1648705945">
      <w:bodyDiv w:val="1"/>
      <w:marLeft w:val="0"/>
      <w:marRight w:val="0"/>
      <w:marTop w:val="0"/>
      <w:marBottom w:val="0"/>
      <w:divBdr>
        <w:top w:val="none" w:sz="0" w:space="0" w:color="auto"/>
        <w:left w:val="none" w:sz="0" w:space="0" w:color="auto"/>
        <w:bottom w:val="none" w:sz="0" w:space="0" w:color="auto"/>
        <w:right w:val="none" w:sz="0" w:space="0" w:color="auto"/>
      </w:divBdr>
    </w:div>
    <w:div w:id="1669365615">
      <w:bodyDiv w:val="1"/>
      <w:marLeft w:val="0"/>
      <w:marRight w:val="0"/>
      <w:marTop w:val="0"/>
      <w:marBottom w:val="0"/>
      <w:divBdr>
        <w:top w:val="none" w:sz="0" w:space="0" w:color="auto"/>
        <w:left w:val="none" w:sz="0" w:space="0" w:color="auto"/>
        <w:bottom w:val="none" w:sz="0" w:space="0" w:color="auto"/>
        <w:right w:val="none" w:sz="0" w:space="0" w:color="auto"/>
      </w:divBdr>
    </w:div>
    <w:div w:id="1681659553">
      <w:bodyDiv w:val="1"/>
      <w:marLeft w:val="0"/>
      <w:marRight w:val="0"/>
      <w:marTop w:val="0"/>
      <w:marBottom w:val="0"/>
      <w:divBdr>
        <w:top w:val="none" w:sz="0" w:space="0" w:color="auto"/>
        <w:left w:val="none" w:sz="0" w:space="0" w:color="auto"/>
        <w:bottom w:val="none" w:sz="0" w:space="0" w:color="auto"/>
        <w:right w:val="none" w:sz="0" w:space="0" w:color="auto"/>
      </w:divBdr>
    </w:div>
    <w:div w:id="1703440668">
      <w:bodyDiv w:val="1"/>
      <w:marLeft w:val="0"/>
      <w:marRight w:val="0"/>
      <w:marTop w:val="0"/>
      <w:marBottom w:val="0"/>
      <w:divBdr>
        <w:top w:val="none" w:sz="0" w:space="0" w:color="auto"/>
        <w:left w:val="none" w:sz="0" w:space="0" w:color="auto"/>
        <w:bottom w:val="none" w:sz="0" w:space="0" w:color="auto"/>
        <w:right w:val="none" w:sz="0" w:space="0" w:color="auto"/>
      </w:divBdr>
    </w:div>
    <w:div w:id="1728065519">
      <w:bodyDiv w:val="1"/>
      <w:marLeft w:val="0"/>
      <w:marRight w:val="0"/>
      <w:marTop w:val="0"/>
      <w:marBottom w:val="0"/>
      <w:divBdr>
        <w:top w:val="none" w:sz="0" w:space="0" w:color="auto"/>
        <w:left w:val="none" w:sz="0" w:space="0" w:color="auto"/>
        <w:bottom w:val="none" w:sz="0" w:space="0" w:color="auto"/>
        <w:right w:val="none" w:sz="0" w:space="0" w:color="auto"/>
      </w:divBdr>
    </w:div>
    <w:div w:id="1731419108">
      <w:bodyDiv w:val="1"/>
      <w:marLeft w:val="0"/>
      <w:marRight w:val="0"/>
      <w:marTop w:val="0"/>
      <w:marBottom w:val="0"/>
      <w:divBdr>
        <w:top w:val="none" w:sz="0" w:space="0" w:color="auto"/>
        <w:left w:val="none" w:sz="0" w:space="0" w:color="auto"/>
        <w:bottom w:val="none" w:sz="0" w:space="0" w:color="auto"/>
        <w:right w:val="none" w:sz="0" w:space="0" w:color="auto"/>
      </w:divBdr>
    </w:div>
    <w:div w:id="1741637974">
      <w:bodyDiv w:val="1"/>
      <w:marLeft w:val="0"/>
      <w:marRight w:val="0"/>
      <w:marTop w:val="0"/>
      <w:marBottom w:val="0"/>
      <w:divBdr>
        <w:top w:val="none" w:sz="0" w:space="0" w:color="auto"/>
        <w:left w:val="none" w:sz="0" w:space="0" w:color="auto"/>
        <w:bottom w:val="none" w:sz="0" w:space="0" w:color="auto"/>
        <w:right w:val="none" w:sz="0" w:space="0" w:color="auto"/>
      </w:divBdr>
    </w:div>
    <w:div w:id="1759399857">
      <w:bodyDiv w:val="1"/>
      <w:marLeft w:val="0"/>
      <w:marRight w:val="0"/>
      <w:marTop w:val="0"/>
      <w:marBottom w:val="0"/>
      <w:divBdr>
        <w:top w:val="none" w:sz="0" w:space="0" w:color="auto"/>
        <w:left w:val="none" w:sz="0" w:space="0" w:color="auto"/>
        <w:bottom w:val="none" w:sz="0" w:space="0" w:color="auto"/>
        <w:right w:val="none" w:sz="0" w:space="0" w:color="auto"/>
      </w:divBdr>
    </w:div>
    <w:div w:id="1775830606">
      <w:bodyDiv w:val="1"/>
      <w:marLeft w:val="0"/>
      <w:marRight w:val="0"/>
      <w:marTop w:val="0"/>
      <w:marBottom w:val="0"/>
      <w:divBdr>
        <w:top w:val="none" w:sz="0" w:space="0" w:color="auto"/>
        <w:left w:val="none" w:sz="0" w:space="0" w:color="auto"/>
        <w:bottom w:val="none" w:sz="0" w:space="0" w:color="auto"/>
        <w:right w:val="none" w:sz="0" w:space="0" w:color="auto"/>
      </w:divBdr>
    </w:div>
    <w:div w:id="1778939922">
      <w:bodyDiv w:val="1"/>
      <w:marLeft w:val="0"/>
      <w:marRight w:val="0"/>
      <w:marTop w:val="0"/>
      <w:marBottom w:val="0"/>
      <w:divBdr>
        <w:top w:val="none" w:sz="0" w:space="0" w:color="auto"/>
        <w:left w:val="none" w:sz="0" w:space="0" w:color="auto"/>
        <w:bottom w:val="none" w:sz="0" w:space="0" w:color="auto"/>
        <w:right w:val="none" w:sz="0" w:space="0" w:color="auto"/>
      </w:divBdr>
    </w:div>
    <w:div w:id="1780683901">
      <w:bodyDiv w:val="1"/>
      <w:marLeft w:val="0"/>
      <w:marRight w:val="0"/>
      <w:marTop w:val="0"/>
      <w:marBottom w:val="0"/>
      <w:divBdr>
        <w:top w:val="none" w:sz="0" w:space="0" w:color="auto"/>
        <w:left w:val="none" w:sz="0" w:space="0" w:color="auto"/>
        <w:bottom w:val="none" w:sz="0" w:space="0" w:color="auto"/>
        <w:right w:val="none" w:sz="0" w:space="0" w:color="auto"/>
      </w:divBdr>
    </w:div>
    <w:div w:id="1791584376">
      <w:bodyDiv w:val="1"/>
      <w:marLeft w:val="0"/>
      <w:marRight w:val="0"/>
      <w:marTop w:val="0"/>
      <w:marBottom w:val="0"/>
      <w:divBdr>
        <w:top w:val="none" w:sz="0" w:space="0" w:color="auto"/>
        <w:left w:val="none" w:sz="0" w:space="0" w:color="auto"/>
        <w:bottom w:val="none" w:sz="0" w:space="0" w:color="auto"/>
        <w:right w:val="none" w:sz="0" w:space="0" w:color="auto"/>
      </w:divBdr>
    </w:div>
    <w:div w:id="1794328976">
      <w:bodyDiv w:val="1"/>
      <w:marLeft w:val="0"/>
      <w:marRight w:val="0"/>
      <w:marTop w:val="0"/>
      <w:marBottom w:val="0"/>
      <w:divBdr>
        <w:top w:val="none" w:sz="0" w:space="0" w:color="auto"/>
        <w:left w:val="none" w:sz="0" w:space="0" w:color="auto"/>
        <w:bottom w:val="none" w:sz="0" w:space="0" w:color="auto"/>
        <w:right w:val="none" w:sz="0" w:space="0" w:color="auto"/>
      </w:divBdr>
    </w:div>
    <w:div w:id="1805149503">
      <w:bodyDiv w:val="1"/>
      <w:marLeft w:val="0"/>
      <w:marRight w:val="0"/>
      <w:marTop w:val="0"/>
      <w:marBottom w:val="0"/>
      <w:divBdr>
        <w:top w:val="none" w:sz="0" w:space="0" w:color="auto"/>
        <w:left w:val="none" w:sz="0" w:space="0" w:color="auto"/>
        <w:bottom w:val="none" w:sz="0" w:space="0" w:color="auto"/>
        <w:right w:val="none" w:sz="0" w:space="0" w:color="auto"/>
      </w:divBdr>
    </w:div>
    <w:div w:id="1813522518">
      <w:bodyDiv w:val="1"/>
      <w:marLeft w:val="0"/>
      <w:marRight w:val="0"/>
      <w:marTop w:val="0"/>
      <w:marBottom w:val="0"/>
      <w:divBdr>
        <w:top w:val="none" w:sz="0" w:space="0" w:color="auto"/>
        <w:left w:val="none" w:sz="0" w:space="0" w:color="auto"/>
        <w:bottom w:val="none" w:sz="0" w:space="0" w:color="auto"/>
        <w:right w:val="none" w:sz="0" w:space="0" w:color="auto"/>
      </w:divBdr>
    </w:div>
    <w:div w:id="1864126656">
      <w:bodyDiv w:val="1"/>
      <w:marLeft w:val="0"/>
      <w:marRight w:val="0"/>
      <w:marTop w:val="0"/>
      <w:marBottom w:val="0"/>
      <w:divBdr>
        <w:top w:val="none" w:sz="0" w:space="0" w:color="auto"/>
        <w:left w:val="none" w:sz="0" w:space="0" w:color="auto"/>
        <w:bottom w:val="none" w:sz="0" w:space="0" w:color="auto"/>
        <w:right w:val="none" w:sz="0" w:space="0" w:color="auto"/>
      </w:divBdr>
    </w:div>
    <w:div w:id="1865359351">
      <w:bodyDiv w:val="1"/>
      <w:marLeft w:val="0"/>
      <w:marRight w:val="0"/>
      <w:marTop w:val="0"/>
      <w:marBottom w:val="0"/>
      <w:divBdr>
        <w:top w:val="none" w:sz="0" w:space="0" w:color="auto"/>
        <w:left w:val="none" w:sz="0" w:space="0" w:color="auto"/>
        <w:bottom w:val="none" w:sz="0" w:space="0" w:color="auto"/>
        <w:right w:val="none" w:sz="0" w:space="0" w:color="auto"/>
      </w:divBdr>
    </w:div>
    <w:div w:id="1884251652">
      <w:bodyDiv w:val="1"/>
      <w:marLeft w:val="0"/>
      <w:marRight w:val="0"/>
      <w:marTop w:val="0"/>
      <w:marBottom w:val="0"/>
      <w:divBdr>
        <w:top w:val="none" w:sz="0" w:space="0" w:color="auto"/>
        <w:left w:val="none" w:sz="0" w:space="0" w:color="auto"/>
        <w:bottom w:val="none" w:sz="0" w:space="0" w:color="auto"/>
        <w:right w:val="none" w:sz="0" w:space="0" w:color="auto"/>
      </w:divBdr>
    </w:div>
    <w:div w:id="1887791920">
      <w:bodyDiv w:val="1"/>
      <w:marLeft w:val="0"/>
      <w:marRight w:val="0"/>
      <w:marTop w:val="0"/>
      <w:marBottom w:val="0"/>
      <w:divBdr>
        <w:top w:val="none" w:sz="0" w:space="0" w:color="auto"/>
        <w:left w:val="none" w:sz="0" w:space="0" w:color="auto"/>
        <w:bottom w:val="none" w:sz="0" w:space="0" w:color="auto"/>
        <w:right w:val="none" w:sz="0" w:space="0" w:color="auto"/>
      </w:divBdr>
    </w:div>
    <w:div w:id="1888955196">
      <w:bodyDiv w:val="1"/>
      <w:marLeft w:val="0"/>
      <w:marRight w:val="0"/>
      <w:marTop w:val="0"/>
      <w:marBottom w:val="0"/>
      <w:divBdr>
        <w:top w:val="none" w:sz="0" w:space="0" w:color="auto"/>
        <w:left w:val="none" w:sz="0" w:space="0" w:color="auto"/>
        <w:bottom w:val="none" w:sz="0" w:space="0" w:color="auto"/>
        <w:right w:val="none" w:sz="0" w:space="0" w:color="auto"/>
      </w:divBdr>
    </w:div>
    <w:div w:id="1909608832">
      <w:bodyDiv w:val="1"/>
      <w:marLeft w:val="0"/>
      <w:marRight w:val="0"/>
      <w:marTop w:val="0"/>
      <w:marBottom w:val="0"/>
      <w:divBdr>
        <w:top w:val="none" w:sz="0" w:space="0" w:color="auto"/>
        <w:left w:val="none" w:sz="0" w:space="0" w:color="auto"/>
        <w:bottom w:val="none" w:sz="0" w:space="0" w:color="auto"/>
        <w:right w:val="none" w:sz="0" w:space="0" w:color="auto"/>
      </w:divBdr>
    </w:div>
    <w:div w:id="1926105239">
      <w:bodyDiv w:val="1"/>
      <w:marLeft w:val="0"/>
      <w:marRight w:val="0"/>
      <w:marTop w:val="0"/>
      <w:marBottom w:val="0"/>
      <w:divBdr>
        <w:top w:val="none" w:sz="0" w:space="0" w:color="auto"/>
        <w:left w:val="none" w:sz="0" w:space="0" w:color="auto"/>
        <w:bottom w:val="none" w:sz="0" w:space="0" w:color="auto"/>
        <w:right w:val="none" w:sz="0" w:space="0" w:color="auto"/>
      </w:divBdr>
    </w:div>
    <w:div w:id="1936088222">
      <w:bodyDiv w:val="1"/>
      <w:marLeft w:val="0"/>
      <w:marRight w:val="0"/>
      <w:marTop w:val="0"/>
      <w:marBottom w:val="0"/>
      <w:divBdr>
        <w:top w:val="none" w:sz="0" w:space="0" w:color="auto"/>
        <w:left w:val="none" w:sz="0" w:space="0" w:color="auto"/>
        <w:bottom w:val="none" w:sz="0" w:space="0" w:color="auto"/>
        <w:right w:val="none" w:sz="0" w:space="0" w:color="auto"/>
      </w:divBdr>
    </w:div>
    <w:div w:id="1952468124">
      <w:bodyDiv w:val="1"/>
      <w:marLeft w:val="0"/>
      <w:marRight w:val="0"/>
      <w:marTop w:val="0"/>
      <w:marBottom w:val="0"/>
      <w:divBdr>
        <w:top w:val="none" w:sz="0" w:space="0" w:color="auto"/>
        <w:left w:val="none" w:sz="0" w:space="0" w:color="auto"/>
        <w:bottom w:val="none" w:sz="0" w:space="0" w:color="auto"/>
        <w:right w:val="none" w:sz="0" w:space="0" w:color="auto"/>
      </w:divBdr>
    </w:div>
    <w:div w:id="1970669879">
      <w:bodyDiv w:val="1"/>
      <w:marLeft w:val="0"/>
      <w:marRight w:val="0"/>
      <w:marTop w:val="0"/>
      <w:marBottom w:val="0"/>
      <w:divBdr>
        <w:top w:val="none" w:sz="0" w:space="0" w:color="auto"/>
        <w:left w:val="none" w:sz="0" w:space="0" w:color="auto"/>
        <w:bottom w:val="none" w:sz="0" w:space="0" w:color="auto"/>
        <w:right w:val="none" w:sz="0" w:space="0" w:color="auto"/>
      </w:divBdr>
    </w:div>
    <w:div w:id="1993559434">
      <w:bodyDiv w:val="1"/>
      <w:marLeft w:val="0"/>
      <w:marRight w:val="0"/>
      <w:marTop w:val="0"/>
      <w:marBottom w:val="0"/>
      <w:divBdr>
        <w:top w:val="none" w:sz="0" w:space="0" w:color="auto"/>
        <w:left w:val="none" w:sz="0" w:space="0" w:color="auto"/>
        <w:bottom w:val="none" w:sz="0" w:space="0" w:color="auto"/>
        <w:right w:val="none" w:sz="0" w:space="0" w:color="auto"/>
      </w:divBdr>
    </w:div>
    <w:div w:id="2029134087">
      <w:bodyDiv w:val="1"/>
      <w:marLeft w:val="0"/>
      <w:marRight w:val="0"/>
      <w:marTop w:val="0"/>
      <w:marBottom w:val="0"/>
      <w:divBdr>
        <w:top w:val="none" w:sz="0" w:space="0" w:color="auto"/>
        <w:left w:val="none" w:sz="0" w:space="0" w:color="auto"/>
        <w:bottom w:val="none" w:sz="0" w:space="0" w:color="auto"/>
        <w:right w:val="none" w:sz="0" w:space="0" w:color="auto"/>
      </w:divBdr>
    </w:div>
    <w:div w:id="2058045397">
      <w:bodyDiv w:val="1"/>
      <w:marLeft w:val="0"/>
      <w:marRight w:val="0"/>
      <w:marTop w:val="0"/>
      <w:marBottom w:val="0"/>
      <w:divBdr>
        <w:top w:val="none" w:sz="0" w:space="0" w:color="auto"/>
        <w:left w:val="none" w:sz="0" w:space="0" w:color="auto"/>
        <w:bottom w:val="none" w:sz="0" w:space="0" w:color="auto"/>
        <w:right w:val="none" w:sz="0" w:space="0" w:color="auto"/>
      </w:divBdr>
    </w:div>
    <w:div w:id="2061511667">
      <w:bodyDiv w:val="1"/>
      <w:marLeft w:val="0"/>
      <w:marRight w:val="0"/>
      <w:marTop w:val="0"/>
      <w:marBottom w:val="0"/>
      <w:divBdr>
        <w:top w:val="none" w:sz="0" w:space="0" w:color="auto"/>
        <w:left w:val="none" w:sz="0" w:space="0" w:color="auto"/>
        <w:bottom w:val="none" w:sz="0" w:space="0" w:color="auto"/>
        <w:right w:val="none" w:sz="0" w:space="0" w:color="auto"/>
      </w:divBdr>
    </w:div>
    <w:div w:id="2062750814">
      <w:bodyDiv w:val="1"/>
      <w:marLeft w:val="0"/>
      <w:marRight w:val="0"/>
      <w:marTop w:val="0"/>
      <w:marBottom w:val="0"/>
      <w:divBdr>
        <w:top w:val="none" w:sz="0" w:space="0" w:color="auto"/>
        <w:left w:val="none" w:sz="0" w:space="0" w:color="auto"/>
        <w:bottom w:val="none" w:sz="0" w:space="0" w:color="auto"/>
        <w:right w:val="none" w:sz="0" w:space="0" w:color="auto"/>
      </w:divBdr>
    </w:div>
    <w:div w:id="2089686896">
      <w:bodyDiv w:val="1"/>
      <w:marLeft w:val="0"/>
      <w:marRight w:val="0"/>
      <w:marTop w:val="0"/>
      <w:marBottom w:val="0"/>
      <w:divBdr>
        <w:top w:val="none" w:sz="0" w:space="0" w:color="auto"/>
        <w:left w:val="none" w:sz="0" w:space="0" w:color="auto"/>
        <w:bottom w:val="none" w:sz="0" w:space="0" w:color="auto"/>
        <w:right w:val="none" w:sz="0" w:space="0" w:color="auto"/>
      </w:divBdr>
    </w:div>
    <w:div w:id="2089767422">
      <w:bodyDiv w:val="1"/>
      <w:marLeft w:val="0"/>
      <w:marRight w:val="0"/>
      <w:marTop w:val="0"/>
      <w:marBottom w:val="0"/>
      <w:divBdr>
        <w:top w:val="none" w:sz="0" w:space="0" w:color="auto"/>
        <w:left w:val="none" w:sz="0" w:space="0" w:color="auto"/>
        <w:bottom w:val="none" w:sz="0" w:space="0" w:color="auto"/>
        <w:right w:val="none" w:sz="0" w:space="0" w:color="auto"/>
      </w:divBdr>
    </w:div>
    <w:div w:id="2108889401">
      <w:bodyDiv w:val="1"/>
      <w:marLeft w:val="0"/>
      <w:marRight w:val="0"/>
      <w:marTop w:val="0"/>
      <w:marBottom w:val="0"/>
      <w:divBdr>
        <w:top w:val="none" w:sz="0" w:space="0" w:color="auto"/>
        <w:left w:val="none" w:sz="0" w:space="0" w:color="auto"/>
        <w:bottom w:val="none" w:sz="0" w:space="0" w:color="auto"/>
        <w:right w:val="none" w:sz="0" w:space="0" w:color="auto"/>
      </w:divBdr>
    </w:div>
    <w:div w:id="2119256883">
      <w:bodyDiv w:val="1"/>
      <w:marLeft w:val="0"/>
      <w:marRight w:val="0"/>
      <w:marTop w:val="0"/>
      <w:marBottom w:val="0"/>
      <w:divBdr>
        <w:top w:val="none" w:sz="0" w:space="0" w:color="auto"/>
        <w:left w:val="none" w:sz="0" w:space="0" w:color="auto"/>
        <w:bottom w:val="none" w:sz="0" w:space="0" w:color="auto"/>
        <w:right w:val="none" w:sz="0" w:space="0" w:color="auto"/>
      </w:divBdr>
    </w:div>
    <w:div w:id="2119714773">
      <w:bodyDiv w:val="1"/>
      <w:marLeft w:val="0"/>
      <w:marRight w:val="0"/>
      <w:marTop w:val="0"/>
      <w:marBottom w:val="0"/>
      <w:divBdr>
        <w:top w:val="none" w:sz="0" w:space="0" w:color="auto"/>
        <w:left w:val="none" w:sz="0" w:space="0" w:color="auto"/>
        <w:bottom w:val="none" w:sz="0" w:space="0" w:color="auto"/>
        <w:right w:val="none" w:sz="0" w:space="0" w:color="auto"/>
      </w:divBdr>
    </w:div>
    <w:div w:id="2130271452">
      <w:bodyDiv w:val="1"/>
      <w:marLeft w:val="0"/>
      <w:marRight w:val="0"/>
      <w:marTop w:val="0"/>
      <w:marBottom w:val="0"/>
      <w:divBdr>
        <w:top w:val="none" w:sz="0" w:space="0" w:color="auto"/>
        <w:left w:val="none" w:sz="0" w:space="0" w:color="auto"/>
        <w:bottom w:val="none" w:sz="0" w:space="0" w:color="auto"/>
        <w:right w:val="none" w:sz="0" w:space="0" w:color="auto"/>
      </w:divBdr>
    </w:div>
    <w:div w:id="213832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url?sa=i&amp;rct=j&amp;q=&amp;esrc=s&amp;source=images&amp;cd=&amp;cad=rja&amp;uact=8&amp;ved=2ahUKEwjdkPeWlJjfAhXjThUIHXQ9Cv8QjRx6BAgBEAU&amp;url=https://www.weforum.org/agenda/2015/07/top-9-countries-islamic-finance/&amp;psig=AOvVaw3ZPImTkVbb8iqr-vtOLTL8&amp;ust=1544630704145694" TargetMode="External"/><Relationship Id="rId18" Type="http://schemas.openxmlformats.org/officeDocument/2006/relationships/image" Target="media/image6.gi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ogle.co.uk/url?sa=i&amp;rct=j&amp;q=&amp;esrc=s&amp;source=images&amp;cd=&amp;cad=rja&amp;uact=8&amp;ved=2ahUKEwjG1K_Sup3fAhXMXhUIHRk2AWkQjRx6BAgBEAU&amp;url=https://fred.stlouisfed.org/series/DDOI02IDA156NWDB&amp;psig=AOvVaw1Twg7grbwZwDFSSbPyVttA&amp;ust=1544812879937555"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google.co.uk/url?sa=i&amp;rct=j&amp;q=&amp;esrc=s&amp;source=images&amp;cd=&amp;cad=rja&amp;uact=8&amp;ved=2ahUKEwi73672kpbfAhUDQhoKHeKHCqoQjRx6BAgBEAU&amp;url=https://www.imf.org/en/News/Articles/2015/09/28/04/53/sores100410a&amp;psig=AOvVaw0KfBYyRqC-K6hvHVx_FzL0&amp;ust=154456163784817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url?sa=i&amp;rct=j&amp;q=&amp;esrc=s&amp;source=images&amp;cd=&amp;cad=rja&amp;uact=8&amp;ved=2ahUKEwjv5bv-k5jfAhU0pnEKHRCFASoQjRx6BAgBEAU&amp;url=https://www.slideshare.net/EzzedineGHLAMALLAH/world-islamic-banking-competitiveness-report-2012-13&amp;psig=AOvVaw3ZPImTkVbb8iqr-vtOLTL8&amp;ust=1544630704145694"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www.google.co.uk/url?sa=i&amp;rct=j&amp;q=&amp;esrc=s&amp;source=images&amp;cd=&amp;cad=rja&amp;uact=8&amp;ved=2ahUKEwiKq7bGh5jfAhUwUxUIHfvJCAQQjRx6BAgBEAU&amp;url=http://ec2-54-72-50-240.eu-west-1.compute.amazonaws.com/World/Asia-Pacific/Bangladesh/The-struggle-to-find-the-right-Islamic-banking-model&amp;psig=AOvVaw04lMLgGsMHcGioiCFqor4D&amp;ust=1544627359641205" TargetMode="External"/><Relationship Id="rId23" Type="http://schemas.openxmlformats.org/officeDocument/2006/relationships/hyperlink" Target="https://www.google.co.uk/url?sa=i&amp;rct=j&amp;q=&amp;esrc=s&amp;source=images&amp;cd=&amp;cad=rja&amp;uact=8&amp;ved=2ahUKEwit3OHG-Z3fAhU7gM4BHfeZD-IQjRx6BAgBEAU&amp;url=https://www.economicshelp.org/blog/8514/economics/economic-growth-stats/&amp;psig=AOvVaw0i3DjqLZxpm-RtD371Sq8Y&amp;ust=1544829759897704" TargetMode="External"/><Relationship Id="rId10" Type="http://schemas.openxmlformats.org/officeDocument/2006/relationships/image" Target="media/image2.jpeg"/><Relationship Id="rId19" Type="http://schemas.openxmlformats.org/officeDocument/2006/relationships/hyperlink" Target="https://www.google.co.uk/url?sa=i&amp;rct=j&amp;q=&amp;esrc=s&amp;source=images&amp;cd=&amp;cad=rja&amp;uact=8&amp;ved=2ahUKEwi_7qabk5bfAhVOyRoKHSVaBIgQjRx6BAgBEAU&amp;url=https://www.imf.org/en/News/Articles/2015/09/28/04/53/sores100410a&amp;psig=AOvVaw3MHya6zgHonu4QzgvXr-Ck&amp;ust=1544561776573619" TargetMode="External"/><Relationship Id="rId4" Type="http://schemas.openxmlformats.org/officeDocument/2006/relationships/settings" Target="settings.xml"/><Relationship Id="rId9" Type="http://schemas.openxmlformats.org/officeDocument/2006/relationships/hyperlink" Target="http://www.google.co.uk/url?sa=i&amp;rct=j&amp;q=&amp;esrc=s&amp;source=images&amp;cd=&amp;cad=rja&amp;uact=8&amp;ved=2ahUKEwj23oCch5jfAhVzsHEKHQk4B9AQjRx6BAgBEAU&amp;url=http://www.theborneopost.com/2017/03/05/islamic-finance-the-unconventional-but-nascent-financial-system/&amp;psig=AOvVaw0IuD0M0xNEubmWbDJMWev5&amp;ust=1544627253654976"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Chi171</b:Tag>
    <b:SourceType>Book</b:SourceType>
    <b:Guid>{FCB36A31-A276-4968-A8AD-E02918F5000F}</b:Guid>
    <b:Title>An Introduction To Islamic Finance</b:Title>
    <b:Year>2017</b:Year>
    <b:Publisher>CIMA</b:Publisher>
    <b:Author>
      <b:Author>
        <b:NameList>
          <b:Person>
            <b:Last>Moinuddin</b:Last>
            <b:First>Chistie</b:First>
          </b:Person>
        </b:NameList>
      </b:Author>
    </b:Author>
    <b:Edition>1st</b:Edition>
    <b:RefOrder>16</b:RefOrder>
  </b:Source>
  <b:Source>
    <b:Tag>Jam15</b:Tag>
    <b:SourceType>JournalArticle</b:SourceType>
    <b:Guid>{F43E43A4-C4FB-4F11-9B74-226B4481FC6E}</b:Guid>
    <b:Author>
      <b:Author>
        <b:NameList>
          <b:Person>
            <b:Last>King</b:Last>
            <b:First>James</b:First>
          </b:Person>
        </b:NameList>
      </b:Author>
    </b:Author>
    <b:Title>Malaysia's recipe for Islamic finance success</b:Title>
    <b:JournalName>The Banker</b:JournalName>
    <b:Year>2015</b:Year>
    <b:RefOrder>4</b:RefOrder>
  </b:Source>
  <b:Source>
    <b:Tag>Muz15</b:Tag>
    <b:SourceType>Report</b:SourceType>
    <b:Guid>{D46A68F6-E415-433C-9F05-42D8CBA22AD4}</b:Guid>
    <b:Title>Maybank Islamic</b:Title>
    <b:Year>2015</b:Year>
    <b:Author>
      <b:Author>
        <b:NameList>
          <b:Person>
            <b:Last>Hisham</b:Last>
            <b:First>Muzaffar</b:First>
          </b:Person>
        </b:NameList>
      </b:Author>
    </b:Author>
    <b:City>Malaysia</b:City>
    <b:RefOrder>5</b:RefOrder>
  </b:Source>
  <b:Source>
    <b:Tag>Ope18</b:Tag>
    <b:SourceType>InternetSite</b:SourceType>
    <b:Guid>{F79BAA7D-7C92-4F63-8B5D-E0353A9DEF37}</b:Guid>
    <b:Author>
      <b:Author>
        <b:Corporate>OpenTuition</b:Corporate>
      </b:Author>
    </b:Author>
    <b:Title>ACCA F9 Lecture Notes – Sources of finance – islamic finance</b:Title>
    <b:Year>2018</b:Year>
    <b:YearAccessed>2018</b:YearAccessed>
    <b:MonthAccessed>December</b:MonthAccessed>
    <b:DayAccessed>10</b:DayAccessed>
    <b:URL>https://opentuition.com/acca/f9/acca-f9-lecture-notes-sources-of-finance-islamic-finance/</b:URL>
    <b:RefOrder>20</b:RefOrder>
  </b:Source>
  <b:Source>
    <b:Tag>AlH93</b:Tag>
    <b:SourceType>Book</b:SourceType>
    <b:Guid>{BCE32FE8-3115-46A6-B9AC-EB74F6028272}</b:Guid>
    <b:Title>Islamic Finance: Partnership Financing </b:Title>
    <b:Year>1993</b:Year>
    <b:Author>
      <b:Author>
        <b:NameList>
          <b:Person>
            <b:Last>Harran</b:Last>
            <b:First>Al</b:First>
          </b:Person>
        </b:NameList>
      </b:Author>
    </b:Author>
    <b:City>Indiana</b:City>
    <b:Publisher>Pelanduk Publications</b:Publisher>
    <b:Edition>2nd</b:Edition>
    <b:RefOrder>21</b:RefOrder>
  </b:Source>
  <b:Source>
    <b:Tag>Mer16</b:Tag>
    <b:SourceType>JournalArticle</b:SourceType>
    <b:Guid>{F1D53085-EEA2-4907-A4D6-4BF9E090A376}</b:Guid>
    <b:Title>Indonesia’s Plan for Global Islamic Finance Center Faces Challenges</b:Title>
    <b:Year>2016</b:Year>
    <b:Author>
      <b:Author>
        <b:NameList>
          <b:Person>
            <b:Last>Piesse</b:Last>
            <b:First>Mervyn</b:First>
          </b:Person>
        </b:NameList>
      </b:Author>
    </b:Author>
    <b:JournalName>The Edge of Risk</b:JournalName>
    <b:RefOrder>11</b:RefOrder>
  </b:Source>
  <b:Source>
    <b:Tag>Mal16</b:Tag>
    <b:SourceType>JournalArticle</b:SourceType>
    <b:Guid>{9D3FF84D-4395-4DAF-87E4-1DE4CEF8EB49}</b:Guid>
    <b:Author>
      <b:Author>
        <b:NameList>
          <b:Person>
            <b:Last>Shahzad</b:Last>
            <b:First>Malik</b:First>
          </b:Person>
        </b:NameList>
      </b:Author>
    </b:Author>
    <b:Title>Barriers to Service Quality in the Banks of Pakistan: A Comparative Study of Islamic and Conventional Banks </b:Title>
    <b:JournalName>Business and Economics Journal</b:JournalName>
    <b:Year>2016</b:Year>
    <b:RefOrder>22</b:RefOrder>
  </b:Source>
  <b:Source>
    <b:Tag>Amb17</b:Tag>
    <b:SourceType>JournalArticle</b:SourceType>
    <b:Guid>{5BF6A5BC-C805-4A02-B740-CFCC4B8A1D49}</b:Guid>
    <b:Author>
      <b:Author>
        <b:NameList>
          <b:Person>
            <b:Last>Ambrose</b:Last>
          </b:Person>
        </b:NameList>
      </b:Author>
    </b:Author>
    <b:Title>Islamic Finance Market Size and Growth</b:Title>
    <b:JournalName>Industry Directory</b:JournalName>
    <b:Year>2017</b:Year>
    <b:RefOrder>1</b:RefOrder>
  </b:Source>
  <b:Source>
    <b:Tag>Cen171</b:Tag>
    <b:SourceType>InternetSite</b:SourceType>
    <b:Guid>{DC0CED4F-4BA3-4C3E-8FA7-546E1BFFC4FB}</b:Guid>
    <b:Title>The World Factbook</b:Title>
    <b:Year>2017</b:Year>
    <b:Author>
      <b:Author>
        <b:Corporate>Central Intelligence Agency</b:Corporate>
      </b:Author>
    </b:Author>
    <b:YearAccessed>2018</b:YearAccessed>
    <b:MonthAccessed>December</b:MonthAccessed>
    <b:DayAccessed>11</b:DayAccessed>
    <b:URL>https://www.cia.gov/library/publications/resources/the-world-factbook/</b:URL>
    <b:RefOrder>7</b:RefOrder>
  </b:Source>
  <b:Source>
    <b:Tag>Inn17</b:Tag>
    <b:SourceType>JournalArticle</b:SourceType>
    <b:Guid>{FC50BE8E-D49C-449D-BDF0-722D65E08288}</b:Guid>
    <b:Title>5 Advantages Of Islamic Finance</b:Title>
    <b:Year>2017</b:Year>
    <b:Author>
      <b:Author>
        <b:Corporate>Innovation Enterprise</b:Corporate>
      </b:Author>
    </b:Author>
    <b:JournalName>Innovation Enterprise</b:JournalName>
    <b:RefOrder>9</b:RefOrder>
  </b:Source>
  <b:Source>
    <b:Tag>Glo13</b:Tag>
    <b:SourceType>JournalArticle</b:SourceType>
    <b:Guid>{70E7D280-A2BF-4295-B44A-4D2D063802E8}</b:Guid>
    <b:Author>
      <b:Author>
        <b:Corporate>Global Business Guide Indonesia</b:Corporate>
      </b:Author>
    </b:Author>
    <b:Title>The Outlook for Indonesia’s Islamic Banking Sector</b:Title>
    <b:JournalName>Global Business Guide Indonesia</b:JournalName>
    <b:Year>2013</b:Year>
    <b:RefOrder>10</b:RefOrder>
  </b:Source>
  <b:Source>
    <b:Tag>Ste131</b:Tag>
    <b:SourceType>JournalArticle</b:SourceType>
    <b:Guid>{14849744-1532-4CEC-8908-F9065AC48908}</b:Guid>
    <b:Author>
      <b:Author>
        <b:NameList>
          <b:Person>
            <b:Last>Lee</b:Last>
            <b:First>Stella</b:First>
          </b:Person>
        </b:NameList>
      </b:Author>
    </b:Author>
    <b:Title>Malaysia’s new financial services regulatory framework</b:Title>
    <b:JournalName>Financier Worldwide</b:JournalName>
    <b:Year>2013</b:Year>
    <b:RefOrder>12</b:RefOrder>
  </b:Source>
  <b:Source>
    <b:Tag>Sal18</b:Tag>
    <b:SourceType>JournalArticle</b:SourceType>
    <b:Guid>{E3AD8442-C81F-44C3-924C-CD473C7A0D87}</b:Guid>
    <b:Author>
      <b:Author>
        <b:NameList>
          <b:Person>
            <b:Last>Siddiqui</b:Last>
            <b:First>Salman</b:First>
          </b:Person>
        </b:NameList>
      </b:Author>
    </b:Author>
    <b:Title>Pakistan’s share in global Islamic banking assets just 1%</b:Title>
    <b:JournalName>The Express Tribune</b:JournalName>
    <b:Year>2018</b:Year>
    <b:RefOrder>14</b:RefOrder>
  </b:Source>
  <b:Source>
    <b:Tag>The185</b:Tag>
    <b:SourceType>JournalArticle</b:SourceType>
    <b:Guid>{47FF65F2-405A-4B87-A38D-FD2D18AFBAC0}</b:Guid>
    <b:Author>
      <b:Author>
        <b:NameList>
          <b:Person>
            <b:Last>Reserve</b:Last>
            <b:First>The</b:First>
            <b:Middle>Malaysian</b:Middle>
          </b:Person>
        </b:NameList>
      </b:Author>
    </b:Author>
    <b:Title>Key factors to Islamic finance success</b:Title>
    <b:JournalName>The Malaysian Reserve</b:JournalName>
    <b:Year>2018</b:Year>
    <b:RefOrder>15</b:RefOrder>
  </b:Source>
  <b:Source>
    <b:Tag>Jam151</b:Tag>
    <b:SourceType>JournalArticle</b:SourceType>
    <b:Guid>{4FD6283F-7FFF-4DD3-B239-C6FAFBE43F6F}</b:Guid>
    <b:Author>
      <b:Author>
        <b:NameList>
          <b:Person>
            <b:Last>Ghalaita</b:Last>
            <b:First>Jamal</b:First>
            <b:Middle>Bin</b:Middle>
          </b:Person>
        </b:NameList>
      </b:Author>
    </b:Author>
    <b:Title>The rise of the Islamic economy</b:Title>
    <b:JournalName>World Finance; The Voice of the Market</b:JournalName>
    <b:Year>2015</b:Year>
    <b:RefOrder>2</b:RefOrder>
  </b:Source>
  <b:Source>
    <b:Tag>Yvo17</b:Tag>
    <b:SourceType>JournalArticle</b:SourceType>
    <b:Guid>{DE28129C-A238-47EF-8274-6810982AB62E}</b:Guid>
    <b:Author>
      <b:Author>
        <b:NameList>
          <b:Person>
            <b:Last>Tuah</b:Last>
            <b:First>Yvonne</b:First>
          </b:Person>
        </b:NameList>
      </b:Author>
    </b:Author>
    <b:Title>Islamic finance: The unconventional but nascent financial system</b:Title>
    <b:JournalName>Borneo Post Online</b:JournalName>
    <b:Year>2017</b:Year>
    <b:RefOrder>3</b:RefOrder>
  </b:Source>
  <b:Source>
    <b:Tag>Ern13</b:Tag>
    <b:SourceType>JournalArticle</b:SourceType>
    <b:Guid>{0F9EBC3F-B807-47E1-9340-60B4D343566B}</b:Guid>
    <b:Author>
      <b:Author>
        <b:NameList>
          <b:Person>
            <b:Last>Young</b:Last>
            <b:First>Ernst</b:First>
          </b:Person>
        </b:NameList>
      </b:Author>
    </b:Author>
    <b:Title>World islamic banking competitiveness report </b:Title>
    <b:JournalName>SlideShare</b:JournalName>
    <b:Year>2013</b:Year>
    <b:RefOrder>6</b:RefOrder>
  </b:Source>
  <b:Source>
    <b:Tag>Tom15</b:Tag>
    <b:SourceType>JournalArticle</b:SourceType>
    <b:Guid>{9417D2A4-B8D9-42C4-8258-5AFAAE469EB1}</b:Guid>
    <b:Author>
      <b:Author>
        <b:NameList>
          <b:Person>
            <b:Last>Hirst</b:Last>
            <b:First>Tomas</b:First>
          </b:Person>
        </b:NameList>
      </b:Author>
    </b:Author>
    <b:Title>These are the top 9 countries for Islamic finance</b:Title>
    <b:JournalName>World Economic Forum</b:JournalName>
    <b:Year>2015</b:Year>
    <b:RefOrder>8</b:RefOrder>
  </b:Source>
  <b:Source>
    <b:Tag>Phi12</b:Tag>
    <b:SourceType>JournalArticle</b:SourceType>
    <b:Guid>{705A2C89-5C0E-495B-B940-198368D78A67}</b:Guid>
    <b:Author>
      <b:Author>
        <b:NameList>
          <b:Person>
            <b:Last>Alexander</b:Last>
            <b:First>Philip</b:First>
          </b:Person>
        </b:NameList>
      </b:Author>
    </b:Author>
    <b:Title>The struggle to find the right Islamic banking model</b:Title>
    <b:JournalName>The Banker</b:JournalName>
    <b:Year>2012</b:Year>
    <b:RefOrder>13</b:RefOrder>
  </b:Source>
  <b:Source>
    <b:Tag>Int10</b:Tag>
    <b:SourceType>JournalArticle</b:SourceType>
    <b:Guid>{683F5B4D-701D-4164-AA69-022FE7D05B8B}</b:Guid>
    <b:Author>
      <b:Author>
        <b:Corporate>International Monetary Fund</b:Corporate>
      </b:Author>
    </b:Author>
    <b:Title>IMF Survey: Islamic Banks: More Resilient to Crisis?</b:Title>
    <b:JournalName>International Monetary Fund</b:JournalName>
    <b:Year>2010</b:Year>
    <b:RefOrder>17</b:RefOrder>
  </b:Source>
  <b:Source>
    <b:Tag>FRE18</b:Tag>
    <b:SourceType>JournalArticle</b:SourceType>
    <b:Guid>{39A6290F-B155-4ABD-8694-0DC716ED9F65}</b:Guid>
    <b:Author>
      <b:Author>
        <b:Corporate>FRED Economic Research</b:Corporate>
      </b:Author>
    </b:Author>
    <b:Title>Total Gross Domestic Product for Indonesia</b:Title>
    <b:JournalName>FRED Economic Research</b:JournalName>
    <b:Year>2018</b:Year>
    <b:RefOrder>18</b:RefOrder>
  </b:Source>
  <b:Source>
    <b:Tag>Tej16</b:Tag>
    <b:SourceType>JournalArticle</b:SourceType>
    <b:Guid>{4B703265-31F2-488C-8896-32246C1AB6FA}</b:Guid>
    <b:Author>
      <b:Author>
        <b:NameList>
          <b:Person>
            <b:Last>Tejvan</b:Last>
          </b:Person>
        </b:NameList>
      </b:Author>
    </b:Author>
    <b:Title>UK Recession of 1991-92</b:Title>
    <b:JournalName>Economics Help</b:JournalName>
    <b:Year>2016</b:Year>
    <b:RefOrder>19</b:RefOrder>
  </b:Source>
</b:Sources>
</file>

<file path=customXml/itemProps1.xml><?xml version="1.0" encoding="utf-8"?>
<ds:datastoreItem xmlns:ds="http://schemas.openxmlformats.org/officeDocument/2006/customXml" ds:itemID="{2F328FD7-8BB1-4F92-B308-FF28FCBB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2350</Words>
  <Characters>13396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8</cp:revision>
  <dcterms:created xsi:type="dcterms:W3CDTF">2018-12-14T15:24:00Z</dcterms:created>
  <dcterms:modified xsi:type="dcterms:W3CDTF">2018-12-14T15:28:00Z</dcterms:modified>
</cp:coreProperties>
</file>