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99B6C" w14:textId="77777777" w:rsidR="00F9568A" w:rsidRDefault="00E8434C">
      <w:pPr>
        <w:pStyle w:val="Heading1"/>
        <w:rPr>
          <w:lang w:val="en-GB"/>
        </w:rPr>
      </w:pPr>
      <w:r>
        <w:rPr>
          <w:lang w:val="en-GB"/>
        </w:rPr>
        <w:t xml:space="preserve">ANALYSING THE IMPACT OF COVID-19 TO PEOPLE LIVING WITH </w:t>
      </w:r>
      <w:proofErr w:type="spellStart"/>
      <w:r>
        <w:rPr>
          <w:lang w:val="en-GB"/>
        </w:rPr>
        <w:t>DIMENTIA</w:t>
      </w:r>
      <w:proofErr w:type="spellEnd"/>
    </w:p>
    <w:p w14:paraId="590C64F6" w14:textId="77777777" w:rsidR="00F9568A" w:rsidRDefault="00E8434C">
      <w:pPr>
        <w:pStyle w:val="Heading2"/>
        <w:numPr>
          <w:ilvl w:val="0"/>
          <w:numId w:val="11"/>
        </w:numPr>
        <w:rPr>
          <w:lang w:val="en-GB"/>
        </w:rPr>
      </w:pPr>
      <w:r>
        <w:rPr>
          <w:lang w:val="en-GB"/>
        </w:rPr>
        <w:t>Introduction</w:t>
      </w:r>
    </w:p>
    <w:p w14:paraId="4B8A0C54" w14:textId="77777777" w:rsidR="00F9568A" w:rsidRDefault="00E8434C">
      <w:pPr>
        <w:spacing w:line="360" w:lineRule="auto"/>
        <w:ind w:firstLineChars="200" w:firstLine="480"/>
        <w:rPr>
          <w:lang w:val="en-GB"/>
        </w:rPr>
      </w:pPr>
      <w:r>
        <w:rPr>
          <w:lang w:val="en-GB"/>
        </w:rPr>
        <w:t xml:space="preserve">This study explored the impact of the novel coronavirus (COVID-19) on people living with dementia. The study is motivated by the fact that there has been serious talks </w:t>
      </w:r>
      <w:r>
        <w:rPr>
          <w:lang w:val="en-GB"/>
        </w:rPr>
        <w:t>around the severity of the deadly pandemic on the old aged, who are normally victims of dementia. A qualitative desktop approach was adopted, looking into United Kingdom based studies of the pandemic to people living with dementia, the old aged and other c</w:t>
      </w:r>
      <w:r>
        <w:rPr>
          <w:lang w:val="en-GB"/>
        </w:rPr>
        <w:t>o-morbidities. In terms of data analysis, the study focused on existing data to proffer policy recommendations on health and social care to take care of people living with dementia in the wake of the surging fourth wave of COVID-19, scientifically known as</w:t>
      </w:r>
      <w:r>
        <w:rPr>
          <w:lang w:val="en-GB"/>
        </w:rPr>
        <w:t xml:space="preserve"> the Omicron variant. The research report will proceed with an outline of the aims, objectives, background, methodology and ethical considerations before presenting the findings of the research.</w:t>
      </w:r>
    </w:p>
    <w:p w14:paraId="0A07DFFD" w14:textId="77777777" w:rsidR="00F9568A" w:rsidRDefault="00E8434C">
      <w:pPr>
        <w:pStyle w:val="Heading3"/>
        <w:rPr>
          <w:lang w:val="en-GB"/>
        </w:rPr>
      </w:pPr>
      <w:r>
        <w:rPr>
          <w:lang w:val="en-GB"/>
        </w:rPr>
        <w:t>1.1Aim</w:t>
      </w:r>
    </w:p>
    <w:p w14:paraId="6B28AED8" w14:textId="77777777" w:rsidR="00F9568A" w:rsidRDefault="00E8434C">
      <w:pPr>
        <w:spacing w:line="360" w:lineRule="auto"/>
        <w:rPr>
          <w:lang w:val="en-GB"/>
        </w:rPr>
      </w:pPr>
      <w:r>
        <w:rPr>
          <w:lang w:val="en-GB"/>
        </w:rPr>
        <w:t>The aim of this research study was to explore the seve</w:t>
      </w:r>
      <w:r>
        <w:rPr>
          <w:lang w:val="en-GB"/>
        </w:rPr>
        <w:t>rity of COVID-19 to people living with dementia in the United Kingdom.</w:t>
      </w:r>
    </w:p>
    <w:p w14:paraId="12C88EAE" w14:textId="77777777" w:rsidR="00F9568A" w:rsidRDefault="00E8434C">
      <w:pPr>
        <w:pStyle w:val="Heading3"/>
        <w:rPr>
          <w:lang w:val="en-GB"/>
        </w:rPr>
      </w:pPr>
      <w:r>
        <w:rPr>
          <w:lang w:val="en-GB"/>
        </w:rPr>
        <w:t xml:space="preserve">1.2 Objectives </w:t>
      </w:r>
    </w:p>
    <w:p w14:paraId="33166694" w14:textId="77777777" w:rsidR="00F9568A" w:rsidRDefault="00E8434C">
      <w:pPr>
        <w:spacing w:line="360" w:lineRule="auto"/>
        <w:rPr>
          <w:lang w:val="en-GB"/>
        </w:rPr>
      </w:pPr>
      <w:r>
        <w:rPr>
          <w:lang w:val="en-GB"/>
        </w:rPr>
        <w:t>The following constituted the objectives of the study;</w:t>
      </w:r>
    </w:p>
    <w:p w14:paraId="7D6A0C89" w14:textId="77777777" w:rsidR="00F9568A" w:rsidRDefault="00E8434C">
      <w:pPr>
        <w:numPr>
          <w:ilvl w:val="0"/>
          <w:numId w:val="12"/>
        </w:numPr>
        <w:spacing w:line="360" w:lineRule="auto"/>
        <w:rPr>
          <w:lang w:val="en-GB"/>
        </w:rPr>
      </w:pPr>
      <w:r>
        <w:rPr>
          <w:lang w:val="en-GB"/>
        </w:rPr>
        <w:t>To trace the impact of COVID-19 to people living with dementia in the United Kingdom</w:t>
      </w:r>
    </w:p>
    <w:p w14:paraId="686FDCA0" w14:textId="77777777" w:rsidR="00F9568A" w:rsidRDefault="00E8434C">
      <w:pPr>
        <w:numPr>
          <w:ilvl w:val="0"/>
          <w:numId w:val="12"/>
        </w:numPr>
        <w:spacing w:line="360" w:lineRule="auto"/>
        <w:rPr>
          <w:lang w:val="en-GB"/>
        </w:rPr>
      </w:pPr>
      <w:r>
        <w:rPr>
          <w:lang w:val="en-GB"/>
        </w:rPr>
        <w:t>To unpack the genesis and dev</w:t>
      </w:r>
      <w:r>
        <w:rPr>
          <w:lang w:val="en-GB"/>
        </w:rPr>
        <w:t>elopment of the COVID-19 to people living with co-morbidities and the old aged including people living with dementia</w:t>
      </w:r>
    </w:p>
    <w:p w14:paraId="266FE5E1" w14:textId="77777777" w:rsidR="00F9568A" w:rsidRDefault="00E8434C">
      <w:pPr>
        <w:numPr>
          <w:ilvl w:val="0"/>
          <w:numId w:val="12"/>
        </w:numPr>
        <w:spacing w:line="360" w:lineRule="auto"/>
        <w:rPr>
          <w:lang w:val="en-GB"/>
        </w:rPr>
      </w:pPr>
      <w:r>
        <w:rPr>
          <w:lang w:val="en-GB"/>
        </w:rPr>
        <w:t>To explore ways in which the government can enhance policy and health social care practice</w:t>
      </w:r>
    </w:p>
    <w:p w14:paraId="2DD2B6F7" w14:textId="77777777" w:rsidR="00F9568A" w:rsidRDefault="00E8434C">
      <w:pPr>
        <w:pStyle w:val="Heading2"/>
        <w:numPr>
          <w:ilvl w:val="0"/>
          <w:numId w:val="13"/>
        </w:numPr>
        <w:rPr>
          <w:lang w:val="en-GB"/>
        </w:rPr>
      </w:pPr>
      <w:r>
        <w:rPr>
          <w:lang w:val="en-GB"/>
        </w:rPr>
        <w:t>Background and Literature Underpinnings</w:t>
      </w:r>
    </w:p>
    <w:p w14:paraId="07C1ED7D" w14:textId="77777777" w:rsidR="00F9568A" w:rsidRDefault="00E8434C">
      <w:pPr>
        <w:spacing w:line="360" w:lineRule="auto"/>
        <w:ind w:firstLineChars="200" w:firstLine="480"/>
        <w:rPr>
          <w:lang w:val="en-GB"/>
        </w:rPr>
      </w:pPr>
      <w:r>
        <w:rPr>
          <w:lang w:val="en-GB"/>
        </w:rPr>
        <w:t>The Coro</w:t>
      </w:r>
      <w:r>
        <w:rPr>
          <w:lang w:val="en-GB"/>
        </w:rPr>
        <w:t>navirus pandemic (COVID-19) first emerged in the Chinese province called Hubei, in Wuhan city in December 2019 and declared a Public Health Emergency by the World Health Organisation (WHO) on the 30</w:t>
      </w:r>
      <w:r>
        <w:rPr>
          <w:vertAlign w:val="superscript"/>
          <w:lang w:val="en-GB"/>
        </w:rPr>
        <w:t>th</w:t>
      </w:r>
      <w:r>
        <w:rPr>
          <w:lang w:val="en-GB"/>
        </w:rPr>
        <w:t xml:space="preserve"> of January 2020 before the global health watch further </w:t>
      </w:r>
      <w:r>
        <w:rPr>
          <w:lang w:val="en-GB"/>
        </w:rPr>
        <w:t xml:space="preserve">declared it a pandemic on 11 March 2020 </w:t>
      </w:r>
      <w:r>
        <w:rPr>
          <w:lang w:val="en-GB"/>
        </w:rPr>
        <w:lastRenderedPageBreak/>
        <w:t xml:space="preserve">(WHO 2020a). </w:t>
      </w:r>
      <w:proofErr w:type="spellStart"/>
      <w:r>
        <w:rPr>
          <w:lang w:val="en-GB"/>
        </w:rPr>
        <w:t>Kundnani</w:t>
      </w:r>
      <w:proofErr w:type="spellEnd"/>
      <w:r>
        <w:rPr>
          <w:lang w:val="en-GB"/>
        </w:rPr>
        <w:t xml:space="preserve"> (2020) posited that the emergence of COVID-19 and the subsequent spread in Europe has disrupted the normal socio-economic developments that would adversely affect the most vulnerable in society,</w:t>
      </w:r>
      <w:r>
        <w:rPr>
          <w:lang w:val="en-GB"/>
        </w:rPr>
        <w:t xml:space="preserve"> who, in this case could be described as those living with co-morbidities like dementia and the old aged. This assertion is buttressed by the fact that the WHO (2020a) provided that children are less susceptible to the virus compared to their elder counter</w:t>
      </w:r>
      <w:r>
        <w:rPr>
          <w:lang w:val="en-GB"/>
        </w:rPr>
        <w:t>parts. Being declared a global pandemic merited a closer scrutiny on how the pandemic would affect different demographic groups in society. On the onset at least, it is apparent that the dreaded virus has been less virulent to the younger people, leaving m</w:t>
      </w:r>
      <w:r>
        <w:rPr>
          <w:lang w:val="en-GB"/>
        </w:rPr>
        <w:t>edical practitioners and scientists to determine how it would affect those most at risk.</w:t>
      </w:r>
    </w:p>
    <w:p w14:paraId="35C07A06" w14:textId="77777777" w:rsidR="00F9568A" w:rsidRDefault="00E8434C">
      <w:pPr>
        <w:spacing w:line="360" w:lineRule="auto"/>
        <w:ind w:firstLineChars="200" w:firstLine="480"/>
        <w:rPr>
          <w:lang w:val="en-GB"/>
        </w:rPr>
      </w:pPr>
      <w:r>
        <w:rPr>
          <w:lang w:val="en-GB"/>
        </w:rPr>
        <w:t xml:space="preserve">Since the outbreak of the deadly pandemic, WHO (2020b) provided that, globally, people who are aged 60 years or older experienced a much higher fatality rate compared </w:t>
      </w:r>
      <w:r>
        <w:rPr>
          <w:lang w:val="en-GB"/>
        </w:rPr>
        <w:t>to the younger ones. In Japan, Australia and the Republic of Korea, 80% of those who are aged 80 or over succumbed to the deadly pandemic by mid 2020. This shows that those who are more susceptible to dementia automatically found themselves at risk of succ</w:t>
      </w:r>
      <w:r>
        <w:rPr>
          <w:lang w:val="en-GB"/>
        </w:rPr>
        <w:t xml:space="preserve">umbing to COVID-19. In Europe at the time of writing, ‘30-60% cases of COVID-19 related deaths were residents of of long term care facilities including older age groups,’ (Danis et al 2020; WHO 2020b). To show the level of concentration of older people in </w:t>
      </w:r>
      <w:r>
        <w:rPr>
          <w:lang w:val="en-GB"/>
        </w:rPr>
        <w:t xml:space="preserve">Long-Term Care Facilities (LTC) </w:t>
      </w:r>
      <w:proofErr w:type="spellStart"/>
      <w:r>
        <w:rPr>
          <w:lang w:val="en-GB"/>
        </w:rPr>
        <w:t>Hayashi</w:t>
      </w:r>
      <w:proofErr w:type="spellEnd"/>
      <w:r>
        <w:rPr>
          <w:lang w:val="en-GB"/>
        </w:rPr>
        <w:t xml:space="preserve"> (2019) provided that in China 2.2% of older people who are aged 65 or older are residents there while the Republic of Korea has 4.1% with Japan’s standing at 5.9%. Given that these countries have higher populations i</w:t>
      </w:r>
      <w:r>
        <w:rPr>
          <w:lang w:val="en-GB"/>
        </w:rPr>
        <w:t>t is concerning that the people who are most susceptible to the ravages of COVID-19 are not only in LTC but in danger of succumbing to the deadly pandemic. It can thus be argued that the older people living in LTC are more likely to be suffering from demen</w:t>
      </w:r>
      <w:r>
        <w:rPr>
          <w:lang w:val="en-GB"/>
        </w:rPr>
        <w:t>tia because it is those ages which are normally crippled by dementia. While the numbers and statistics presented above are global in nature, there is reason to believe that in the United Kingdom, the trends could be similar. This explains why it is importa</w:t>
      </w:r>
      <w:r>
        <w:rPr>
          <w:lang w:val="en-GB"/>
        </w:rPr>
        <w:t>nt to look into the impact of COVID-19 to people living with dementia in the United Kingdom.</w:t>
      </w:r>
    </w:p>
    <w:p w14:paraId="34161910" w14:textId="77777777" w:rsidR="00F9568A" w:rsidRDefault="00E8434C">
      <w:pPr>
        <w:spacing w:line="360" w:lineRule="auto"/>
        <w:ind w:firstLineChars="200" w:firstLine="480"/>
        <w:rPr>
          <w:lang w:val="en-GB"/>
        </w:rPr>
      </w:pPr>
      <w:r>
        <w:rPr>
          <w:lang w:val="en-GB"/>
        </w:rPr>
        <w:t>The emergence of COVID-19 has also seen an increase in fatalities among adults who live with non-communicable diseases (WHO (2020a). WHO (2020b) added that ‘people</w:t>
      </w:r>
      <w:r>
        <w:rPr>
          <w:lang w:val="en-GB"/>
        </w:rPr>
        <w:t xml:space="preserve"> with pre-existing conditions such as cardiovascular diseases including hypertension, heart attack, stroke, chronic respiratory disease, obstructive pulmonary disease, diabetes or cancer’ are in danger. While most of these diseases are common </w:t>
      </w:r>
      <w:r>
        <w:rPr>
          <w:lang w:val="en-GB"/>
        </w:rPr>
        <w:lastRenderedPageBreak/>
        <w:t>in old aged p</w:t>
      </w:r>
      <w:r>
        <w:rPr>
          <w:lang w:val="en-GB"/>
        </w:rPr>
        <w:t xml:space="preserve">eople, it is reasonable that available COVID-19 statistics recorded more fatalities concentrated in the old aged people. Dementia, another disease which is common in old people, cannot be ruled out in terms of adverse effects when it comes to dealing with </w:t>
      </w:r>
      <w:r>
        <w:rPr>
          <w:lang w:val="en-GB"/>
        </w:rPr>
        <w:t>the challenges posed by the virulent COVID-19 pandemic. In addition, the United Kingdom (UK) is among the countries to have been severely affected by the pandemic in Europe and the globe at large. The country also has a higher concentration of old aged peo</w:t>
      </w:r>
      <w:r>
        <w:rPr>
          <w:lang w:val="en-GB"/>
        </w:rPr>
        <w:t xml:space="preserve">ple who potentially live with dementia.     </w:t>
      </w:r>
    </w:p>
    <w:p w14:paraId="4ECC4F55" w14:textId="77777777" w:rsidR="00F9568A" w:rsidRDefault="00E8434C">
      <w:pPr>
        <w:pStyle w:val="Heading3"/>
        <w:rPr>
          <w:lang w:val="en-GB"/>
        </w:rPr>
      </w:pPr>
      <w:r>
        <w:rPr>
          <w:lang w:val="en-GB"/>
        </w:rPr>
        <w:t>2.1 Rationale of the Research</w:t>
      </w:r>
    </w:p>
    <w:p w14:paraId="0F0C4586" w14:textId="77777777" w:rsidR="00F9568A" w:rsidRDefault="00E8434C">
      <w:pPr>
        <w:spacing w:line="360" w:lineRule="auto"/>
        <w:ind w:firstLineChars="200" w:firstLine="480"/>
        <w:rPr>
          <w:lang w:val="en-GB"/>
        </w:rPr>
      </w:pPr>
      <w:r>
        <w:rPr>
          <w:lang w:val="en-GB"/>
        </w:rPr>
        <w:t>To date, John Hopkins University (2022) in its daily tracking of the virulent COVID-19 pandemic, recorded that as at 05 January 2022, over 295 million people world over have been in</w:t>
      </w:r>
      <w:r>
        <w:rPr>
          <w:lang w:val="en-GB"/>
        </w:rPr>
        <w:t>fected while over 5.4 million succumbed to the virus. In United Kingdom alone, 13.6 million people had been infected, while nearly 149, 000 people had died (</w:t>
      </w:r>
      <w:r>
        <w:rPr>
          <w:lang w:val="en-GB"/>
        </w:rPr>
        <w:tab/>
        <w:t xml:space="preserve">Ibid). These statistics put the UK on fourth place in terms of number of infections in the world, </w:t>
      </w:r>
      <w:r>
        <w:rPr>
          <w:lang w:val="en-GB"/>
        </w:rPr>
        <w:t xml:space="preserve">behind the United States of America (USA), India and Brazil. If the statistics presented by John Hopkins University have anything to go by, then the assertion by WHO (2020b) must be treated with not only commitment but duty of care for the old aged people </w:t>
      </w:r>
      <w:r>
        <w:rPr>
          <w:lang w:val="en-GB"/>
        </w:rPr>
        <w:t>in the community. They are found to be the hardest hit by the pandemic. It is therefore important to unpack how those infections have had an impact on people living with dementia in the UK. Due to the fact that the UK is among the most COVID-19 infected, r</w:t>
      </w:r>
      <w:r>
        <w:rPr>
          <w:lang w:val="en-GB"/>
        </w:rPr>
        <w:t xml:space="preserve">ecorded many fatalities and has a fair share of old people, some of whom living with dementia, it is not unreasonable to have a closer look. The following section thus outlines the data collection methodology and process. </w:t>
      </w:r>
    </w:p>
    <w:p w14:paraId="64D3F0C2" w14:textId="77777777" w:rsidR="00F9568A" w:rsidRDefault="00E8434C">
      <w:pPr>
        <w:pStyle w:val="Heading2"/>
        <w:numPr>
          <w:ilvl w:val="0"/>
          <w:numId w:val="14"/>
        </w:numPr>
        <w:rPr>
          <w:lang w:val="en-GB"/>
        </w:rPr>
      </w:pPr>
      <w:r>
        <w:rPr>
          <w:lang w:val="en-GB"/>
        </w:rPr>
        <w:t>Data Collection</w:t>
      </w:r>
    </w:p>
    <w:p w14:paraId="31C81C77" w14:textId="77777777" w:rsidR="00F9568A" w:rsidRDefault="00E8434C">
      <w:pPr>
        <w:spacing w:line="360" w:lineRule="auto"/>
        <w:ind w:firstLineChars="200" w:firstLine="480"/>
        <w:rPr>
          <w:lang w:val="en-GB"/>
        </w:rPr>
      </w:pPr>
      <w:r>
        <w:rPr>
          <w:lang w:val="en-GB"/>
        </w:rPr>
        <w:t xml:space="preserve">In this research </w:t>
      </w:r>
      <w:r>
        <w:rPr>
          <w:lang w:val="en-GB"/>
        </w:rPr>
        <w:t xml:space="preserve">study a desktop research was used to collect data, mainly from COVID-19 related UK published articles. According to Zhou and </w:t>
      </w:r>
      <w:proofErr w:type="spellStart"/>
      <w:r>
        <w:rPr>
          <w:lang w:val="en-GB"/>
        </w:rPr>
        <w:t>Nunes</w:t>
      </w:r>
      <w:proofErr w:type="spellEnd"/>
      <w:r>
        <w:rPr>
          <w:lang w:val="en-GB"/>
        </w:rPr>
        <w:t xml:space="preserve"> (2016), desktop research is a process by which data is collected from published secondary data without going to the field to </w:t>
      </w:r>
      <w:r>
        <w:rPr>
          <w:lang w:val="en-GB"/>
        </w:rPr>
        <w:t>collect primary data. In other words, desktop research relies more on engagement with existing literature. In this study therefore published secondary data published in the UK had been accessed using a search for two key words, Dementia and COVID-19. The t</w:t>
      </w:r>
      <w:r>
        <w:rPr>
          <w:lang w:val="en-GB"/>
        </w:rPr>
        <w:t xml:space="preserve">wo key words would then lead to a plethora of COVID-19 and old age related studies. Those that covered the UK would </w:t>
      </w:r>
      <w:r>
        <w:rPr>
          <w:lang w:val="en-GB"/>
        </w:rPr>
        <w:lastRenderedPageBreak/>
        <w:t>be considered. Five articles originated from the UK had thus been used as key data sources.</w:t>
      </w:r>
    </w:p>
    <w:p w14:paraId="64F8E0D6" w14:textId="77777777" w:rsidR="00F9568A" w:rsidRDefault="00E8434C">
      <w:pPr>
        <w:pStyle w:val="Heading3"/>
        <w:rPr>
          <w:lang w:val="en-GB"/>
        </w:rPr>
      </w:pPr>
      <w:r>
        <w:rPr>
          <w:lang w:val="en-GB"/>
        </w:rPr>
        <w:t>3.1 Data Analysis</w:t>
      </w:r>
    </w:p>
    <w:p w14:paraId="3AD66941" w14:textId="77777777" w:rsidR="00F9568A" w:rsidRDefault="00E8434C">
      <w:pPr>
        <w:spacing w:line="360" w:lineRule="auto"/>
        <w:ind w:firstLineChars="200" w:firstLine="480"/>
        <w:rPr>
          <w:lang w:val="en-GB"/>
        </w:rPr>
      </w:pPr>
      <w:r>
        <w:rPr>
          <w:lang w:val="en-GB"/>
        </w:rPr>
        <w:t>To analyse the data that was c</w:t>
      </w:r>
      <w:r>
        <w:rPr>
          <w:lang w:val="en-GB"/>
        </w:rPr>
        <w:t>ollected, a summative approach to content analysis was employed, which effectively identifies keywords that would help in determining emerging and existing themes in the study (</w:t>
      </w:r>
      <w:proofErr w:type="spellStart"/>
      <w:r>
        <w:rPr>
          <w:lang w:val="en-GB"/>
        </w:rPr>
        <w:t>Hsieh</w:t>
      </w:r>
      <w:proofErr w:type="spellEnd"/>
      <w:r>
        <w:rPr>
          <w:lang w:val="en-GB"/>
        </w:rPr>
        <w:t xml:space="preserve"> and Shannon 2005). In this study therefore, the key words are dementia, C</w:t>
      </w:r>
      <w:r>
        <w:rPr>
          <w:lang w:val="en-GB"/>
        </w:rPr>
        <w:t>OVID-19 and United Kingdom. In addition, the general policy and health social care developments in the United Kingdom would be used to analyse the data in relation to government policy on healthcare particularly the old aged who may be living with pre-exis</w:t>
      </w:r>
      <w:r>
        <w:rPr>
          <w:lang w:val="en-GB"/>
        </w:rPr>
        <w:t xml:space="preserve">ting conditions like dementia. </w:t>
      </w:r>
    </w:p>
    <w:p w14:paraId="4E90B196" w14:textId="77777777" w:rsidR="00F9568A" w:rsidRDefault="00E8434C">
      <w:pPr>
        <w:pStyle w:val="Heading3"/>
        <w:rPr>
          <w:lang w:val="en-GB"/>
        </w:rPr>
      </w:pPr>
      <w:r>
        <w:rPr>
          <w:lang w:val="en-GB"/>
        </w:rPr>
        <w:t>3.2 Ethical Considerations</w:t>
      </w:r>
    </w:p>
    <w:p w14:paraId="1FF9B291" w14:textId="77777777" w:rsidR="00F9568A" w:rsidRDefault="00E8434C">
      <w:pPr>
        <w:spacing w:line="360" w:lineRule="auto"/>
        <w:ind w:firstLineChars="200" w:firstLine="480"/>
        <w:rPr>
          <w:lang w:val="en-GB"/>
        </w:rPr>
      </w:pPr>
      <w:r>
        <w:rPr>
          <w:lang w:val="en-GB"/>
        </w:rPr>
        <w:t>Adherence to ethics was highly observed in this study. In the words of Morris (2015), this research was conducted in adherence to ethics to ‘</w:t>
      </w:r>
      <w:r>
        <w:rPr>
          <w:rFonts w:cs="Times New Roman"/>
        </w:rPr>
        <w:t>promote the aims of research (knowledge, truth, avoidanc</w:t>
      </w:r>
      <w:r>
        <w:rPr>
          <w:rFonts w:cs="Times New Roman"/>
        </w:rPr>
        <w:t>e of error) and the values that are essential to collaborative work (trust, accountability, mutual respect, fairness)</w:t>
      </w:r>
      <w:r>
        <w:rPr>
          <w:rFonts w:cs="Times New Roman"/>
          <w:lang w:val="en-GB"/>
        </w:rPr>
        <w:t xml:space="preserve">.’ In view of this assertion therefore, the research made sure that all literature sources that had been used were duly and professionally </w:t>
      </w:r>
      <w:r>
        <w:rPr>
          <w:rFonts w:cs="Times New Roman"/>
          <w:lang w:val="en-GB"/>
        </w:rPr>
        <w:t>acknowledged. There was no attempt whatsoever to commit academic crimes at the expense of truth, mutual respect, particularly to previous research studies around the subject and fairness. With these realities, it is important to delve into the results of t</w:t>
      </w:r>
      <w:r>
        <w:rPr>
          <w:rFonts w:cs="Times New Roman"/>
          <w:lang w:val="en-GB"/>
        </w:rPr>
        <w:t>he study now.</w:t>
      </w:r>
    </w:p>
    <w:p w14:paraId="49442DCE" w14:textId="77777777" w:rsidR="00F9568A" w:rsidRDefault="00E8434C">
      <w:pPr>
        <w:pStyle w:val="Heading2"/>
        <w:numPr>
          <w:ilvl w:val="0"/>
          <w:numId w:val="15"/>
        </w:numPr>
        <w:rPr>
          <w:lang w:val="en-GB"/>
        </w:rPr>
      </w:pPr>
      <w:r>
        <w:rPr>
          <w:lang w:val="en-GB"/>
        </w:rPr>
        <w:t>Results</w:t>
      </w:r>
    </w:p>
    <w:p w14:paraId="579E1C77" w14:textId="77777777" w:rsidR="00F9568A" w:rsidRDefault="00E8434C">
      <w:pPr>
        <w:spacing w:line="360" w:lineRule="auto"/>
        <w:ind w:firstLineChars="200" w:firstLine="480"/>
        <w:rPr>
          <w:lang w:val="en-GB"/>
        </w:rPr>
      </w:pPr>
      <w:r>
        <w:rPr>
          <w:lang w:val="en-GB"/>
        </w:rPr>
        <w:t>This section presents and analyses the findings of the research study. To do justice to the findings, it is important to pinpoint that the study rigorously engaged five studies that had been carried out by UK scholars, charities and o</w:t>
      </w:r>
      <w:r>
        <w:rPr>
          <w:lang w:val="en-GB"/>
        </w:rPr>
        <w:t>rganisations on the impact of COVID-19 on people living with pre-existing conditions including dementia. To be able to arrange data, the research identified themes such as death, financial risk, mental health challenges, loss of mobility, reduced social su</w:t>
      </w:r>
      <w:r>
        <w:rPr>
          <w:lang w:val="en-GB"/>
        </w:rPr>
        <w:t>pport networks among others. In this section therefore, results are presented, juxtaposed with analysis.</w:t>
      </w:r>
    </w:p>
    <w:p w14:paraId="67B6D8E5" w14:textId="77777777" w:rsidR="00F9568A" w:rsidRDefault="00E8434C">
      <w:pPr>
        <w:pStyle w:val="Heading3"/>
        <w:rPr>
          <w:lang w:val="en-GB"/>
        </w:rPr>
      </w:pPr>
      <w:r>
        <w:rPr>
          <w:lang w:val="en-GB"/>
        </w:rPr>
        <w:t>4.1 Implications of COVID-19 on dementia patients in the UK</w:t>
      </w:r>
    </w:p>
    <w:p w14:paraId="6CABB6F5" w14:textId="77777777" w:rsidR="00F9568A" w:rsidRDefault="00E8434C">
      <w:pPr>
        <w:spacing w:line="360" w:lineRule="auto"/>
        <w:rPr>
          <w:lang w:val="en-GB"/>
        </w:rPr>
      </w:pPr>
      <w:r>
        <w:rPr>
          <w:lang w:val="en-GB"/>
        </w:rPr>
        <w:t xml:space="preserve">The literature that has been engaged demonstrate that indeed, dementia patients were </w:t>
      </w:r>
      <w:r>
        <w:rPr>
          <w:lang w:val="en-GB"/>
        </w:rPr>
        <w:t>adversely affected by the virulent pandemic than many other conditions.</w:t>
      </w:r>
    </w:p>
    <w:p w14:paraId="1296D92E" w14:textId="77777777" w:rsidR="00F9568A" w:rsidRDefault="00E8434C">
      <w:pPr>
        <w:pStyle w:val="Heading4"/>
        <w:rPr>
          <w:lang w:val="en-GB"/>
        </w:rPr>
      </w:pPr>
      <w:r>
        <w:rPr>
          <w:lang w:val="en-GB"/>
        </w:rPr>
        <w:lastRenderedPageBreak/>
        <w:t>4.1.1 Theme 1: Death</w:t>
      </w:r>
    </w:p>
    <w:p w14:paraId="40167D12" w14:textId="77777777" w:rsidR="00F9568A" w:rsidRDefault="00E8434C">
      <w:pPr>
        <w:spacing w:line="360" w:lineRule="auto"/>
        <w:ind w:firstLineChars="200" w:firstLine="480"/>
        <w:rPr>
          <w:lang w:val="en-GB"/>
        </w:rPr>
      </w:pPr>
      <w:r>
        <w:rPr>
          <w:lang w:val="en-GB"/>
        </w:rPr>
        <w:t xml:space="preserve">Dementia patients have been found to be at risk of succumbing to the COVID-19 pandemic. The research that was conducted by </w:t>
      </w:r>
      <w:proofErr w:type="spellStart"/>
      <w:r>
        <w:rPr>
          <w:lang w:val="en-GB"/>
        </w:rPr>
        <w:t>Giebel</w:t>
      </w:r>
      <w:proofErr w:type="spellEnd"/>
      <w:r>
        <w:rPr>
          <w:lang w:val="en-GB"/>
        </w:rPr>
        <w:t xml:space="preserve"> et al (2020) revealed that people</w:t>
      </w:r>
      <w:r>
        <w:rPr>
          <w:lang w:val="en-GB"/>
        </w:rPr>
        <w:t xml:space="preserve"> living with dementia had challenges wearing protecting gear such as personal protective equipment. The most popular personal protective equipment that have been in use during the fight against COVID-19 in the UK and the rest of the world are face masks, c</w:t>
      </w:r>
      <w:r>
        <w:rPr>
          <w:lang w:val="en-GB"/>
        </w:rPr>
        <w:t>overalls, shields and hand sanitisers. Dementia often causes people to lose concentration and forget about protecting themselves during the pandemic. By May 2020, the Alzheimer’s Research UK (2020) published that 18% of all COVID-19 deaths in the United Ki</w:t>
      </w:r>
      <w:r>
        <w:rPr>
          <w:lang w:val="en-GB"/>
        </w:rPr>
        <w:t>ngdom were living with dementia. The same research indicates that about 54% of people living with dementia have suffered from memory loss during the pandemic in the UK. Memory loss could have had a negative effect on the number of fatalities because when P</w:t>
      </w:r>
      <w:r>
        <w:rPr>
          <w:lang w:val="en-GB"/>
        </w:rPr>
        <w:t>eople Living With Dementia (PLWD) lose memory it is less likely that they would consider wearing face masks and other other measures that minimise the risk of infection.</w:t>
      </w:r>
    </w:p>
    <w:p w14:paraId="39C900B1" w14:textId="77777777" w:rsidR="00F9568A" w:rsidRDefault="00E8434C">
      <w:pPr>
        <w:pStyle w:val="Heading4"/>
        <w:rPr>
          <w:lang w:val="en-GB"/>
        </w:rPr>
      </w:pPr>
      <w:r>
        <w:rPr>
          <w:lang w:val="en-GB"/>
        </w:rPr>
        <w:t>4.1.2 Theme 2: Loss of Mobility</w:t>
      </w:r>
    </w:p>
    <w:p w14:paraId="6F2C6861" w14:textId="77777777" w:rsidR="00F9568A" w:rsidRDefault="00E8434C">
      <w:pPr>
        <w:spacing w:line="360" w:lineRule="auto"/>
        <w:ind w:firstLineChars="200" w:firstLine="480"/>
        <w:rPr>
          <w:lang w:val="en-GB"/>
        </w:rPr>
      </w:pPr>
      <w:r>
        <w:rPr>
          <w:lang w:val="en-GB"/>
        </w:rPr>
        <w:t>While a fair share of PLWD have lost their lives durin</w:t>
      </w:r>
      <w:r>
        <w:rPr>
          <w:lang w:val="en-GB"/>
        </w:rPr>
        <w:t>g the COVID-19 pandemic in the UK, a big number have been immobile. In a survey conducted by Age UK (2020) it was discovered that many PLWD in the UK had lost their function on account of reduced ‘mobility and balance especially as a result of moving aroun</w:t>
      </w:r>
      <w:r>
        <w:rPr>
          <w:lang w:val="en-GB"/>
        </w:rPr>
        <w:t>d less, pain from untreated condition of dementia.’ Loss of mobility is attributable to successive lockdowns that the United Kingdom imposed to stop the spread of the virus. Alzheimer’s Society (2020) reported in July 2020 that of the PLWD who were adverse</w:t>
      </w:r>
      <w:r>
        <w:rPr>
          <w:lang w:val="en-GB"/>
        </w:rPr>
        <w:t>ly affected by the lockdown and loss of mobility, 49% suffered from restlessness or agitation, stress or depression also affected 46% of people living with dementia across the UK. From these studies, it can be deduced that successive lockdowns have had a n</w:t>
      </w:r>
      <w:r>
        <w:rPr>
          <w:lang w:val="en-GB"/>
        </w:rPr>
        <w:t>egative impact on PLWD as they saw their mobility significantly reduced which further compounded by depression and agitation. This shows that when PLWD survive death scare, they still face other challenges.</w:t>
      </w:r>
    </w:p>
    <w:p w14:paraId="15AD4887" w14:textId="77777777" w:rsidR="00F9568A" w:rsidRDefault="00E8434C">
      <w:pPr>
        <w:pStyle w:val="Heading4"/>
        <w:rPr>
          <w:lang w:val="en-GB"/>
        </w:rPr>
      </w:pPr>
      <w:r>
        <w:rPr>
          <w:lang w:val="en-GB"/>
        </w:rPr>
        <w:t xml:space="preserve">4.1.3 Theme 3: Mental Health Challenges </w:t>
      </w:r>
    </w:p>
    <w:p w14:paraId="33C41D1D" w14:textId="77777777" w:rsidR="00F9568A" w:rsidRDefault="00E8434C">
      <w:pPr>
        <w:spacing w:line="360" w:lineRule="auto"/>
        <w:ind w:firstLineChars="200" w:firstLine="480"/>
        <w:rPr>
          <w:lang w:val="en-GB"/>
        </w:rPr>
      </w:pPr>
      <w:r>
        <w:rPr>
          <w:lang w:val="en-GB"/>
        </w:rPr>
        <w:t>The resu</w:t>
      </w:r>
      <w:r>
        <w:rPr>
          <w:lang w:val="en-GB"/>
        </w:rPr>
        <w:t xml:space="preserve">lts of the research that was conducted by Alzheimer’s Society (2020) further demonstrates that 46% of PLWD had their mental health deteriorate. To test the veracity of this discovery, </w:t>
      </w:r>
      <w:proofErr w:type="spellStart"/>
      <w:r>
        <w:rPr>
          <w:lang w:val="en-GB"/>
        </w:rPr>
        <w:t>Giebel</w:t>
      </w:r>
      <w:proofErr w:type="spellEnd"/>
      <w:r>
        <w:rPr>
          <w:lang w:val="en-GB"/>
        </w:rPr>
        <w:t xml:space="preserve"> et al (2021) also found out that anxiety was at </w:t>
      </w:r>
      <w:r>
        <w:rPr>
          <w:lang w:val="en-GB"/>
        </w:rPr>
        <w:lastRenderedPageBreak/>
        <w:t>33% while depress</w:t>
      </w:r>
      <w:r>
        <w:rPr>
          <w:lang w:val="en-GB"/>
        </w:rPr>
        <w:t xml:space="preserve">ion was 48% among people living with dementia in the UK. Clearly, these two depression related results indicate that indeed the surveys were correct and that people living with dementia were under threat from mental health challenges when COVID-19 hit the </w:t>
      </w:r>
      <w:r>
        <w:rPr>
          <w:lang w:val="en-GB"/>
        </w:rPr>
        <w:t>borders of the UK. There are several reasons to explain the significant increase in mental health problems among people living with dementia. Mental health challenges could have been caused by lack of mobility.The same research pointed out that one in thre</w:t>
      </w:r>
      <w:r>
        <w:rPr>
          <w:lang w:val="en-GB"/>
        </w:rPr>
        <w:t>e people living with dementia lost the confidence to go out as well as performing daily chores. This led to a mental break down among dementia patients. Sriram, Jenkinson and Peters (2021) also found in their survey that the change in lifestyle on both PLW</w:t>
      </w:r>
      <w:r>
        <w:rPr>
          <w:lang w:val="en-GB"/>
        </w:rPr>
        <w:t>D and carers has caused serious mental health problems in the UK. From the survey, the researchers found out a majority of dementia patients who had to remain confined to same places had mental breakdowns which not only increased the chances of death among</w:t>
      </w:r>
      <w:r>
        <w:rPr>
          <w:lang w:val="en-GB"/>
        </w:rPr>
        <w:t xml:space="preserve"> those who would have contracted the virus and remained out of hospital but those who were taking care of them on a daily basis.</w:t>
      </w:r>
    </w:p>
    <w:p w14:paraId="059DB29D" w14:textId="77777777" w:rsidR="00F9568A" w:rsidRDefault="00E8434C">
      <w:pPr>
        <w:pStyle w:val="Heading4"/>
        <w:rPr>
          <w:lang w:val="en-GB"/>
        </w:rPr>
      </w:pPr>
      <w:r>
        <w:rPr>
          <w:lang w:val="en-GB"/>
        </w:rPr>
        <w:t xml:space="preserve">4.1.4 Theme 4: Reduced Social Support Networks </w:t>
      </w:r>
    </w:p>
    <w:p w14:paraId="0DD9D2AE" w14:textId="77777777" w:rsidR="00F9568A" w:rsidRDefault="00E8434C">
      <w:pPr>
        <w:spacing w:line="360" w:lineRule="auto"/>
        <w:ind w:firstLineChars="200" w:firstLine="480"/>
        <w:rPr>
          <w:lang w:val="en-GB"/>
        </w:rPr>
      </w:pPr>
      <w:r>
        <w:rPr>
          <w:lang w:val="en-GB"/>
        </w:rPr>
        <w:t>Another salient feature from the obtaining studies is reduced social support ne</w:t>
      </w:r>
      <w:r>
        <w:rPr>
          <w:lang w:val="en-GB"/>
        </w:rPr>
        <w:t>tworks on people living with dementia. Sriram, Jenkinson and Peters (2021) posited that there was a significant drop in in-person visits to carers who were taking care of people living with dementia when successive lockdowns had been imposed in the UK. The</w:t>
      </w:r>
      <w:r>
        <w:rPr>
          <w:lang w:val="en-GB"/>
        </w:rPr>
        <w:t xml:space="preserve"> reduction in in-person visits resulted in 56% of people living with dementia feeling lonelier than they were before the pandemic (Alzheimer’s Society 2020). The Age UK (2020) also discovered that lack of social support on account of reduced in-person visi</w:t>
      </w:r>
      <w:r>
        <w:rPr>
          <w:lang w:val="en-GB"/>
        </w:rPr>
        <w:t>ts has impacted on older people’s diet through less time preparing meals, increased pain and deteriorating physical health. Without the support of those who would visit their relatives and loved ones, dementia patients would lose appetite and the motivatio</w:t>
      </w:r>
      <w:r>
        <w:rPr>
          <w:lang w:val="en-GB"/>
        </w:rPr>
        <w:t>n to eat food. The net effect of this is that they faced the danger of starving to death (Ibid). From the foregoing, it can be deduced that COVID-19 presented multiple challenges to PLWD. Those who survived infection unfortunately found themselves isolated</w:t>
      </w:r>
      <w:r>
        <w:rPr>
          <w:lang w:val="en-GB"/>
        </w:rPr>
        <w:t xml:space="preserve"> from their support pillars who are critical in their management and survival all these years.</w:t>
      </w:r>
    </w:p>
    <w:p w14:paraId="7874260A" w14:textId="77777777" w:rsidR="00F9568A" w:rsidRDefault="00E8434C">
      <w:pPr>
        <w:spacing w:line="360" w:lineRule="auto"/>
        <w:ind w:firstLineChars="200" w:firstLine="480"/>
        <w:rPr>
          <w:lang w:val="en-GB"/>
        </w:rPr>
      </w:pPr>
      <w:r>
        <w:rPr>
          <w:lang w:val="en-GB"/>
        </w:rPr>
        <w:t>In addition, reduced family support and in-person visits to carers who were taking care of PLWD has had negative impact on physical health. From a survey conduct</w:t>
      </w:r>
      <w:r>
        <w:rPr>
          <w:lang w:val="en-GB"/>
        </w:rPr>
        <w:t xml:space="preserve">ed by the Age UK, two relatives of dementia patients posited that, </w:t>
      </w:r>
    </w:p>
    <w:p w14:paraId="1AE43CC1" w14:textId="77777777" w:rsidR="00F9568A" w:rsidRDefault="00E8434C">
      <w:pPr>
        <w:spacing w:line="360" w:lineRule="auto"/>
        <w:jc w:val="center"/>
        <w:rPr>
          <w:i/>
          <w:iCs/>
          <w:lang w:val="en-GB"/>
        </w:rPr>
      </w:pPr>
      <w:r>
        <w:rPr>
          <w:i/>
          <w:iCs/>
          <w:lang w:val="en-GB"/>
        </w:rPr>
        <w:lastRenderedPageBreak/>
        <w:t>‘My relative has deteriorated considerably during the lockdown. We have not been able to visit her in her flat to help with reminders about eating, sort out cupboards and help with meal pr</w:t>
      </w:r>
      <w:r>
        <w:rPr>
          <w:i/>
          <w:iCs/>
          <w:lang w:val="en-GB"/>
        </w:rPr>
        <w:t>eparation. She has lost weight,’ (A relative of a dementia patient who is aged between 85-89 as surveyed by the Age UK 2020).</w:t>
      </w:r>
    </w:p>
    <w:p w14:paraId="40FB79FA" w14:textId="77777777" w:rsidR="00F9568A" w:rsidRDefault="00E8434C">
      <w:pPr>
        <w:spacing w:line="360" w:lineRule="auto"/>
        <w:rPr>
          <w:lang w:val="en-GB"/>
        </w:rPr>
      </w:pPr>
      <w:r>
        <w:rPr>
          <w:lang w:val="en-GB"/>
        </w:rPr>
        <w:t>In the same survey, a partner of a male aged 70-74 provided that,</w:t>
      </w:r>
    </w:p>
    <w:p w14:paraId="0A8338B3" w14:textId="77777777" w:rsidR="00F9568A" w:rsidRDefault="00E8434C">
      <w:pPr>
        <w:spacing w:line="360" w:lineRule="auto"/>
        <w:jc w:val="center"/>
        <w:rPr>
          <w:i/>
          <w:iCs/>
          <w:lang w:val="en-GB"/>
        </w:rPr>
      </w:pPr>
      <w:r>
        <w:rPr>
          <w:i/>
          <w:iCs/>
          <w:lang w:val="en-GB"/>
        </w:rPr>
        <w:t xml:space="preserve">‘Dementia has accelerated. Now 95% liquid diet, whereas </w:t>
      </w:r>
      <w:r>
        <w:rPr>
          <w:i/>
          <w:iCs/>
          <w:lang w:val="en-GB"/>
        </w:rPr>
        <w:t>before he would eat sandwiches, meals, crisps, cake, biscuits. Now Nothing.’</w:t>
      </w:r>
    </w:p>
    <w:p w14:paraId="6722EC70" w14:textId="77777777" w:rsidR="00F9568A" w:rsidRDefault="00E8434C">
      <w:pPr>
        <w:spacing w:line="360" w:lineRule="auto"/>
        <w:rPr>
          <w:lang w:val="en-GB"/>
        </w:rPr>
      </w:pPr>
      <w:r>
        <w:rPr>
          <w:lang w:val="en-GB"/>
        </w:rPr>
        <w:t>These harrowing accounts are a clear indication that the pandemic has brought with it more distressing situations to people living with dementia and those relatives and carers who</w:t>
      </w:r>
      <w:r>
        <w:rPr>
          <w:lang w:val="en-GB"/>
        </w:rPr>
        <w:t xml:space="preserve"> are committed to helping them. Deterioration in physical health is both a mental and dietary problem as obtaining studies have shown already. One could have mental stress when they are isolated from the people who used to visit them without any restrictio</w:t>
      </w:r>
      <w:r>
        <w:rPr>
          <w:lang w:val="en-GB"/>
        </w:rPr>
        <w:t>ns. It becomes stressing to people living with dementia when, all of a sudden, they cannot chat with those loved ones who have always been with them. Furthermore, those distressing situations cause loss in appetite which further compromises physical health</w:t>
      </w:r>
      <w:r>
        <w:rPr>
          <w:lang w:val="en-GB"/>
        </w:rPr>
        <w:t>. Reduced diet could also be a result of reduced support that relatives and loved ones used to pamper. When restrictions were imposed, it was difficult to work and support PLWD and physically providing the much needed support. There can be no doubt that CO</w:t>
      </w:r>
      <w:r>
        <w:rPr>
          <w:lang w:val="en-GB"/>
        </w:rPr>
        <w:t>VID-19 was a serious threat to the welfare and safety of people living with dementia across the UK. The problem actually transcends the boarders of United Kingdom.</w:t>
      </w:r>
    </w:p>
    <w:p w14:paraId="41D5747B" w14:textId="77777777" w:rsidR="00F9568A" w:rsidRDefault="00E8434C">
      <w:pPr>
        <w:pStyle w:val="Heading4"/>
        <w:rPr>
          <w:lang w:val="en-GB"/>
        </w:rPr>
      </w:pPr>
      <w:r>
        <w:rPr>
          <w:lang w:val="en-GB"/>
        </w:rPr>
        <w:t xml:space="preserve">4.1.5 Theme 5: Financial Constraints </w:t>
      </w:r>
    </w:p>
    <w:p w14:paraId="34E26CD3" w14:textId="77777777" w:rsidR="00F9568A" w:rsidRDefault="00E8434C">
      <w:pPr>
        <w:spacing w:line="360" w:lineRule="auto"/>
        <w:ind w:firstLineChars="200" w:firstLine="480"/>
        <w:rPr>
          <w:lang w:val="en-GB"/>
        </w:rPr>
      </w:pPr>
      <w:r>
        <w:rPr>
          <w:lang w:val="en-GB"/>
        </w:rPr>
        <w:t xml:space="preserve">The studies conducted in the United Kingdom also show </w:t>
      </w:r>
      <w:r>
        <w:rPr>
          <w:lang w:val="en-GB"/>
        </w:rPr>
        <w:t>that there were serious financial constraints brought by the virulent coronavirus pandemic which adversely affected people living with dementia. Due to the fact that some people had been laid off when the pandemic hit the UK, there was a 21% increase in PL</w:t>
      </w:r>
      <w:r>
        <w:rPr>
          <w:lang w:val="en-GB"/>
        </w:rPr>
        <w:t>WD who live alone who lacked food and other essentials on account of financial constraints while 15% of PLWD who lived with others (relatives and care homes) faced food and essential supplies constraints (Alzheimer’s Society 2020). Financial constraints al</w:t>
      </w:r>
      <w:r>
        <w:rPr>
          <w:lang w:val="en-GB"/>
        </w:rPr>
        <w:t xml:space="preserve">so affected affected 10% of carers in terms of limited supply of protective equipment (Ibid). Protective equipment affected both carers and people living with dementia. </w:t>
      </w:r>
    </w:p>
    <w:p w14:paraId="6D75A1D5" w14:textId="77777777" w:rsidR="00F9568A" w:rsidRDefault="00E8434C">
      <w:pPr>
        <w:spacing w:line="360" w:lineRule="auto"/>
        <w:ind w:firstLineChars="200" w:firstLine="480"/>
        <w:rPr>
          <w:lang w:val="en-GB"/>
        </w:rPr>
      </w:pPr>
      <w:r>
        <w:rPr>
          <w:lang w:val="en-GB"/>
        </w:rPr>
        <w:t>Financial constraints hit hardest those people whose jobs had no securities. On the pa</w:t>
      </w:r>
      <w:r>
        <w:rPr>
          <w:lang w:val="en-GB"/>
        </w:rPr>
        <w:t xml:space="preserve">rt of PLWD, it can be argued that they had to rely on pensions and family support. Where a relative had a job that did not have security, it means that supporting </w:t>
      </w:r>
      <w:r>
        <w:rPr>
          <w:lang w:val="en-GB"/>
        </w:rPr>
        <w:lastRenderedPageBreak/>
        <w:t>their relatives who were living with dementia was increasingly becoming mammoth. Equally, the</w:t>
      </w:r>
      <w:r>
        <w:rPr>
          <w:lang w:val="en-GB"/>
        </w:rPr>
        <w:t xml:space="preserve"> carers whose financial bases were not as strong put their lives and those of PLWD at risk due to limited supplies in protective equipment. Consequently, when protective equipment became a problem, it is likely that there was an increase in COVID-19 infect</w:t>
      </w:r>
      <w:r>
        <w:rPr>
          <w:lang w:val="en-GB"/>
        </w:rPr>
        <w:t>ions among carers. This would ultimately adversely affect PLWD who needed the care and support of carers. Financial challenges therefore posed a serious threat not only to PLWD but to the entire nation who could not watch while those who needed help the mo</w:t>
      </w:r>
      <w:r>
        <w:rPr>
          <w:lang w:val="en-GB"/>
        </w:rPr>
        <w:t>st suffered. We now discuss the implications of these results to the broader society.</w:t>
      </w:r>
    </w:p>
    <w:p w14:paraId="54CE57A5" w14:textId="77777777" w:rsidR="00F9568A" w:rsidRDefault="00E8434C">
      <w:pPr>
        <w:pStyle w:val="Heading2"/>
        <w:numPr>
          <w:ilvl w:val="0"/>
          <w:numId w:val="16"/>
        </w:numPr>
        <w:rPr>
          <w:lang w:val="en-GB"/>
        </w:rPr>
      </w:pPr>
      <w:r>
        <w:rPr>
          <w:lang w:val="en-GB"/>
        </w:rPr>
        <w:t>Discussion</w:t>
      </w:r>
    </w:p>
    <w:p w14:paraId="0B054B1B" w14:textId="77777777" w:rsidR="00F9568A" w:rsidRDefault="00E8434C">
      <w:pPr>
        <w:spacing w:line="360" w:lineRule="auto"/>
        <w:ind w:firstLineChars="200" w:firstLine="480"/>
        <w:rPr>
          <w:lang w:val="en-GB"/>
        </w:rPr>
      </w:pPr>
      <w:r>
        <w:rPr>
          <w:lang w:val="en-GB"/>
        </w:rPr>
        <w:t>This study synthesised the work of different scholars, organisations and charities that were or are still very active in not only responding to COVID-19 pandem</w:t>
      </w:r>
      <w:r>
        <w:rPr>
          <w:lang w:val="en-GB"/>
        </w:rPr>
        <w:t>ic but doing so in a way that puts people living with pre-existing conditions, PLWD in particular on the spotlight. It was shown that PLWD faced serious challenges on account of the virulent COVID-19 pandemic. The challenges they faced had far reaching con</w:t>
      </w:r>
      <w:r>
        <w:rPr>
          <w:lang w:val="en-GB"/>
        </w:rPr>
        <w:t>sequences. When death statistics were being recorded in the UK and the entire globe, it was concerning to note that PLWD and those with other pre-conditions were the most affected. This, of course, is an indictment to the government and not for profit orga</w:t>
      </w:r>
      <w:r>
        <w:rPr>
          <w:lang w:val="en-GB"/>
        </w:rPr>
        <w:t>nisations that are responsible for providing adequate social services to the most vulnerable in society. While high mortality rate among PLWD and other pre-conditions in general are attributable to low immunity among such groups, it cannot be discounted th</w:t>
      </w:r>
      <w:r>
        <w:rPr>
          <w:lang w:val="en-GB"/>
        </w:rPr>
        <w:t xml:space="preserve">at psychosocial and financial support on the part of government could have minimised the rates of fatalities, depression, anxiety and lack of social support networks as presented in the previous section. </w:t>
      </w:r>
    </w:p>
    <w:p w14:paraId="651F0F71" w14:textId="77777777" w:rsidR="00F9568A" w:rsidRDefault="00E8434C">
      <w:pPr>
        <w:spacing w:line="360" w:lineRule="auto"/>
        <w:ind w:firstLineChars="200" w:firstLine="480"/>
        <w:rPr>
          <w:lang w:val="en-GB"/>
        </w:rPr>
      </w:pPr>
      <w:r>
        <w:rPr>
          <w:lang w:val="en-GB"/>
        </w:rPr>
        <w:t>While PLWD are less mobile during this period of CO</w:t>
      </w:r>
      <w:r>
        <w:rPr>
          <w:lang w:val="en-GB"/>
        </w:rPr>
        <w:t xml:space="preserve">VID-19, which affects their physical health, confidence and mental strength, the results have also suggested that carers, relatives and those mobile support systems actually posed a serious threat to the welfare of PLWD. This is so because the more mobile </w:t>
      </w:r>
      <w:r>
        <w:rPr>
          <w:lang w:val="en-GB"/>
        </w:rPr>
        <w:t>ones hustle and bustle to earn more for PLWD. By doing so, they expose themselves and PLWD to the ravages of the COVID-19 pandemic. The government may have had to furlough many people and provided social safety nets to the most vulnerable during these diff</w:t>
      </w:r>
      <w:r>
        <w:rPr>
          <w:lang w:val="en-GB"/>
        </w:rPr>
        <w:t xml:space="preserve">icult times but a more robust approach in COVID-19 containment, holistic support and care to the PLWD and the old aged would have made a huge difference. This can still be done as </w:t>
      </w:r>
      <w:r>
        <w:rPr>
          <w:lang w:val="en-GB"/>
        </w:rPr>
        <w:lastRenderedPageBreak/>
        <w:t>the fight against the pandemic is ongoing. There is more work to do in the h</w:t>
      </w:r>
      <w:r>
        <w:rPr>
          <w:lang w:val="en-GB"/>
        </w:rPr>
        <w:t>ealth and social care support in the UK to save PLWD and the rest of the population during the COVID-19 era. The following recommendations can make significant progress in this regard.</w:t>
      </w:r>
    </w:p>
    <w:p w14:paraId="73A04A93" w14:textId="77777777" w:rsidR="00F9568A" w:rsidRDefault="00E8434C">
      <w:pPr>
        <w:pStyle w:val="Heading3"/>
        <w:rPr>
          <w:lang w:val="en-GB"/>
        </w:rPr>
      </w:pPr>
      <w:r>
        <w:rPr>
          <w:lang w:val="en-GB"/>
        </w:rPr>
        <w:t>5.1 Recommendations for future policy and health social care practice</w:t>
      </w:r>
    </w:p>
    <w:p w14:paraId="6759D226" w14:textId="77777777" w:rsidR="00F9568A" w:rsidRDefault="00E8434C">
      <w:pPr>
        <w:spacing w:line="360" w:lineRule="auto"/>
        <w:rPr>
          <w:lang w:val="en-GB"/>
        </w:rPr>
      </w:pPr>
      <w:r>
        <w:rPr>
          <w:lang w:val="en-GB"/>
        </w:rPr>
        <w:t>I</w:t>
      </w:r>
      <w:r>
        <w:rPr>
          <w:lang w:val="en-GB"/>
        </w:rPr>
        <w:t>n order to protect PLWD and the rest of the society against future public health and economic threats, it is important that the government considers the following;</w:t>
      </w:r>
    </w:p>
    <w:p w14:paraId="7BDFF99B" w14:textId="77777777" w:rsidR="00F9568A" w:rsidRDefault="00E8434C">
      <w:pPr>
        <w:numPr>
          <w:ilvl w:val="0"/>
          <w:numId w:val="17"/>
        </w:numPr>
        <w:spacing w:line="360" w:lineRule="auto"/>
        <w:rPr>
          <w:lang w:val="en-GB"/>
        </w:rPr>
      </w:pPr>
      <w:r>
        <w:rPr>
          <w:lang w:val="en-GB"/>
        </w:rPr>
        <w:t>Provide adequate social safety nets to PLWD and other pre-existing conditions;</w:t>
      </w:r>
    </w:p>
    <w:p w14:paraId="5A77AE89" w14:textId="77777777" w:rsidR="00F9568A" w:rsidRDefault="00E8434C">
      <w:pPr>
        <w:numPr>
          <w:ilvl w:val="0"/>
          <w:numId w:val="17"/>
        </w:numPr>
        <w:spacing w:line="360" w:lineRule="auto"/>
        <w:rPr>
          <w:lang w:val="en-GB"/>
        </w:rPr>
      </w:pPr>
      <w:r>
        <w:rPr>
          <w:lang w:val="en-GB"/>
        </w:rPr>
        <w:t>Provide in-home recreational facilities to ensure that there is mobility and physical exercise even during times of restrictions;</w:t>
      </w:r>
    </w:p>
    <w:p w14:paraId="3C6FA818" w14:textId="77777777" w:rsidR="00F9568A" w:rsidRDefault="00E8434C">
      <w:pPr>
        <w:numPr>
          <w:ilvl w:val="0"/>
          <w:numId w:val="17"/>
        </w:numPr>
        <w:spacing w:line="360" w:lineRule="auto"/>
        <w:rPr>
          <w:lang w:val="en-GB"/>
        </w:rPr>
      </w:pPr>
      <w:r>
        <w:rPr>
          <w:lang w:val="en-GB"/>
        </w:rPr>
        <w:t>Adequately support charity organisations and carers with protective equipment and food stuffs so that they effectively respond</w:t>
      </w:r>
      <w:r>
        <w:rPr>
          <w:lang w:val="en-GB"/>
        </w:rPr>
        <w:t xml:space="preserve"> to social and health ills among people living with pre-existing conditions;</w:t>
      </w:r>
    </w:p>
    <w:p w14:paraId="229070E5" w14:textId="77777777" w:rsidR="00F9568A" w:rsidRDefault="00E8434C">
      <w:pPr>
        <w:numPr>
          <w:ilvl w:val="0"/>
          <w:numId w:val="17"/>
        </w:numPr>
        <w:spacing w:line="360" w:lineRule="auto"/>
        <w:rPr>
          <w:lang w:val="en-GB"/>
        </w:rPr>
      </w:pPr>
      <w:r>
        <w:rPr>
          <w:lang w:val="en-GB"/>
        </w:rPr>
        <w:t>Swiftly respond to public health emergencies with robust containment measures before they affect the most vulnerable.</w:t>
      </w:r>
    </w:p>
    <w:p w14:paraId="1A47C24F" w14:textId="77777777" w:rsidR="00F9568A" w:rsidRDefault="00E8434C">
      <w:pPr>
        <w:pStyle w:val="Heading3"/>
        <w:rPr>
          <w:lang w:val="en-GB"/>
        </w:rPr>
      </w:pPr>
      <w:r>
        <w:rPr>
          <w:lang w:val="en-GB"/>
        </w:rPr>
        <w:t>5.2 Limitations of the Study</w:t>
      </w:r>
    </w:p>
    <w:p w14:paraId="4DF5FE41" w14:textId="77777777" w:rsidR="00F9568A" w:rsidRDefault="00E8434C">
      <w:pPr>
        <w:spacing w:line="360" w:lineRule="auto"/>
        <w:rPr>
          <w:lang w:val="en-GB"/>
        </w:rPr>
      </w:pPr>
      <w:r>
        <w:rPr>
          <w:lang w:val="en-GB"/>
        </w:rPr>
        <w:t>This study was limited by the in</w:t>
      </w:r>
      <w:r>
        <w:rPr>
          <w:lang w:val="en-GB"/>
        </w:rPr>
        <w:t xml:space="preserve">ability to conduct primary research on the impact of COVID-19 on PLWD. This challenge was attributable to surging cases of the omicron variant across the UK and limited time to physically conduct surveys. However, a careful selection of credible secondary </w:t>
      </w:r>
      <w:r>
        <w:rPr>
          <w:lang w:val="en-GB"/>
        </w:rPr>
        <w:t xml:space="preserve">sources ensured that reliable data is collected. </w:t>
      </w:r>
    </w:p>
    <w:p w14:paraId="7127EE3C" w14:textId="77777777" w:rsidR="00F9568A" w:rsidRDefault="00E8434C">
      <w:pPr>
        <w:pStyle w:val="Heading2"/>
        <w:numPr>
          <w:ilvl w:val="0"/>
          <w:numId w:val="16"/>
        </w:numPr>
        <w:rPr>
          <w:lang w:val="en-GB"/>
        </w:rPr>
      </w:pPr>
      <w:r>
        <w:rPr>
          <w:lang w:val="en-GB"/>
        </w:rPr>
        <w:t xml:space="preserve">Conclusion </w:t>
      </w:r>
    </w:p>
    <w:p w14:paraId="23EB5FD8" w14:textId="77777777" w:rsidR="00F9568A" w:rsidRDefault="00E8434C">
      <w:pPr>
        <w:spacing w:line="360" w:lineRule="auto"/>
        <w:rPr>
          <w:lang w:val="en-GB"/>
        </w:rPr>
      </w:pPr>
      <w:r>
        <w:rPr>
          <w:lang w:val="en-GB"/>
        </w:rPr>
        <w:t>This study has examined the impact of COVID-19 pandemic on PLWD in the UK. It was shown that PLWD faced death threats, had increased mental health problems, lack of mobility, financial constrain</w:t>
      </w:r>
      <w:r>
        <w:rPr>
          <w:lang w:val="en-GB"/>
        </w:rPr>
        <w:t xml:space="preserve">ts and reduced social support networks. To improve their health and social care, the government is advised to provide adequate social safety nets, recreational facilities, respond as quickly as possible to public health emergencies so as to save the lives </w:t>
      </w:r>
      <w:r>
        <w:rPr>
          <w:lang w:val="en-GB"/>
        </w:rPr>
        <w:t>of the most vulnerable in the society as well as collaboratively work with charity and not for profit organisations in providing adequate social services.</w:t>
      </w:r>
    </w:p>
    <w:p w14:paraId="17C8B89D" w14:textId="77777777" w:rsidR="00F9568A" w:rsidRDefault="00E8434C">
      <w:pPr>
        <w:rPr>
          <w:lang w:val="en-GB"/>
        </w:rPr>
      </w:pPr>
      <w:r>
        <w:rPr>
          <w:lang w:val="en-GB"/>
        </w:rPr>
        <w:br w:type="page"/>
      </w:r>
    </w:p>
    <w:p w14:paraId="0A5F1C08" w14:textId="77777777" w:rsidR="00F9568A" w:rsidRDefault="00E8434C">
      <w:pPr>
        <w:pStyle w:val="Heading2"/>
        <w:rPr>
          <w:lang w:val="en-GB"/>
        </w:rPr>
      </w:pPr>
      <w:r>
        <w:rPr>
          <w:lang w:val="en-GB"/>
        </w:rPr>
        <w:lastRenderedPageBreak/>
        <w:t xml:space="preserve">References </w:t>
      </w:r>
    </w:p>
    <w:p w14:paraId="7DC30CD5"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Age, U.K., 2020. The impact of COVID-19 to date on older people’s mental and physical h</w:t>
      </w:r>
      <w:r>
        <w:rPr>
          <w:rFonts w:eastAsia="SimSun" w:cs="Times New Roman"/>
          <w:color w:val="222222"/>
          <w:shd w:val="clear" w:color="auto" w:fill="FFFFFF"/>
        </w:rPr>
        <w:t>ealth. </w:t>
      </w:r>
      <w:r>
        <w:rPr>
          <w:rFonts w:eastAsia="SimSun" w:cs="Times New Roman"/>
          <w:i/>
          <w:iCs/>
          <w:color w:val="222222"/>
          <w:shd w:val="clear" w:color="auto" w:fill="FFFFFF"/>
        </w:rPr>
        <w:t>Age UK</w:t>
      </w:r>
      <w:r>
        <w:rPr>
          <w:rFonts w:eastAsia="SimSun" w:cs="Times New Roman"/>
          <w:color w:val="222222"/>
          <w:shd w:val="clear" w:color="auto" w:fill="FFFFFF"/>
        </w:rPr>
        <w:t>.</w:t>
      </w:r>
    </w:p>
    <w:p w14:paraId="3ED054D8"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Alzheimer's Society, 2020. The impact of COVID-19 on People Affected by Dementia.</w:t>
      </w:r>
    </w:p>
    <w:p w14:paraId="5953B9E9"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 xml:space="preserve">Danis, K., </w:t>
      </w:r>
      <w:proofErr w:type="spellStart"/>
      <w:r>
        <w:rPr>
          <w:rFonts w:eastAsia="SimSun" w:cs="Times New Roman"/>
          <w:color w:val="222222"/>
          <w:shd w:val="clear" w:color="auto" w:fill="FFFFFF"/>
        </w:rPr>
        <w:t>Fonteneau</w:t>
      </w:r>
      <w:proofErr w:type="spellEnd"/>
      <w:r>
        <w:rPr>
          <w:rFonts w:eastAsia="SimSun" w:cs="Times New Roman"/>
          <w:color w:val="222222"/>
          <w:shd w:val="clear" w:color="auto" w:fill="FFFFFF"/>
        </w:rPr>
        <w:t xml:space="preserve">, L., Georges, S., </w:t>
      </w:r>
      <w:proofErr w:type="spellStart"/>
      <w:r>
        <w:rPr>
          <w:rFonts w:eastAsia="SimSun" w:cs="Times New Roman"/>
          <w:color w:val="222222"/>
          <w:shd w:val="clear" w:color="auto" w:fill="FFFFFF"/>
        </w:rPr>
        <w:t>Daniau</w:t>
      </w:r>
      <w:proofErr w:type="spellEnd"/>
      <w:r>
        <w:rPr>
          <w:rFonts w:eastAsia="SimSun" w:cs="Times New Roman"/>
          <w:color w:val="222222"/>
          <w:shd w:val="clear" w:color="auto" w:fill="FFFFFF"/>
        </w:rPr>
        <w:t xml:space="preserve">, C., </w:t>
      </w:r>
      <w:proofErr w:type="spellStart"/>
      <w:r>
        <w:rPr>
          <w:rFonts w:eastAsia="SimSun" w:cs="Times New Roman"/>
          <w:color w:val="222222"/>
          <w:shd w:val="clear" w:color="auto" w:fill="FFFFFF"/>
        </w:rPr>
        <w:t>Bernard-Stoecklin</w:t>
      </w:r>
      <w:proofErr w:type="spellEnd"/>
      <w:r>
        <w:rPr>
          <w:rFonts w:eastAsia="SimSun" w:cs="Times New Roman"/>
          <w:color w:val="222222"/>
          <w:shd w:val="clear" w:color="auto" w:fill="FFFFFF"/>
        </w:rPr>
        <w:t xml:space="preserve">, S., </w:t>
      </w:r>
      <w:proofErr w:type="spellStart"/>
      <w:r>
        <w:rPr>
          <w:rFonts w:eastAsia="SimSun" w:cs="Times New Roman"/>
          <w:color w:val="222222"/>
          <w:shd w:val="clear" w:color="auto" w:fill="FFFFFF"/>
        </w:rPr>
        <w:t>Domegan</w:t>
      </w:r>
      <w:proofErr w:type="spellEnd"/>
      <w:r>
        <w:rPr>
          <w:rFonts w:eastAsia="SimSun" w:cs="Times New Roman"/>
          <w:color w:val="222222"/>
          <w:shd w:val="clear" w:color="auto" w:fill="FFFFFF"/>
        </w:rPr>
        <w:t xml:space="preserve">, L., O’Donnell, J., </w:t>
      </w:r>
      <w:proofErr w:type="spellStart"/>
      <w:r>
        <w:rPr>
          <w:rFonts w:eastAsia="SimSun" w:cs="Times New Roman"/>
          <w:color w:val="222222"/>
          <w:shd w:val="clear" w:color="auto" w:fill="FFFFFF"/>
        </w:rPr>
        <w:t>Hauge</w:t>
      </w:r>
      <w:proofErr w:type="spellEnd"/>
      <w:r>
        <w:rPr>
          <w:rFonts w:eastAsia="SimSun" w:cs="Times New Roman"/>
          <w:color w:val="222222"/>
          <w:shd w:val="clear" w:color="auto" w:fill="FFFFFF"/>
        </w:rPr>
        <w:t xml:space="preserve">, S.H., </w:t>
      </w:r>
      <w:proofErr w:type="spellStart"/>
      <w:r>
        <w:rPr>
          <w:rFonts w:eastAsia="SimSun" w:cs="Times New Roman"/>
          <w:color w:val="222222"/>
          <w:shd w:val="clear" w:color="auto" w:fill="FFFFFF"/>
        </w:rPr>
        <w:t>Dequeker</w:t>
      </w:r>
      <w:proofErr w:type="spellEnd"/>
      <w:r>
        <w:rPr>
          <w:rFonts w:eastAsia="SimSun" w:cs="Times New Roman"/>
          <w:color w:val="222222"/>
          <w:shd w:val="clear" w:color="auto" w:fill="FFFFFF"/>
        </w:rPr>
        <w:t xml:space="preserve">, S., </w:t>
      </w:r>
      <w:proofErr w:type="spellStart"/>
      <w:r>
        <w:rPr>
          <w:rFonts w:eastAsia="SimSun" w:cs="Times New Roman"/>
          <w:color w:val="222222"/>
          <w:shd w:val="clear" w:color="auto" w:fill="FFFFFF"/>
        </w:rPr>
        <w:t>Vandael</w:t>
      </w:r>
      <w:proofErr w:type="spellEnd"/>
      <w:r>
        <w:rPr>
          <w:rFonts w:eastAsia="SimSun" w:cs="Times New Roman"/>
          <w:color w:val="222222"/>
          <w:shd w:val="clear" w:color="auto" w:fill="FFFFFF"/>
        </w:rPr>
        <w:t xml:space="preserve">, E. and Van </w:t>
      </w:r>
      <w:proofErr w:type="spellStart"/>
      <w:r>
        <w:rPr>
          <w:rFonts w:eastAsia="SimSun" w:cs="Times New Roman"/>
          <w:color w:val="222222"/>
          <w:shd w:val="clear" w:color="auto" w:fill="FFFFFF"/>
        </w:rPr>
        <w:t>der</w:t>
      </w:r>
      <w:proofErr w:type="spellEnd"/>
      <w:r>
        <w:rPr>
          <w:rFonts w:eastAsia="SimSun" w:cs="Times New Roman"/>
          <w:color w:val="222222"/>
          <w:shd w:val="clear" w:color="auto" w:fill="FFFFFF"/>
        </w:rPr>
        <w:t xml:space="preserve"> </w:t>
      </w:r>
      <w:proofErr w:type="spellStart"/>
      <w:r>
        <w:rPr>
          <w:rFonts w:eastAsia="SimSun" w:cs="Times New Roman"/>
          <w:color w:val="222222"/>
          <w:shd w:val="clear" w:color="auto" w:fill="FFFFFF"/>
        </w:rPr>
        <w:t>Heyden</w:t>
      </w:r>
      <w:proofErr w:type="spellEnd"/>
      <w:r>
        <w:rPr>
          <w:rFonts w:eastAsia="SimSun" w:cs="Times New Roman"/>
          <w:color w:val="222222"/>
          <w:shd w:val="clear" w:color="auto" w:fill="FFFFFF"/>
        </w:rPr>
        <w:t>, J., 2020. High impact of COVID-19 in long-term care facilities, suggestion for monitoring in the EU/EEA, May 2020. </w:t>
      </w:r>
      <w:proofErr w:type="spellStart"/>
      <w:r>
        <w:rPr>
          <w:rFonts w:eastAsia="SimSun" w:cs="Times New Roman"/>
          <w:i/>
          <w:iCs/>
          <w:color w:val="222222"/>
          <w:shd w:val="clear" w:color="auto" w:fill="FFFFFF"/>
        </w:rPr>
        <w:t>Eurosurveillance</w:t>
      </w:r>
      <w:proofErr w:type="spellEnd"/>
      <w:r>
        <w:rPr>
          <w:rFonts w:eastAsia="SimSun" w:cs="Times New Roman"/>
          <w:color w:val="222222"/>
          <w:shd w:val="clear" w:color="auto" w:fill="FFFFFF"/>
        </w:rPr>
        <w:t>, </w:t>
      </w:r>
      <w:r>
        <w:rPr>
          <w:rFonts w:eastAsia="SimSun" w:cs="Times New Roman"/>
          <w:i/>
          <w:iCs/>
          <w:color w:val="222222"/>
          <w:shd w:val="clear" w:color="auto" w:fill="FFFFFF"/>
        </w:rPr>
        <w:t>25</w:t>
      </w:r>
      <w:r>
        <w:rPr>
          <w:rFonts w:eastAsia="SimSun" w:cs="Times New Roman"/>
          <w:color w:val="222222"/>
          <w:shd w:val="clear" w:color="auto" w:fill="FFFFFF"/>
        </w:rPr>
        <w:t>(22), p.2000956.</w:t>
      </w:r>
    </w:p>
    <w:p w14:paraId="7C0FF882" w14:textId="77777777" w:rsidR="00F9568A" w:rsidRDefault="00E8434C">
      <w:pPr>
        <w:spacing w:line="360" w:lineRule="auto"/>
        <w:rPr>
          <w:rFonts w:eastAsia="SimSun" w:cs="Times New Roman"/>
          <w:color w:val="222222"/>
          <w:shd w:val="clear" w:color="auto" w:fill="FFFFFF"/>
        </w:rPr>
      </w:pPr>
      <w:proofErr w:type="spellStart"/>
      <w:r>
        <w:rPr>
          <w:rFonts w:eastAsia="SimSun" w:cs="Times New Roman"/>
          <w:color w:val="222222"/>
          <w:shd w:val="clear" w:color="auto" w:fill="FFFFFF"/>
        </w:rPr>
        <w:t>Giebel</w:t>
      </w:r>
      <w:proofErr w:type="spellEnd"/>
      <w:r>
        <w:rPr>
          <w:rFonts w:eastAsia="SimSun" w:cs="Times New Roman"/>
          <w:color w:val="222222"/>
          <w:shd w:val="clear" w:color="auto" w:fill="FFFFFF"/>
        </w:rPr>
        <w:t xml:space="preserve">, C., Hanna, K., Cannon, J., </w:t>
      </w:r>
      <w:proofErr w:type="spellStart"/>
      <w:r>
        <w:rPr>
          <w:rFonts w:eastAsia="SimSun" w:cs="Times New Roman"/>
          <w:color w:val="222222"/>
          <w:shd w:val="clear" w:color="auto" w:fill="FFFFFF"/>
        </w:rPr>
        <w:t>Eley</w:t>
      </w:r>
      <w:proofErr w:type="spellEnd"/>
      <w:r>
        <w:rPr>
          <w:rFonts w:eastAsia="SimSun" w:cs="Times New Roman"/>
          <w:color w:val="222222"/>
          <w:shd w:val="clear" w:color="auto" w:fill="FFFFFF"/>
        </w:rPr>
        <w:t xml:space="preserve">, R., </w:t>
      </w:r>
      <w:proofErr w:type="spellStart"/>
      <w:r>
        <w:rPr>
          <w:rFonts w:eastAsia="SimSun" w:cs="Times New Roman"/>
          <w:color w:val="222222"/>
          <w:shd w:val="clear" w:color="auto" w:fill="FFFFFF"/>
        </w:rPr>
        <w:t>Tetlow</w:t>
      </w:r>
      <w:proofErr w:type="spellEnd"/>
      <w:r>
        <w:rPr>
          <w:rFonts w:eastAsia="SimSun" w:cs="Times New Roman"/>
          <w:color w:val="222222"/>
          <w:shd w:val="clear" w:color="auto" w:fill="FFFFFF"/>
        </w:rPr>
        <w:t xml:space="preserve">, H., </w:t>
      </w:r>
      <w:proofErr w:type="spellStart"/>
      <w:r>
        <w:rPr>
          <w:rFonts w:eastAsia="SimSun" w:cs="Times New Roman"/>
          <w:color w:val="222222"/>
          <w:shd w:val="clear" w:color="auto" w:fill="FFFFFF"/>
        </w:rPr>
        <w:t>Gaughan</w:t>
      </w:r>
      <w:proofErr w:type="spellEnd"/>
      <w:r>
        <w:rPr>
          <w:rFonts w:eastAsia="SimSun" w:cs="Times New Roman"/>
          <w:color w:val="222222"/>
          <w:shd w:val="clear" w:color="auto" w:fill="FFFFFF"/>
        </w:rPr>
        <w:t xml:space="preserve">, A., </w:t>
      </w:r>
      <w:proofErr w:type="spellStart"/>
      <w:r>
        <w:rPr>
          <w:rFonts w:eastAsia="SimSun" w:cs="Times New Roman"/>
          <w:color w:val="222222"/>
          <w:shd w:val="clear" w:color="auto" w:fill="FFFFFF"/>
        </w:rPr>
        <w:t>Komuravelli</w:t>
      </w:r>
      <w:proofErr w:type="spellEnd"/>
      <w:r>
        <w:rPr>
          <w:rFonts w:eastAsia="SimSun" w:cs="Times New Roman"/>
          <w:color w:val="222222"/>
          <w:shd w:val="clear" w:color="auto" w:fill="FFFFFF"/>
        </w:rPr>
        <w:t xml:space="preserve">, A., </w:t>
      </w:r>
      <w:proofErr w:type="spellStart"/>
      <w:r>
        <w:rPr>
          <w:rFonts w:eastAsia="SimSun" w:cs="Times New Roman"/>
          <w:color w:val="222222"/>
          <w:shd w:val="clear" w:color="auto" w:fill="FFFFFF"/>
        </w:rPr>
        <w:t>Shenton</w:t>
      </w:r>
      <w:proofErr w:type="spellEnd"/>
      <w:r>
        <w:rPr>
          <w:rFonts w:eastAsia="SimSun" w:cs="Times New Roman"/>
          <w:color w:val="222222"/>
          <w:shd w:val="clear" w:color="auto" w:fill="FFFFFF"/>
        </w:rPr>
        <w:t>, J., Ro</w:t>
      </w:r>
      <w:r>
        <w:rPr>
          <w:rFonts w:eastAsia="SimSun" w:cs="Times New Roman"/>
          <w:color w:val="222222"/>
          <w:shd w:val="clear" w:color="auto" w:fill="FFFFFF"/>
        </w:rPr>
        <w:t xml:space="preserve">gers, C., </w:t>
      </w:r>
      <w:proofErr w:type="spellStart"/>
      <w:r>
        <w:rPr>
          <w:rFonts w:eastAsia="SimSun" w:cs="Times New Roman"/>
          <w:color w:val="222222"/>
          <w:shd w:val="clear" w:color="auto" w:fill="FFFFFF"/>
        </w:rPr>
        <w:t>Butchard</w:t>
      </w:r>
      <w:proofErr w:type="spellEnd"/>
      <w:r>
        <w:rPr>
          <w:rFonts w:eastAsia="SimSun" w:cs="Times New Roman"/>
          <w:color w:val="222222"/>
          <w:shd w:val="clear" w:color="auto" w:fill="FFFFFF"/>
        </w:rPr>
        <w:t>, S. and Callaghan, S., 2020. Decision-making for receiving paid home care for dementia in the time of COVID-19: a qualitative study. </w:t>
      </w:r>
      <w:r>
        <w:rPr>
          <w:rFonts w:eastAsia="SimSun" w:cs="Times New Roman"/>
          <w:i/>
          <w:iCs/>
          <w:color w:val="222222"/>
          <w:shd w:val="clear" w:color="auto" w:fill="FFFFFF"/>
        </w:rPr>
        <w:t>BMC geriatrics</w:t>
      </w:r>
      <w:r>
        <w:rPr>
          <w:rFonts w:eastAsia="SimSun" w:cs="Times New Roman"/>
          <w:color w:val="222222"/>
          <w:shd w:val="clear" w:color="auto" w:fill="FFFFFF"/>
        </w:rPr>
        <w:t>, </w:t>
      </w:r>
      <w:r>
        <w:rPr>
          <w:rFonts w:eastAsia="SimSun" w:cs="Times New Roman"/>
          <w:i/>
          <w:iCs/>
          <w:color w:val="222222"/>
          <w:shd w:val="clear" w:color="auto" w:fill="FFFFFF"/>
        </w:rPr>
        <w:t>20</w:t>
      </w:r>
      <w:r>
        <w:rPr>
          <w:rFonts w:eastAsia="SimSun" w:cs="Times New Roman"/>
          <w:color w:val="222222"/>
          <w:shd w:val="clear" w:color="auto" w:fill="FFFFFF"/>
        </w:rPr>
        <w:t>(1), pp.1-8.</w:t>
      </w:r>
    </w:p>
    <w:p w14:paraId="0BBD7D67" w14:textId="77777777" w:rsidR="00F9568A" w:rsidRDefault="00E8434C">
      <w:pPr>
        <w:spacing w:line="360" w:lineRule="auto"/>
        <w:rPr>
          <w:rFonts w:eastAsia="SimSun" w:cs="Times New Roman"/>
          <w:color w:val="222222"/>
          <w:shd w:val="clear" w:color="auto" w:fill="FFFFFF"/>
        </w:rPr>
      </w:pPr>
      <w:proofErr w:type="spellStart"/>
      <w:r>
        <w:rPr>
          <w:rFonts w:eastAsia="SimSun" w:cs="Times New Roman"/>
          <w:color w:val="222222"/>
          <w:shd w:val="clear" w:color="auto" w:fill="FFFFFF"/>
        </w:rPr>
        <w:t>Giebel</w:t>
      </w:r>
      <w:proofErr w:type="spellEnd"/>
      <w:r>
        <w:rPr>
          <w:rFonts w:eastAsia="SimSun" w:cs="Times New Roman"/>
          <w:color w:val="222222"/>
          <w:shd w:val="clear" w:color="auto" w:fill="FFFFFF"/>
        </w:rPr>
        <w:t xml:space="preserve">, C., Lord, K., Cooper, C., </w:t>
      </w:r>
      <w:proofErr w:type="spellStart"/>
      <w:r>
        <w:rPr>
          <w:rFonts w:eastAsia="SimSun" w:cs="Times New Roman"/>
          <w:color w:val="222222"/>
          <w:shd w:val="clear" w:color="auto" w:fill="FFFFFF"/>
        </w:rPr>
        <w:t>Shenton</w:t>
      </w:r>
      <w:proofErr w:type="spellEnd"/>
      <w:r>
        <w:rPr>
          <w:rFonts w:eastAsia="SimSun" w:cs="Times New Roman"/>
          <w:color w:val="222222"/>
          <w:shd w:val="clear" w:color="auto" w:fill="FFFFFF"/>
        </w:rPr>
        <w:t xml:space="preserve">, J., Cannon, J., </w:t>
      </w:r>
      <w:proofErr w:type="spellStart"/>
      <w:r>
        <w:rPr>
          <w:rFonts w:eastAsia="SimSun" w:cs="Times New Roman"/>
          <w:color w:val="222222"/>
          <w:shd w:val="clear" w:color="auto" w:fill="FFFFFF"/>
        </w:rPr>
        <w:t>Pulford</w:t>
      </w:r>
      <w:proofErr w:type="spellEnd"/>
      <w:r>
        <w:rPr>
          <w:rFonts w:eastAsia="SimSun" w:cs="Times New Roman"/>
          <w:color w:val="222222"/>
          <w:shd w:val="clear" w:color="auto" w:fill="FFFFFF"/>
        </w:rPr>
        <w:t xml:space="preserve">, D., Shaw, L., </w:t>
      </w:r>
      <w:proofErr w:type="spellStart"/>
      <w:r>
        <w:rPr>
          <w:rFonts w:eastAsia="SimSun" w:cs="Times New Roman"/>
          <w:color w:val="222222"/>
          <w:shd w:val="clear" w:color="auto" w:fill="FFFFFF"/>
        </w:rPr>
        <w:t>Gaughan</w:t>
      </w:r>
      <w:proofErr w:type="spellEnd"/>
      <w:r>
        <w:rPr>
          <w:rFonts w:eastAsia="SimSun" w:cs="Times New Roman"/>
          <w:color w:val="222222"/>
          <w:shd w:val="clear" w:color="auto" w:fill="FFFFFF"/>
        </w:rPr>
        <w:t xml:space="preserve">, A., </w:t>
      </w:r>
      <w:proofErr w:type="spellStart"/>
      <w:r>
        <w:rPr>
          <w:rFonts w:eastAsia="SimSun" w:cs="Times New Roman"/>
          <w:color w:val="222222"/>
          <w:shd w:val="clear" w:color="auto" w:fill="FFFFFF"/>
        </w:rPr>
        <w:t>Tetlow</w:t>
      </w:r>
      <w:proofErr w:type="spellEnd"/>
      <w:r>
        <w:rPr>
          <w:rFonts w:eastAsia="SimSun" w:cs="Times New Roman"/>
          <w:color w:val="222222"/>
          <w:shd w:val="clear" w:color="auto" w:fill="FFFFFF"/>
        </w:rPr>
        <w:t xml:space="preserve">, H., </w:t>
      </w:r>
      <w:proofErr w:type="spellStart"/>
      <w:r>
        <w:rPr>
          <w:rFonts w:eastAsia="SimSun" w:cs="Times New Roman"/>
          <w:color w:val="222222"/>
          <w:shd w:val="clear" w:color="auto" w:fill="FFFFFF"/>
        </w:rPr>
        <w:t>Butchard</w:t>
      </w:r>
      <w:proofErr w:type="spellEnd"/>
      <w:r>
        <w:rPr>
          <w:rFonts w:eastAsia="SimSun" w:cs="Times New Roman"/>
          <w:color w:val="222222"/>
          <w:shd w:val="clear" w:color="auto" w:fill="FFFFFF"/>
        </w:rPr>
        <w:t xml:space="preserve">, S. and </w:t>
      </w:r>
      <w:proofErr w:type="spellStart"/>
      <w:r>
        <w:rPr>
          <w:rFonts w:eastAsia="SimSun" w:cs="Times New Roman"/>
          <w:color w:val="222222"/>
          <w:shd w:val="clear" w:color="auto" w:fill="FFFFFF"/>
        </w:rPr>
        <w:t>Limbert</w:t>
      </w:r>
      <w:proofErr w:type="spellEnd"/>
      <w:r>
        <w:rPr>
          <w:rFonts w:eastAsia="SimSun" w:cs="Times New Roman"/>
          <w:color w:val="222222"/>
          <w:shd w:val="clear" w:color="auto" w:fill="FFFFFF"/>
        </w:rPr>
        <w:t>, S., 2021. A UK survey of COVID‐19 related social support closures and their effects on older people, people with dementia, and carers. </w:t>
      </w:r>
      <w:r>
        <w:rPr>
          <w:rFonts w:eastAsia="SimSun" w:cs="Times New Roman"/>
          <w:i/>
          <w:iCs/>
          <w:color w:val="222222"/>
          <w:shd w:val="clear" w:color="auto" w:fill="FFFFFF"/>
        </w:rPr>
        <w:t>International journal of geriatric psychiatry</w:t>
      </w:r>
      <w:r>
        <w:rPr>
          <w:rFonts w:eastAsia="SimSun" w:cs="Times New Roman"/>
          <w:color w:val="222222"/>
          <w:shd w:val="clear" w:color="auto" w:fill="FFFFFF"/>
        </w:rPr>
        <w:t>, </w:t>
      </w:r>
      <w:r>
        <w:rPr>
          <w:rFonts w:eastAsia="SimSun" w:cs="Times New Roman"/>
          <w:i/>
          <w:iCs/>
          <w:color w:val="222222"/>
          <w:shd w:val="clear" w:color="auto" w:fill="FFFFFF"/>
        </w:rPr>
        <w:t>36</w:t>
      </w:r>
      <w:r>
        <w:rPr>
          <w:rFonts w:eastAsia="SimSun" w:cs="Times New Roman"/>
          <w:color w:val="222222"/>
          <w:shd w:val="clear" w:color="auto" w:fill="FFFFFF"/>
        </w:rPr>
        <w:t>(3), pp.393-402.</w:t>
      </w:r>
    </w:p>
    <w:p w14:paraId="7F809ABA" w14:textId="77777777" w:rsidR="00F9568A" w:rsidRDefault="00E8434C">
      <w:pPr>
        <w:spacing w:line="360" w:lineRule="auto"/>
        <w:rPr>
          <w:rFonts w:eastAsia="SimSun" w:cs="Times New Roman"/>
          <w:color w:val="222222"/>
          <w:shd w:val="clear" w:color="auto" w:fill="FFFFFF"/>
        </w:rPr>
      </w:pPr>
      <w:proofErr w:type="spellStart"/>
      <w:r>
        <w:rPr>
          <w:rFonts w:eastAsia="SimSun" w:cs="Times New Roman"/>
          <w:color w:val="222222"/>
          <w:shd w:val="clear" w:color="auto" w:fill="FFFFFF"/>
        </w:rPr>
        <w:t>Hayashi</w:t>
      </w:r>
      <w:proofErr w:type="spellEnd"/>
      <w:r>
        <w:rPr>
          <w:rFonts w:eastAsia="SimSun" w:cs="Times New Roman"/>
          <w:color w:val="222222"/>
          <w:shd w:val="clear" w:color="auto" w:fill="FFFFFF"/>
        </w:rPr>
        <w:t>, R., 2019. Demand and supply for long-term Care for Older Persons in Asia.</w:t>
      </w:r>
    </w:p>
    <w:p w14:paraId="03BCC843" w14:textId="77777777" w:rsidR="00F9568A" w:rsidRDefault="00E8434C">
      <w:pPr>
        <w:spacing w:line="360" w:lineRule="auto"/>
        <w:rPr>
          <w:rFonts w:eastAsia="SimSun" w:cs="Times New Roman"/>
          <w:color w:val="222222"/>
          <w:shd w:val="clear" w:color="auto" w:fill="FFFFFF"/>
        </w:rPr>
      </w:pPr>
      <w:proofErr w:type="spellStart"/>
      <w:r>
        <w:rPr>
          <w:rFonts w:eastAsia="SimSun" w:cs="Times New Roman"/>
          <w:color w:val="222222"/>
          <w:shd w:val="clear" w:color="auto" w:fill="FFFFFF"/>
        </w:rPr>
        <w:t>Hsieh</w:t>
      </w:r>
      <w:proofErr w:type="spellEnd"/>
      <w:r>
        <w:rPr>
          <w:rFonts w:eastAsia="SimSun" w:cs="Times New Roman"/>
          <w:color w:val="222222"/>
          <w:shd w:val="clear" w:color="auto" w:fill="FFFFFF"/>
        </w:rPr>
        <w:t>, H.F. and Shannon, S.E., 2005. Three approaches to qualitative content analysis. </w:t>
      </w:r>
      <w:r>
        <w:rPr>
          <w:rFonts w:eastAsia="SimSun" w:cs="Times New Roman"/>
          <w:i/>
          <w:iCs/>
          <w:color w:val="222222"/>
          <w:shd w:val="clear" w:color="auto" w:fill="FFFFFF"/>
        </w:rPr>
        <w:t>Qualitative health research</w:t>
      </w:r>
      <w:r>
        <w:rPr>
          <w:rFonts w:eastAsia="SimSun" w:cs="Times New Roman"/>
          <w:color w:val="222222"/>
          <w:shd w:val="clear" w:color="auto" w:fill="FFFFFF"/>
        </w:rPr>
        <w:t>, </w:t>
      </w:r>
      <w:r>
        <w:rPr>
          <w:rFonts w:eastAsia="SimSun" w:cs="Times New Roman"/>
          <w:i/>
          <w:iCs/>
          <w:color w:val="222222"/>
          <w:shd w:val="clear" w:color="auto" w:fill="FFFFFF"/>
        </w:rPr>
        <w:t>15</w:t>
      </w:r>
      <w:r>
        <w:rPr>
          <w:rFonts w:eastAsia="SimSun" w:cs="Times New Roman"/>
          <w:color w:val="222222"/>
          <w:shd w:val="clear" w:color="auto" w:fill="FFFFFF"/>
        </w:rPr>
        <w:t>(9), pp.1277-1288.</w:t>
      </w:r>
    </w:p>
    <w:p w14:paraId="7C5B5B06" w14:textId="77777777" w:rsidR="00F9568A" w:rsidRDefault="00E8434C">
      <w:pPr>
        <w:spacing w:line="360" w:lineRule="auto"/>
        <w:rPr>
          <w:rFonts w:eastAsia="SimSun" w:cs="Times New Roman"/>
          <w:color w:val="222222"/>
          <w:shd w:val="clear" w:color="auto" w:fill="FFFFFF"/>
          <w:lang w:val="en-GB"/>
        </w:rPr>
      </w:pPr>
      <w:r>
        <w:rPr>
          <w:rFonts w:eastAsia="SimSun" w:cs="Times New Roman"/>
          <w:color w:val="222222"/>
          <w:shd w:val="clear" w:color="auto" w:fill="FFFFFF"/>
          <w:lang w:val="en-GB"/>
        </w:rPr>
        <w:t>John Hopkins Univ</w:t>
      </w:r>
      <w:r>
        <w:rPr>
          <w:rFonts w:eastAsia="SimSun" w:cs="Times New Roman"/>
          <w:color w:val="222222"/>
          <w:shd w:val="clear" w:color="auto" w:fill="FFFFFF"/>
          <w:lang w:val="en-GB"/>
        </w:rPr>
        <w:t xml:space="preserve">ersity, 2022. Coronavirus Cases. </w:t>
      </w:r>
      <w:proofErr w:type="spellStart"/>
      <w:r>
        <w:rPr>
          <w:rFonts w:eastAsia="SimSun" w:cs="Times New Roman"/>
          <w:color w:val="222222"/>
          <w:shd w:val="clear" w:color="auto" w:fill="FFFFFF"/>
          <w:lang w:val="en-GB"/>
        </w:rPr>
        <w:t>Worldometer</w:t>
      </w:r>
      <w:proofErr w:type="spellEnd"/>
      <w:r>
        <w:rPr>
          <w:rFonts w:eastAsia="SimSun" w:cs="Times New Roman"/>
          <w:color w:val="222222"/>
          <w:shd w:val="clear" w:color="auto" w:fill="FFFFFF"/>
          <w:lang w:val="en-GB"/>
        </w:rPr>
        <w:t xml:space="preserve">, 05 January 2022. Available at: </w:t>
      </w:r>
      <w:hyperlink r:id="rId8" w:history="1">
        <w:r>
          <w:rPr>
            <w:rStyle w:val="Hyperlink"/>
            <w:rFonts w:eastAsia="SimSun" w:cs="Times New Roman"/>
          </w:rPr>
          <w:t xml:space="preserve">COVID Live - Coronavirus Statistics - </w:t>
        </w:r>
        <w:proofErr w:type="spellStart"/>
        <w:r>
          <w:rPr>
            <w:rStyle w:val="Hyperlink"/>
            <w:rFonts w:eastAsia="SimSun" w:cs="Times New Roman"/>
          </w:rPr>
          <w:t>Worldometer</w:t>
        </w:r>
        <w:proofErr w:type="spellEnd"/>
        <w:r>
          <w:rPr>
            <w:rStyle w:val="Hyperlink"/>
            <w:rFonts w:eastAsia="SimSun" w:cs="Times New Roman"/>
          </w:rPr>
          <w:t xml:space="preserve"> (</w:t>
        </w:r>
        <w:proofErr w:type="spellStart"/>
        <w:r>
          <w:rPr>
            <w:rStyle w:val="Hyperlink"/>
            <w:rFonts w:eastAsia="SimSun" w:cs="Times New Roman"/>
          </w:rPr>
          <w:t>worldometers.info</w:t>
        </w:r>
        <w:proofErr w:type="spellEnd"/>
        <w:r>
          <w:rPr>
            <w:rStyle w:val="Hyperlink"/>
            <w:rFonts w:eastAsia="SimSun" w:cs="Times New Roman"/>
          </w:rPr>
          <w:t>)</w:t>
        </w:r>
      </w:hyperlink>
      <w:r>
        <w:rPr>
          <w:rFonts w:eastAsia="SimSun" w:cs="Times New Roman"/>
          <w:lang w:val="en-GB"/>
        </w:rPr>
        <w:t xml:space="preserve"> [Accessed 05 </w:t>
      </w:r>
      <w:proofErr w:type="spellStart"/>
      <w:r>
        <w:rPr>
          <w:rFonts w:eastAsia="SimSun" w:cs="Times New Roman"/>
          <w:lang w:val="en-GB"/>
        </w:rPr>
        <w:t>Janauary</w:t>
      </w:r>
      <w:proofErr w:type="spellEnd"/>
      <w:r>
        <w:rPr>
          <w:rFonts w:eastAsia="SimSun" w:cs="Times New Roman"/>
          <w:lang w:val="en-GB"/>
        </w:rPr>
        <w:t xml:space="preserve"> 2022].</w:t>
      </w:r>
    </w:p>
    <w:p w14:paraId="57BFE738" w14:textId="77777777" w:rsidR="00F9568A" w:rsidRDefault="00E8434C">
      <w:pPr>
        <w:spacing w:line="360" w:lineRule="auto"/>
        <w:rPr>
          <w:rFonts w:eastAsia="SimSun" w:cs="Times New Roman"/>
          <w:color w:val="222222"/>
          <w:shd w:val="clear" w:color="auto" w:fill="FFFFFF"/>
        </w:rPr>
      </w:pPr>
      <w:proofErr w:type="spellStart"/>
      <w:r>
        <w:rPr>
          <w:rFonts w:eastAsia="SimSun" w:cs="Times New Roman"/>
          <w:color w:val="222222"/>
          <w:shd w:val="clear" w:color="auto" w:fill="FFFFFF"/>
        </w:rPr>
        <w:t>Kundnani</w:t>
      </w:r>
      <w:proofErr w:type="spellEnd"/>
      <w:r>
        <w:rPr>
          <w:rFonts w:eastAsia="SimSun" w:cs="Times New Roman"/>
          <w:color w:val="222222"/>
          <w:shd w:val="clear" w:color="auto" w:fill="FFFFFF"/>
        </w:rPr>
        <w:t xml:space="preserve">, H., </w:t>
      </w:r>
      <w:r>
        <w:rPr>
          <w:rFonts w:eastAsia="SimSun" w:cs="Times New Roman"/>
          <w:color w:val="222222"/>
          <w:shd w:val="clear" w:color="auto" w:fill="FFFFFF"/>
        </w:rPr>
        <w:t>2020. </w:t>
      </w:r>
      <w:r>
        <w:rPr>
          <w:rFonts w:eastAsia="SimSun" w:cs="Times New Roman"/>
          <w:i/>
          <w:iCs/>
          <w:color w:val="222222"/>
          <w:shd w:val="clear" w:color="auto" w:fill="FFFFFF"/>
        </w:rPr>
        <w:t xml:space="preserve">Europe After the Coronavirus: A </w:t>
      </w:r>
      <w:proofErr w:type="spellStart"/>
      <w:r>
        <w:rPr>
          <w:rFonts w:eastAsia="SimSun" w:cs="Times New Roman"/>
          <w:i/>
          <w:iCs/>
          <w:color w:val="222222"/>
          <w:shd w:val="clear" w:color="auto" w:fill="FFFFFF"/>
        </w:rPr>
        <w:t>ZReturn</w:t>
      </w:r>
      <w:proofErr w:type="spellEnd"/>
      <w:r>
        <w:rPr>
          <w:rFonts w:eastAsia="SimSun" w:cs="Times New Roman"/>
          <w:i/>
          <w:iCs/>
          <w:color w:val="222222"/>
          <w:shd w:val="clear" w:color="auto" w:fill="FFFFFF"/>
        </w:rPr>
        <w:t xml:space="preserve"> of the </w:t>
      </w:r>
      <w:proofErr w:type="spellStart"/>
      <w:r>
        <w:rPr>
          <w:rFonts w:eastAsia="SimSun" w:cs="Times New Roman"/>
          <w:i/>
          <w:iCs/>
          <w:color w:val="222222"/>
          <w:shd w:val="clear" w:color="auto" w:fill="FFFFFF"/>
        </w:rPr>
        <w:t>Statey</w:t>
      </w:r>
      <w:proofErr w:type="spellEnd"/>
      <w:r>
        <w:rPr>
          <w:rFonts w:eastAsia="SimSun" w:cs="Times New Roman"/>
          <w:i/>
          <w:iCs/>
          <w:color w:val="222222"/>
          <w:shd w:val="clear" w:color="auto" w:fill="FFFFFF"/>
        </w:rPr>
        <w:t>?</w:t>
      </w:r>
      <w:r>
        <w:rPr>
          <w:rFonts w:eastAsia="SimSun" w:cs="Times New Roman"/>
          <w:color w:val="222222"/>
          <w:shd w:val="clear" w:color="auto" w:fill="FFFFFF"/>
        </w:rPr>
        <w:t xml:space="preserve">. </w:t>
      </w:r>
      <w:proofErr w:type="spellStart"/>
      <w:r>
        <w:rPr>
          <w:rFonts w:eastAsia="SimSun" w:cs="Times New Roman"/>
          <w:color w:val="222222"/>
          <w:shd w:val="clear" w:color="auto" w:fill="FFFFFF"/>
        </w:rPr>
        <w:t>Istituto</w:t>
      </w:r>
      <w:proofErr w:type="spellEnd"/>
      <w:r>
        <w:rPr>
          <w:rFonts w:eastAsia="SimSun" w:cs="Times New Roman"/>
          <w:color w:val="222222"/>
          <w:shd w:val="clear" w:color="auto" w:fill="FFFFFF"/>
        </w:rPr>
        <w:t xml:space="preserve"> </w:t>
      </w:r>
      <w:proofErr w:type="spellStart"/>
      <w:r>
        <w:rPr>
          <w:rFonts w:eastAsia="SimSun" w:cs="Times New Roman"/>
          <w:color w:val="222222"/>
          <w:shd w:val="clear" w:color="auto" w:fill="FFFFFF"/>
        </w:rPr>
        <w:t>Affari</w:t>
      </w:r>
      <w:proofErr w:type="spellEnd"/>
      <w:r>
        <w:rPr>
          <w:rFonts w:eastAsia="SimSun" w:cs="Times New Roman"/>
          <w:color w:val="222222"/>
          <w:shd w:val="clear" w:color="auto" w:fill="FFFFFF"/>
        </w:rPr>
        <w:t xml:space="preserve"> </w:t>
      </w:r>
      <w:proofErr w:type="spellStart"/>
      <w:r>
        <w:rPr>
          <w:rFonts w:eastAsia="SimSun" w:cs="Times New Roman"/>
          <w:color w:val="222222"/>
          <w:shd w:val="clear" w:color="auto" w:fill="FFFFFF"/>
        </w:rPr>
        <w:t>Internazionali</w:t>
      </w:r>
      <w:proofErr w:type="spellEnd"/>
      <w:r>
        <w:rPr>
          <w:rFonts w:eastAsia="SimSun" w:cs="Times New Roman"/>
          <w:color w:val="222222"/>
          <w:shd w:val="clear" w:color="auto" w:fill="FFFFFF"/>
        </w:rPr>
        <w:t xml:space="preserve"> (IAI).</w:t>
      </w:r>
    </w:p>
    <w:p w14:paraId="78163ADD"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Morris, N., 2015. Providing ethical guidance for collaborative research in developing countries. </w:t>
      </w:r>
      <w:r>
        <w:rPr>
          <w:rFonts w:eastAsia="SimSun" w:cs="Times New Roman"/>
          <w:i/>
          <w:iCs/>
          <w:color w:val="222222"/>
          <w:shd w:val="clear" w:color="auto" w:fill="FFFFFF"/>
        </w:rPr>
        <w:t>Research ethics</w:t>
      </w:r>
      <w:r>
        <w:rPr>
          <w:rFonts w:eastAsia="SimSun" w:cs="Times New Roman"/>
          <w:color w:val="222222"/>
          <w:shd w:val="clear" w:color="auto" w:fill="FFFFFF"/>
        </w:rPr>
        <w:t>, </w:t>
      </w:r>
      <w:r>
        <w:rPr>
          <w:rFonts w:eastAsia="SimSun" w:cs="Times New Roman"/>
          <w:i/>
          <w:iCs/>
          <w:color w:val="222222"/>
          <w:shd w:val="clear" w:color="auto" w:fill="FFFFFF"/>
        </w:rPr>
        <w:t>11</w:t>
      </w:r>
      <w:r>
        <w:rPr>
          <w:rFonts w:eastAsia="SimSun" w:cs="Times New Roman"/>
          <w:color w:val="222222"/>
          <w:shd w:val="clear" w:color="auto" w:fill="FFFFFF"/>
        </w:rPr>
        <w:t>(4), pp.211-235.</w:t>
      </w:r>
    </w:p>
    <w:p w14:paraId="07DD233B"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 xml:space="preserve">Sriram, V., Jenkinson, </w:t>
      </w:r>
      <w:r>
        <w:rPr>
          <w:rFonts w:eastAsia="SimSun" w:cs="Times New Roman"/>
          <w:color w:val="222222"/>
          <w:shd w:val="clear" w:color="auto" w:fill="FFFFFF"/>
        </w:rPr>
        <w:t>C. and Peters, M., 2021. Impact of COVID-19 restrictions on carers of persons with dementia in the UK: a qualitative study. </w:t>
      </w:r>
      <w:r>
        <w:rPr>
          <w:rFonts w:eastAsia="SimSun" w:cs="Times New Roman"/>
          <w:i/>
          <w:iCs/>
          <w:color w:val="222222"/>
          <w:shd w:val="clear" w:color="auto" w:fill="FFFFFF"/>
        </w:rPr>
        <w:t xml:space="preserve">Age and </w:t>
      </w:r>
      <w:proofErr w:type="spellStart"/>
      <w:r>
        <w:rPr>
          <w:rFonts w:eastAsia="SimSun" w:cs="Times New Roman"/>
          <w:i/>
          <w:iCs/>
          <w:color w:val="222222"/>
          <w:shd w:val="clear" w:color="auto" w:fill="FFFFFF"/>
        </w:rPr>
        <w:t>ageing</w:t>
      </w:r>
      <w:proofErr w:type="spellEnd"/>
      <w:r>
        <w:rPr>
          <w:rFonts w:eastAsia="SimSun" w:cs="Times New Roman"/>
          <w:color w:val="222222"/>
          <w:shd w:val="clear" w:color="auto" w:fill="FFFFFF"/>
        </w:rPr>
        <w:t>, </w:t>
      </w:r>
      <w:r>
        <w:rPr>
          <w:rFonts w:eastAsia="SimSun" w:cs="Times New Roman"/>
          <w:i/>
          <w:iCs/>
          <w:color w:val="222222"/>
          <w:shd w:val="clear" w:color="auto" w:fill="FFFFFF"/>
        </w:rPr>
        <w:t>50</w:t>
      </w:r>
      <w:r>
        <w:rPr>
          <w:rFonts w:eastAsia="SimSun" w:cs="Times New Roman"/>
          <w:color w:val="222222"/>
          <w:shd w:val="clear" w:color="auto" w:fill="FFFFFF"/>
        </w:rPr>
        <w:t>(6), pp.1876-1885.</w:t>
      </w:r>
    </w:p>
    <w:p w14:paraId="499D341F"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t>World Health Organization, 2020. Schools and Other Educational Institutions Transmission Invest</w:t>
      </w:r>
      <w:r>
        <w:rPr>
          <w:rFonts w:eastAsia="SimSun" w:cs="Times New Roman"/>
          <w:color w:val="222222"/>
          <w:shd w:val="clear" w:color="auto" w:fill="FFFFFF"/>
        </w:rPr>
        <w:t>igation Protocol for Coronavirus Disease 2019 (COVID-19).</w:t>
      </w:r>
    </w:p>
    <w:p w14:paraId="2EE5711D" w14:textId="77777777" w:rsidR="00F9568A" w:rsidRDefault="00E8434C">
      <w:pPr>
        <w:spacing w:line="360" w:lineRule="auto"/>
        <w:rPr>
          <w:rFonts w:eastAsia="SimSun" w:cs="Times New Roman"/>
          <w:color w:val="222222"/>
          <w:shd w:val="clear" w:color="auto" w:fill="FFFFFF"/>
        </w:rPr>
      </w:pPr>
      <w:r>
        <w:rPr>
          <w:rFonts w:eastAsia="SimSun" w:cs="Times New Roman"/>
          <w:color w:val="222222"/>
          <w:shd w:val="clear" w:color="auto" w:fill="FFFFFF"/>
        </w:rPr>
        <w:lastRenderedPageBreak/>
        <w:t>World Health Organization, 2020. </w:t>
      </w:r>
      <w:r>
        <w:rPr>
          <w:rFonts w:eastAsia="SimSun" w:cs="Times New Roman"/>
          <w:i/>
          <w:iCs/>
          <w:color w:val="222222"/>
          <w:shd w:val="clear" w:color="auto" w:fill="FFFFFF"/>
        </w:rPr>
        <w:t>Guidance on COVID-19 for the care of older people and people living in long-term care facilities, other non-acute care facilities and home care</w:t>
      </w:r>
      <w:r>
        <w:rPr>
          <w:rFonts w:eastAsia="SimSun" w:cs="Times New Roman"/>
          <w:color w:val="222222"/>
          <w:shd w:val="clear" w:color="auto" w:fill="FFFFFF"/>
        </w:rPr>
        <w:t> (No. WPR/DSE/2020/015</w:t>
      </w:r>
      <w:r>
        <w:rPr>
          <w:rFonts w:eastAsia="SimSun" w:cs="Times New Roman"/>
          <w:color w:val="222222"/>
          <w:shd w:val="clear" w:color="auto" w:fill="FFFFFF"/>
        </w:rPr>
        <w:t>). Manila: WHO Regional Office for the Western Pacific.</w:t>
      </w:r>
    </w:p>
    <w:p w14:paraId="333135EF" w14:textId="77777777" w:rsidR="00F9568A" w:rsidRDefault="00E8434C">
      <w:pPr>
        <w:spacing w:line="360" w:lineRule="auto"/>
        <w:rPr>
          <w:rFonts w:cs="Times New Roman"/>
          <w:lang w:val="en-GB"/>
        </w:rPr>
      </w:pPr>
      <w:r>
        <w:rPr>
          <w:rFonts w:eastAsia="SimSun" w:cs="Times New Roman"/>
          <w:color w:val="222222"/>
          <w:shd w:val="clear" w:color="auto" w:fill="FFFFFF"/>
        </w:rPr>
        <w:t xml:space="preserve">Zhou, L. and </w:t>
      </w:r>
      <w:proofErr w:type="spellStart"/>
      <w:r>
        <w:rPr>
          <w:rFonts w:eastAsia="SimSun" w:cs="Times New Roman"/>
          <w:color w:val="222222"/>
          <w:shd w:val="clear" w:color="auto" w:fill="FFFFFF"/>
        </w:rPr>
        <w:t>Nunes</w:t>
      </w:r>
      <w:proofErr w:type="spellEnd"/>
      <w:r>
        <w:rPr>
          <w:rFonts w:eastAsia="SimSun" w:cs="Times New Roman"/>
          <w:color w:val="222222"/>
          <w:shd w:val="clear" w:color="auto" w:fill="FFFFFF"/>
        </w:rPr>
        <w:t>, M.B., 2016. Formulating a framework for desktop research in Chinese information systems. In </w:t>
      </w:r>
      <w:r>
        <w:rPr>
          <w:rFonts w:eastAsia="SimSun" w:cs="Times New Roman"/>
          <w:i/>
          <w:iCs/>
          <w:color w:val="222222"/>
          <w:shd w:val="clear" w:color="auto" w:fill="FFFFFF"/>
        </w:rPr>
        <w:t>Handbook of Research on Innovations in Information Retrieval, Analysis, and Management</w:t>
      </w:r>
      <w:r>
        <w:rPr>
          <w:rFonts w:eastAsia="SimSun" w:cs="Times New Roman"/>
          <w:color w:val="222222"/>
          <w:shd w:val="clear" w:color="auto" w:fill="FFFFFF"/>
        </w:rPr>
        <w:t> (</w:t>
      </w:r>
      <w:r>
        <w:rPr>
          <w:rFonts w:eastAsia="SimSun" w:cs="Times New Roman"/>
          <w:color w:val="222222"/>
          <w:shd w:val="clear" w:color="auto" w:fill="FFFFFF"/>
        </w:rPr>
        <w:t>pp. 307-325). IGI Global.</w:t>
      </w:r>
      <w:r>
        <w:rPr>
          <w:rFonts w:cs="Times New Roman"/>
          <w:lang w:val="en-GB"/>
        </w:rPr>
        <w:t xml:space="preserve"> </w:t>
      </w:r>
    </w:p>
    <w:p w14:paraId="01EEE7D9" w14:textId="77777777" w:rsidR="00F9568A" w:rsidRDefault="00F9568A">
      <w:pPr>
        <w:spacing w:line="360" w:lineRule="auto"/>
        <w:rPr>
          <w:lang w:val="en-GB"/>
        </w:rPr>
      </w:pPr>
    </w:p>
    <w:p w14:paraId="45411106" w14:textId="77777777" w:rsidR="00F9568A" w:rsidRDefault="00F9568A">
      <w:pPr>
        <w:spacing w:line="360" w:lineRule="auto"/>
      </w:pPr>
    </w:p>
    <w:sectPr w:rsidR="00F9568A">
      <w:footerReference w:type="default" r:id="rId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5CB8E" w14:textId="77777777" w:rsidR="00000000" w:rsidRDefault="00E8434C">
      <w:r>
        <w:separator/>
      </w:r>
    </w:p>
  </w:endnote>
  <w:endnote w:type="continuationSeparator" w:id="0">
    <w:p w14:paraId="2A9B09DC" w14:textId="77777777" w:rsidR="00000000" w:rsidRDefault="00E843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default"/>
    <w:sig w:usb0="00000000" w:usb1="0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Malgun Gothic">
    <w:panose1 w:val="020B0503020000020004"/>
    <w:charset w:val="81"/>
    <w:family w:val="swiss"/>
    <w:pitch w:val="variable"/>
    <w:sig w:usb0="9000002F" w:usb1="29D77CFB" w:usb2="00000012" w:usb3="00000000" w:csb0="0008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D81AC" w14:textId="77777777" w:rsidR="00F9568A" w:rsidRDefault="00E8434C">
    <w:pPr>
      <w:pStyle w:val="Footer"/>
    </w:pPr>
    <w:r>
      <w:rPr>
        <w:noProof/>
      </w:rPr>
      <mc:AlternateContent>
        <mc:Choice Requires="wps">
          <w:drawing>
            <wp:anchor distT="0" distB="0" distL="114300" distR="114300" simplePos="0" relativeHeight="251659264" behindDoc="0" locked="0" layoutInCell="1" allowOverlap="1" wp14:anchorId="1A717FCE" wp14:editId="0F40B6E3">
              <wp:simplePos x="0" y="0"/>
              <wp:positionH relativeFrom="margin">
                <wp:align>center</wp:align>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40B4ED05" w14:textId="77777777" w:rsidR="00F9568A" w:rsidRDefault="00E8434C">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xmlns:wpsCustomData="http://www.wps.cn/officeDocument/2013/wpsCustomData">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wt5fogAgAAYAQAAA4AAABkcnMvZTJvRG9jLnhtbK1UTYvbMBC9F/of&#10;hO6NnZQuwcRZ0g0phdBdyJaeFVmOBfpCUmKnv75P/sgu2x720Iszmhm9mfdmlNV9pxW5CB+kNSWd&#10;z3JKhOG2kuZU0p/Pu09LSkJkpmLKGlHSqwj0fv3xw6p1hVjYxqpKeAIQE4rWlbSJ0RVZFngjNAsz&#10;64RBsLZes4ijP2WVZy3QtcoWeX6XtdZXzlsuQoB3OwTpiOjfA2jrWnKxtfyshYkDqheKRVAKjXSB&#10;rvtu61rw+FjXQUSiSgqmsf+iCOxj+mbrFStOnrlG8rEF9p4W3nDSTBoUvUFtWWTk7OVfUFpyb4Ot&#10;44xbnQ1EekXAYp6/0ebQMCd6LpA6uJvo4f/B8h+XJ09khU2gxDCNgT+LLpKvtiPzpE7rQoGkg0Na&#10;7OBOmaM/wJlId7XX6Rd0COLQ9nrTNoHxdGm5WC5zhDhi0wE42ct150P8JqwmySipx/B6TdllH+KQ&#10;OqWkasbupFLws0IZ0pb07vOXvL9wiwBcGdRIJIZmkxW7YzcyONrqCmLeDosRHN9JFN+zEJ+Yxyag&#10;YbyV+IhPrSyK2NGipLH+97/8KR8DQpSSFptVUoOHRIn6bjA4AMbJ8JNxnAxz1g8Wq4phoJfexAUf&#10;1WTW3upfeECbVAMhZjgqlTRO5kMcthsPkIvNpk86Oy9PzXABa+dY3JuD46lMUi+4zTlCzF7jJNCg&#10;yqgbFq+f0vhI0ma/PvdZL38M6z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CJBAAAW0NvbnRlbnRfVHlwZXNdLnhtbFBLAQIUAAoAAAAAAIdO4kAA&#10;AAAAAAAAAAAAAAAGAAAAAAAAAAAAEAAAAGsDAABfcmVscy9QSwECFAAUAAAACACHTuJAihRmPNEA&#10;AACUAQAACwAAAAAAAAABACAAAACPAwAAX3JlbHMvLnJlbHNQSwECFAAKAAAAAACHTuJAAAAAAAAA&#10;AAAAAAAABAAAAAAAAAAAABAAAAAAAAAAZHJzL1BLAQIUABQAAAAIAIdO4kCzSVju0AAAAAUBAAAP&#10;AAAAAAAAAAEAIAAAACIAAABkcnMvZG93bnJldi54bWxQSwECFAAUAAAACACHTuJAXC3l+iACAABg&#10;BAAADgAAAAAAAAABACAAAAAfAQAAZHJzL2Uyb0RvYy54bWxQSwUGAAAAAAYABgBZAQAAsQUAAAAA&#10;">
              <v:fill on="f" focussize="0,0"/>
              <v:stroke on="f" weight="0.5pt"/>
              <v:imagedata o:title=""/>
              <o:lock v:ext="edit" aspectratio="f"/>
              <v:textbox inset="0mm,0mm,0mm,0mm" style="mso-fit-shape-to-text:t;">
                <w:txbxContent>
                  <w:p>
                    <w:pPr>
                      <w:pStyle w:val="37"/>
                    </w:pPr>
                    <w:r>
                      <w:fldChar w:fldCharType="begin"/>
                    </w:r>
                    <w:r>
                      <w:instrText xml:space="preserve"> PAGE  \* MERGEFORMAT </w:instrText>
                    </w:r>
                    <w:r>
                      <w:fldChar w:fldCharType="separate"/>
                    </w:r>
                    <w:r>
                      <w:t>1</w:t>
                    </w:r>
                    <w:r>
                      <w:fldChar w:fldCharType="end"/>
                    </w:r>
                  </w:p>
                </w:txbxContent>
              </v:textbox>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DEC296" w14:textId="77777777" w:rsidR="00000000" w:rsidRDefault="00E8434C">
      <w:r>
        <w:separator/>
      </w:r>
    </w:p>
  </w:footnote>
  <w:footnote w:type="continuationSeparator" w:id="0">
    <w:p w14:paraId="463AA198" w14:textId="77777777" w:rsidR="00000000" w:rsidRDefault="00E843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843FC9B3"/>
    <w:multiLevelType w:val="singleLevel"/>
    <w:tmpl w:val="843FC9B3"/>
    <w:lvl w:ilvl="0">
      <w:start w:val="5"/>
      <w:numFmt w:val="decimal"/>
      <w:suff w:val="space"/>
      <w:lvlText w:val="%1."/>
      <w:lvlJc w:val="left"/>
    </w:lvl>
  </w:abstractNum>
  <w:abstractNum w:abstractNumId="1" w15:restartNumberingAfterBreak="0">
    <w:nsid w:val="8C30163E"/>
    <w:multiLevelType w:val="singleLevel"/>
    <w:tmpl w:val="8C30163E"/>
    <w:lvl w:ilvl="0">
      <w:start w:val="1"/>
      <w:numFmt w:val="lowerLetter"/>
      <w:lvlText w:val="%1)"/>
      <w:lvlJc w:val="left"/>
      <w:pPr>
        <w:tabs>
          <w:tab w:val="left" w:pos="425"/>
        </w:tabs>
        <w:ind w:left="425" w:hanging="425"/>
      </w:pPr>
      <w:rPr>
        <w:rFonts w:hint="default"/>
      </w:rPr>
    </w:lvl>
  </w:abstractNum>
  <w:abstractNum w:abstractNumId="2" w15:restartNumberingAfterBreak="0">
    <w:nsid w:val="AD61DE40"/>
    <w:multiLevelType w:val="singleLevel"/>
    <w:tmpl w:val="AD61DE40"/>
    <w:lvl w:ilvl="0">
      <w:start w:val="2"/>
      <w:numFmt w:val="decimal"/>
      <w:suff w:val="space"/>
      <w:lvlText w:val="%1."/>
      <w:lvlJc w:val="left"/>
    </w:lvl>
  </w:abstractNum>
  <w:abstractNum w:abstractNumId="3" w15:restartNumberingAfterBreak="0">
    <w:nsid w:val="FFFFFF7C"/>
    <w:multiLevelType w:val="singleLevel"/>
    <w:tmpl w:val="FFFFFF7C"/>
    <w:lvl w:ilvl="0">
      <w:start w:val="1"/>
      <w:numFmt w:val="decimal"/>
      <w:pStyle w:val="ListNumber5"/>
      <w:lvlText w:val="%1."/>
      <w:lvlJc w:val="left"/>
      <w:pPr>
        <w:tabs>
          <w:tab w:val="left" w:pos="2040"/>
        </w:tabs>
        <w:ind w:leftChars="800" w:left="2040" w:hangingChars="200" w:hanging="360"/>
      </w:pPr>
    </w:lvl>
  </w:abstractNum>
  <w:abstractNum w:abstractNumId="4" w15:restartNumberingAfterBreak="0">
    <w:nsid w:val="FFFFFF7D"/>
    <w:multiLevelType w:val="singleLevel"/>
    <w:tmpl w:val="FFFFFF7D"/>
    <w:lvl w:ilvl="0">
      <w:start w:val="1"/>
      <w:numFmt w:val="decimal"/>
      <w:pStyle w:val="ListNumber4"/>
      <w:lvlText w:val="%1."/>
      <w:lvlJc w:val="left"/>
      <w:pPr>
        <w:tabs>
          <w:tab w:val="left" w:pos="1620"/>
        </w:tabs>
        <w:ind w:leftChars="600" w:left="1620" w:hangingChars="200" w:hanging="360"/>
      </w:pPr>
    </w:lvl>
  </w:abstractNum>
  <w:abstractNum w:abstractNumId="5" w15:restartNumberingAfterBreak="0">
    <w:nsid w:val="FFFFFF7E"/>
    <w:multiLevelType w:val="singleLevel"/>
    <w:tmpl w:val="FFFFFF7E"/>
    <w:lvl w:ilvl="0">
      <w:start w:val="1"/>
      <w:numFmt w:val="decimal"/>
      <w:pStyle w:val="ListNumber3"/>
      <w:lvlText w:val="%1."/>
      <w:lvlJc w:val="left"/>
      <w:pPr>
        <w:tabs>
          <w:tab w:val="left" w:pos="1200"/>
        </w:tabs>
        <w:ind w:leftChars="400" w:left="1200" w:hangingChars="200" w:hanging="360"/>
      </w:pPr>
    </w:lvl>
  </w:abstractNum>
  <w:abstractNum w:abstractNumId="6" w15:restartNumberingAfterBreak="0">
    <w:nsid w:val="FFFFFF7F"/>
    <w:multiLevelType w:val="singleLevel"/>
    <w:tmpl w:val="FFFFFF7F"/>
    <w:lvl w:ilvl="0">
      <w:start w:val="1"/>
      <w:numFmt w:val="decimal"/>
      <w:pStyle w:val="ListNumber2"/>
      <w:lvlText w:val="%1."/>
      <w:lvlJc w:val="left"/>
      <w:pPr>
        <w:tabs>
          <w:tab w:val="left" w:pos="780"/>
        </w:tabs>
        <w:ind w:leftChars="200" w:left="780" w:hangingChars="200" w:hanging="360"/>
      </w:pPr>
    </w:lvl>
  </w:abstractNum>
  <w:abstractNum w:abstractNumId="7" w15:restartNumberingAfterBreak="0">
    <w:nsid w:val="FFFFFF80"/>
    <w:multiLevelType w:val="singleLevel"/>
    <w:tmpl w:val="FFFFFF80"/>
    <w:lvl w:ilvl="0">
      <w:start w:val="1"/>
      <w:numFmt w:val="bullet"/>
      <w:pStyle w:val="ListBullet5"/>
      <w:lvlText w:val=""/>
      <w:lvlJc w:val="left"/>
      <w:pPr>
        <w:tabs>
          <w:tab w:val="left" w:pos="2040"/>
        </w:tabs>
        <w:ind w:leftChars="800" w:left="2040" w:hangingChars="200" w:hanging="360"/>
      </w:pPr>
      <w:rPr>
        <w:rFonts w:ascii="Wingdings" w:hAnsi="Wingdings" w:hint="default"/>
      </w:rPr>
    </w:lvl>
  </w:abstractNum>
  <w:abstractNum w:abstractNumId="8" w15:restartNumberingAfterBreak="0">
    <w:nsid w:val="FFFFFF81"/>
    <w:multiLevelType w:val="singleLevel"/>
    <w:tmpl w:val="FFFFFF81"/>
    <w:lvl w:ilvl="0">
      <w:start w:val="1"/>
      <w:numFmt w:val="bullet"/>
      <w:pStyle w:val="ListBullet4"/>
      <w:lvlText w:val=""/>
      <w:lvlJc w:val="left"/>
      <w:pPr>
        <w:tabs>
          <w:tab w:val="left" w:pos="1620"/>
        </w:tabs>
        <w:ind w:leftChars="600" w:left="1620" w:hangingChars="200" w:hanging="360"/>
      </w:pPr>
      <w:rPr>
        <w:rFonts w:ascii="Wingdings" w:hAnsi="Wingdings" w:hint="default"/>
      </w:rPr>
    </w:lvl>
  </w:abstractNum>
  <w:abstractNum w:abstractNumId="9" w15:restartNumberingAfterBreak="0">
    <w:nsid w:val="FFFFFF82"/>
    <w:multiLevelType w:val="singleLevel"/>
    <w:tmpl w:val="FFFFFF82"/>
    <w:lvl w:ilvl="0">
      <w:start w:val="1"/>
      <w:numFmt w:val="bullet"/>
      <w:pStyle w:val="ListBullet3"/>
      <w:lvlText w:val=""/>
      <w:lvlJc w:val="left"/>
      <w:pPr>
        <w:tabs>
          <w:tab w:val="left" w:pos="1200"/>
        </w:tabs>
        <w:ind w:leftChars="400" w:left="1200" w:hangingChars="200" w:hanging="360"/>
      </w:pPr>
      <w:rPr>
        <w:rFonts w:ascii="Wingdings" w:hAnsi="Wingdings" w:hint="default"/>
      </w:rPr>
    </w:lvl>
  </w:abstractNum>
  <w:abstractNum w:abstractNumId="10" w15:restartNumberingAfterBreak="0">
    <w:nsid w:val="FFFFFF83"/>
    <w:multiLevelType w:val="singleLevel"/>
    <w:tmpl w:val="FFFFFF83"/>
    <w:lvl w:ilvl="0">
      <w:start w:val="1"/>
      <w:numFmt w:val="bullet"/>
      <w:pStyle w:val="ListBullet2"/>
      <w:lvlText w:val=""/>
      <w:lvlJc w:val="left"/>
      <w:pPr>
        <w:tabs>
          <w:tab w:val="left" w:pos="780"/>
        </w:tabs>
        <w:ind w:leftChars="200" w:left="780" w:hangingChars="200" w:hanging="360"/>
      </w:pPr>
      <w:rPr>
        <w:rFonts w:ascii="Wingdings" w:hAnsi="Wingdings" w:hint="default"/>
      </w:rPr>
    </w:lvl>
  </w:abstractNum>
  <w:abstractNum w:abstractNumId="11" w15:restartNumberingAfterBreak="0">
    <w:nsid w:val="FFFFFF88"/>
    <w:multiLevelType w:val="singleLevel"/>
    <w:tmpl w:val="FFFFFF88"/>
    <w:lvl w:ilvl="0">
      <w:start w:val="1"/>
      <w:numFmt w:val="decimal"/>
      <w:pStyle w:val="ListNumber"/>
      <w:lvlText w:val="%1."/>
      <w:lvlJc w:val="left"/>
      <w:pPr>
        <w:tabs>
          <w:tab w:val="left" w:pos="360"/>
        </w:tabs>
        <w:ind w:left="360" w:hangingChars="200" w:hanging="360"/>
      </w:pPr>
    </w:lvl>
  </w:abstractNum>
  <w:abstractNum w:abstractNumId="12" w15:restartNumberingAfterBreak="0">
    <w:nsid w:val="FFFFFF89"/>
    <w:multiLevelType w:val="singleLevel"/>
    <w:tmpl w:val="FFFFFF89"/>
    <w:lvl w:ilvl="0">
      <w:start w:val="1"/>
      <w:numFmt w:val="bullet"/>
      <w:pStyle w:val="ListBullet"/>
      <w:lvlText w:val=""/>
      <w:lvlJc w:val="left"/>
      <w:pPr>
        <w:tabs>
          <w:tab w:val="left" w:pos="360"/>
        </w:tabs>
        <w:ind w:left="360" w:hangingChars="200" w:hanging="360"/>
      </w:pPr>
      <w:rPr>
        <w:rFonts w:ascii="Wingdings" w:hAnsi="Wingdings" w:hint="default"/>
      </w:rPr>
    </w:lvl>
  </w:abstractNum>
  <w:abstractNum w:abstractNumId="13" w15:restartNumberingAfterBreak="0">
    <w:nsid w:val="38C4B39A"/>
    <w:multiLevelType w:val="singleLevel"/>
    <w:tmpl w:val="38C4B39A"/>
    <w:lvl w:ilvl="0">
      <w:start w:val="1"/>
      <w:numFmt w:val="decimal"/>
      <w:lvlText w:val="%1)"/>
      <w:lvlJc w:val="left"/>
      <w:pPr>
        <w:tabs>
          <w:tab w:val="left" w:pos="425"/>
        </w:tabs>
        <w:ind w:left="425" w:hanging="425"/>
      </w:pPr>
      <w:rPr>
        <w:rFonts w:hint="default"/>
      </w:rPr>
    </w:lvl>
  </w:abstractNum>
  <w:abstractNum w:abstractNumId="14" w15:restartNumberingAfterBreak="0">
    <w:nsid w:val="41482E51"/>
    <w:multiLevelType w:val="singleLevel"/>
    <w:tmpl w:val="41482E51"/>
    <w:lvl w:ilvl="0">
      <w:start w:val="3"/>
      <w:numFmt w:val="decimal"/>
      <w:suff w:val="space"/>
      <w:lvlText w:val="%1."/>
      <w:lvlJc w:val="left"/>
    </w:lvl>
  </w:abstractNum>
  <w:abstractNum w:abstractNumId="15" w15:restartNumberingAfterBreak="0">
    <w:nsid w:val="4F7840F4"/>
    <w:multiLevelType w:val="singleLevel"/>
    <w:tmpl w:val="4F7840F4"/>
    <w:lvl w:ilvl="0">
      <w:start w:val="1"/>
      <w:numFmt w:val="decimal"/>
      <w:suff w:val="space"/>
      <w:lvlText w:val="%1."/>
      <w:lvlJc w:val="left"/>
    </w:lvl>
  </w:abstractNum>
  <w:abstractNum w:abstractNumId="16" w15:restartNumberingAfterBreak="0">
    <w:nsid w:val="7C47F56A"/>
    <w:multiLevelType w:val="singleLevel"/>
    <w:tmpl w:val="7C47F56A"/>
    <w:lvl w:ilvl="0">
      <w:start w:val="4"/>
      <w:numFmt w:val="decimal"/>
      <w:suff w:val="space"/>
      <w:lvlText w:val="%1."/>
      <w:lvlJc w:val="left"/>
    </w:lvl>
  </w:abstractNum>
  <w:num w:numId="1">
    <w:abstractNumId w:val="12"/>
  </w:num>
  <w:num w:numId="2">
    <w:abstractNumId w:val="10"/>
  </w:num>
  <w:num w:numId="3">
    <w:abstractNumId w:val="9"/>
  </w:num>
  <w:num w:numId="4">
    <w:abstractNumId w:val="8"/>
  </w:num>
  <w:num w:numId="5">
    <w:abstractNumId w:val="7"/>
  </w:num>
  <w:num w:numId="6">
    <w:abstractNumId w:val="11"/>
  </w:num>
  <w:num w:numId="7">
    <w:abstractNumId w:val="6"/>
  </w:num>
  <w:num w:numId="8">
    <w:abstractNumId w:val="5"/>
  </w:num>
  <w:num w:numId="9">
    <w:abstractNumId w:val="4"/>
  </w:num>
  <w:num w:numId="10">
    <w:abstractNumId w:val="3"/>
  </w:num>
  <w:num w:numId="11">
    <w:abstractNumId w:val="15"/>
  </w:num>
  <w:num w:numId="12">
    <w:abstractNumId w:val="1"/>
  </w:num>
  <w:num w:numId="13">
    <w:abstractNumId w:val="2"/>
  </w:num>
  <w:num w:numId="14">
    <w:abstractNumId w:val="14"/>
  </w:num>
  <w:num w:numId="15">
    <w:abstractNumId w:val="16"/>
  </w:num>
  <w:num w:numId="16">
    <w:abstractNumId w:val="0"/>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isplayBackgroundShape/>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262C46F8"/>
    <w:rsid w:val="00050A31"/>
    <w:rsid w:val="000716D2"/>
    <w:rsid w:val="00071AAB"/>
    <w:rsid w:val="000B76C4"/>
    <w:rsid w:val="000C5610"/>
    <w:rsid w:val="000E6552"/>
    <w:rsid w:val="000F3A4F"/>
    <w:rsid w:val="000F59AC"/>
    <w:rsid w:val="001364FE"/>
    <w:rsid w:val="001368DD"/>
    <w:rsid w:val="00147DB3"/>
    <w:rsid w:val="001518A5"/>
    <w:rsid w:val="00170095"/>
    <w:rsid w:val="00170E4F"/>
    <w:rsid w:val="001743F4"/>
    <w:rsid w:val="00187C33"/>
    <w:rsid w:val="001936B7"/>
    <w:rsid w:val="00196AB1"/>
    <w:rsid w:val="00201333"/>
    <w:rsid w:val="00210FA7"/>
    <w:rsid w:val="00216417"/>
    <w:rsid w:val="0026631D"/>
    <w:rsid w:val="002C2F53"/>
    <w:rsid w:val="0033518C"/>
    <w:rsid w:val="003437C2"/>
    <w:rsid w:val="00377186"/>
    <w:rsid w:val="003A1C03"/>
    <w:rsid w:val="00414627"/>
    <w:rsid w:val="00425D63"/>
    <w:rsid w:val="004643D8"/>
    <w:rsid w:val="00497C24"/>
    <w:rsid w:val="004C7BA5"/>
    <w:rsid w:val="004E7628"/>
    <w:rsid w:val="004F48F2"/>
    <w:rsid w:val="005149B1"/>
    <w:rsid w:val="005647F2"/>
    <w:rsid w:val="005662D1"/>
    <w:rsid w:val="00573A09"/>
    <w:rsid w:val="005A4526"/>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91424"/>
    <w:rsid w:val="00AA2C77"/>
    <w:rsid w:val="00AC3FB9"/>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6789C"/>
    <w:rsid w:val="00C776A4"/>
    <w:rsid w:val="00CA2C6C"/>
    <w:rsid w:val="00CC0600"/>
    <w:rsid w:val="00CC78AC"/>
    <w:rsid w:val="00CF7953"/>
    <w:rsid w:val="00D07232"/>
    <w:rsid w:val="00D10245"/>
    <w:rsid w:val="00D21BDD"/>
    <w:rsid w:val="00D65F07"/>
    <w:rsid w:val="00D92BB7"/>
    <w:rsid w:val="00DC76D2"/>
    <w:rsid w:val="00DD30ED"/>
    <w:rsid w:val="00E64C21"/>
    <w:rsid w:val="00E8434C"/>
    <w:rsid w:val="00EC24C6"/>
    <w:rsid w:val="00EF2933"/>
    <w:rsid w:val="00F05146"/>
    <w:rsid w:val="00F1115D"/>
    <w:rsid w:val="00F3513C"/>
    <w:rsid w:val="00F465C5"/>
    <w:rsid w:val="00F5180D"/>
    <w:rsid w:val="00F51B21"/>
    <w:rsid w:val="00F51D87"/>
    <w:rsid w:val="00F8455C"/>
    <w:rsid w:val="00F9568A"/>
    <w:rsid w:val="01AC7D25"/>
    <w:rsid w:val="05036B1E"/>
    <w:rsid w:val="061D476D"/>
    <w:rsid w:val="07D55BDD"/>
    <w:rsid w:val="08445AC7"/>
    <w:rsid w:val="096935D4"/>
    <w:rsid w:val="0B063CB7"/>
    <w:rsid w:val="0DF54DCD"/>
    <w:rsid w:val="0F0C7DC8"/>
    <w:rsid w:val="12F76E5D"/>
    <w:rsid w:val="136A045A"/>
    <w:rsid w:val="154565D0"/>
    <w:rsid w:val="1806356F"/>
    <w:rsid w:val="180F6CD1"/>
    <w:rsid w:val="196769EC"/>
    <w:rsid w:val="1A8B7B32"/>
    <w:rsid w:val="1BB47836"/>
    <w:rsid w:val="1BF40F99"/>
    <w:rsid w:val="1BF51B32"/>
    <w:rsid w:val="1D10298B"/>
    <w:rsid w:val="1D250F4D"/>
    <w:rsid w:val="1E0D322B"/>
    <w:rsid w:val="2115619F"/>
    <w:rsid w:val="2138491C"/>
    <w:rsid w:val="22E9415B"/>
    <w:rsid w:val="22F95821"/>
    <w:rsid w:val="24365368"/>
    <w:rsid w:val="24B21250"/>
    <w:rsid w:val="262C46F8"/>
    <w:rsid w:val="27A11A7E"/>
    <w:rsid w:val="27E47BFF"/>
    <w:rsid w:val="29E02CEF"/>
    <w:rsid w:val="2A565161"/>
    <w:rsid w:val="2C491A3D"/>
    <w:rsid w:val="2CA43F7D"/>
    <w:rsid w:val="351C7A2B"/>
    <w:rsid w:val="357471C8"/>
    <w:rsid w:val="35883CA3"/>
    <w:rsid w:val="36916E29"/>
    <w:rsid w:val="37BB4A22"/>
    <w:rsid w:val="388B634D"/>
    <w:rsid w:val="38E56BD5"/>
    <w:rsid w:val="398A7705"/>
    <w:rsid w:val="3A8C37A0"/>
    <w:rsid w:val="3C1258D6"/>
    <w:rsid w:val="40D86FF1"/>
    <w:rsid w:val="428E31DF"/>
    <w:rsid w:val="4448740B"/>
    <w:rsid w:val="46D734EC"/>
    <w:rsid w:val="495E3734"/>
    <w:rsid w:val="49621088"/>
    <w:rsid w:val="4ABF15D1"/>
    <w:rsid w:val="4BD82FB1"/>
    <w:rsid w:val="4E430846"/>
    <w:rsid w:val="4F6910C4"/>
    <w:rsid w:val="531318E6"/>
    <w:rsid w:val="53D67621"/>
    <w:rsid w:val="540D5C5C"/>
    <w:rsid w:val="55483A56"/>
    <w:rsid w:val="559C1879"/>
    <w:rsid w:val="581C2F43"/>
    <w:rsid w:val="58701A26"/>
    <w:rsid w:val="588418D1"/>
    <w:rsid w:val="58EC3033"/>
    <w:rsid w:val="5DD501D0"/>
    <w:rsid w:val="5FB53C9F"/>
    <w:rsid w:val="5FD46459"/>
    <w:rsid w:val="5FE06667"/>
    <w:rsid w:val="60C516EB"/>
    <w:rsid w:val="684B0204"/>
    <w:rsid w:val="69977F30"/>
    <w:rsid w:val="6A361242"/>
    <w:rsid w:val="6AC15D86"/>
    <w:rsid w:val="6B71165A"/>
    <w:rsid w:val="6C0E425A"/>
    <w:rsid w:val="6C1C71E6"/>
    <w:rsid w:val="6C97165B"/>
    <w:rsid w:val="6E0833EF"/>
    <w:rsid w:val="6E883658"/>
    <w:rsid w:val="6ED81CBC"/>
    <w:rsid w:val="6EEF1726"/>
    <w:rsid w:val="702C77DA"/>
    <w:rsid w:val="711D36E4"/>
    <w:rsid w:val="72813E1E"/>
    <w:rsid w:val="7377284F"/>
    <w:rsid w:val="75B7799E"/>
    <w:rsid w:val="77B67CE3"/>
    <w:rsid w:val="786A585A"/>
    <w:rsid w:val="792B035F"/>
    <w:rsid w:val="79E31BFB"/>
    <w:rsid w:val="7C1F3255"/>
    <w:rsid w:val="7D9630A5"/>
    <w:rsid w:val="7E0613C4"/>
    <w:rsid w:val="7F280AFF"/>
    <w:rsid w:val="7F7E00F5"/>
    <w:rsid w:val="7FED3A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E30ECF8"/>
  <w15:docId w15:val="{D32BD14C-4139-6A49-9789-C142CF8CA8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1" w:count="376">
    <w:lsdException w:name="heading 2" w:unhideWhenUsed="1"/>
    <w:lsdException w:name="heading 3" w:unhideWhenUsed="1"/>
    <w:lsdException w:name="heading 4" w:unhideWhenUsed="1"/>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toc 8" w:qFormat="0"/>
    <w:lsdException w:name="toc 9" w:qFormat="0"/>
    <w:lsdException w:name="caption" w:semiHidden="1" w:unhideWhenUsed="1"/>
    <w:lsdException w:name="Default Paragraph Font" w:semiHidden="1" w:qFormat="0"/>
    <w:lsdException w:name="Body Text First Indent" w:qFormat="0"/>
    <w:lsdException w:name="FollowedHyperlink" w:qFormat="0"/>
    <w:lsdException w:name="HTML Top of Form" w:semiHidden="1" w:uiPriority="99" w:unhideWhenUsed="1" w:qFormat="0"/>
    <w:lsdException w:name="HTML Bottom of Form" w:semiHidden="1" w:uiPriority="99" w:unhideWhenUsed="1" w:qFormat="0"/>
    <w:lsdException w:name="HTML Address" w:qFormat="0"/>
    <w:lsdException w:name="HTML Code" w:qFormat="0"/>
    <w:lsdException w:name="Normal Table" w:semiHidden="1" w:unhideWhenUsed="1" w:qFormat="0"/>
    <w:lsdException w:name="No List" w:semiHidden="1" w:uiPriority="99" w:unhideWhenUsed="1" w:qFormat="0"/>
    <w:lsdException w:name="Outline List 1" w:semiHidden="1" w:uiPriority="99" w:unhideWhenUsed="1" w:qFormat="0"/>
    <w:lsdException w:name="Outline List 2" w:semiHidden="1" w:uiPriority="99" w:unhideWhenUsed="1" w:qFormat="0"/>
    <w:lsdException w:name="Outline List 3" w:semiHidden="1" w:uiPriority="99" w:unhideWhenUsed="1" w:qFormat="0"/>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qFormat="0"/>
    <w:lsdException w:name="Table Columns 3" w:semiHidden="1" w:unhideWhenUsed="1"/>
    <w:lsdException w:name="Table Columns 4" w:semiHidden="1" w:unhideWhenUsed="1"/>
    <w:lsdException w:name="Table Columns 5" w:semiHidden="1" w:unhideWhenUsed="1"/>
    <w:lsdException w:name="Table Grid 1" w:semiHidden="1" w:unhideWhenUsed="1" w:qFormat="0"/>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0"/>
    <w:lsdException w:name="Table Theme" w:semiHidden="1" w:unhideWhenUsed="1"/>
    <w:lsdException w:name="Placeholder Text" w:semiHidden="1" w:uiPriority="99" w:qFormat="0"/>
    <w:lsdException w:name="No Spacing" w:uiPriority="99" w:qFormat="0"/>
    <w:lsdException w:name="Light Shading" w:uiPriority="60"/>
    <w:lsdException w:name="Light List" w:uiPriority="61" w:qFormat="0"/>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qFormat="0"/>
    <w:lsdException w:name="Dark List" w:uiPriority="70" w:qFormat="0"/>
    <w:lsdException w:name="Colorful Shading" w:uiPriority="71" w:qFormat="0"/>
    <w:lsdException w:name="Colorful List" w:uiPriority="72" w:qFormat="0"/>
    <w:lsdException w:name="Colorful Grid" w:uiPriority="73" w:qFormat="0"/>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qFormat="0"/>
    <w:lsdException w:name="List Paragraph" w:uiPriority="99" w:qFormat="0"/>
    <w:lsdException w:name="Quote" w:uiPriority="99" w:qFormat="0"/>
    <w:lsdException w:name="Intense Quote" w:uiPriority="99" w:qFormat="0"/>
    <w:lsdException w:name="Medium List 2 Accent 1" w:uiPriority="66"/>
    <w:lsdException w:name="Medium Grid 1 Accent 1" w:uiPriority="67"/>
    <w:lsdException w:name="Medium Grid 2 Accent 1" w:uiPriority="68" w:qFormat="0"/>
    <w:lsdException w:name="Medium Grid 3 Accent 1" w:uiPriority="69"/>
    <w:lsdException w:name="Dark List Accent 1" w:uiPriority="70"/>
    <w:lsdException w:name="Colorful Shading Accent 1" w:uiPriority="71"/>
    <w:lsdException w:name="Colorful List Accent 1" w:uiPriority="72" w:qFormat="0"/>
    <w:lsdException w:name="Colorful Grid Accent 1" w:uiPriority="73"/>
    <w:lsdException w:name="Light Shading Accent 2" w:uiPriority="60" w:qFormat="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qFormat="0"/>
    <w:lsdException w:name="Medium Grid 2 Accent 2" w:uiPriority="68" w:qFormat="0"/>
    <w:lsdException w:name="Medium Grid 3 Accent 2" w:uiPriority="69"/>
    <w:lsdException w:name="Dark List Accent 2" w:uiPriority="70"/>
    <w:lsdException w:name="Colorful Shading Accent 2" w:uiPriority="71"/>
    <w:lsdException w:name="Colorful List Accent 2" w:uiPriority="72" w:qFormat="0"/>
    <w:lsdException w:name="Colorful Grid Accent 2" w:uiPriority="73" w:qFormat="0"/>
    <w:lsdException w:name="Light Shading Accent 3" w:uiPriority="60" w:qFormat="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qFormat="0"/>
    <w:lsdException w:name="Medium Grid 3 Accent 3" w:uiPriority="69" w:qFormat="0"/>
    <w:lsdException w:name="Dark List Accent 3" w:uiPriority="70" w:qFormat="0"/>
    <w:lsdException w:name="Colorful Shading Accent 3" w:uiPriority="71"/>
    <w:lsdException w:name="Colorful List Accent 3" w:uiPriority="72"/>
    <w:lsdException w:name="Colorful Grid Accent 3" w:uiPriority="73" w:qFormat="0"/>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qFormat="0"/>
    <w:lsdException w:name="Medium Grid 1 Accent 4" w:uiPriority="67" w:qFormat="0"/>
    <w:lsdException w:name="Medium Grid 2 Accent 4" w:uiPriority="68"/>
    <w:lsdException w:name="Medium Grid 3 Accent 4" w:uiPriority="69" w:qFormat="0"/>
    <w:lsdException w:name="Dark List Accent 4" w:uiPriority="70"/>
    <w:lsdException w:name="Colorful Shading Accent 4" w:uiPriority="71" w:qFormat="0"/>
    <w:lsdException w:name="Colorful List Accent 4" w:uiPriority="72" w:qFormat="0"/>
    <w:lsdException w:name="Colorful Grid Accent 4" w:uiPriority="73" w:qFormat="0"/>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qFormat="0"/>
    <w:lsdException w:name="Medium Grid 1 Accent 5" w:uiPriority="67"/>
    <w:lsdException w:name="Medium Grid 2 Accent 5" w:uiPriority="68"/>
    <w:lsdException w:name="Medium Grid 3 Accent 5" w:uiPriority="69" w:qFormat="0"/>
    <w:lsdException w:name="Dark List Accent 5" w:uiPriority="70" w:qFormat="0"/>
    <w:lsdException w:name="Colorful Shading Accent 5" w:uiPriority="71" w:qFormat="0"/>
    <w:lsdException w:name="Colorful List Accent 5" w:uiPriority="72" w:qFormat="0"/>
    <w:lsdException w:name="Colorful Grid Accent 5" w:uiPriority="73" w:qFormat="0"/>
    <w:lsdException w:name="Light Shading Accent 6" w:uiPriority="60" w:qFormat="0"/>
    <w:lsdException w:name="Light List Accent 6" w:uiPriority="61" w:qFormat="0"/>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qFormat="0"/>
    <w:lsdException w:name="Medium Grid 3 Accent 6" w:uiPriority="69" w:qFormat="0"/>
    <w:lsdException w:name="Dark List Accent 6" w:uiPriority="70" w:qFormat="0"/>
    <w:lsdException w:name="Colorful Shading Accent 6" w:uiPriority="71" w:qFormat="0"/>
    <w:lsdException w:name="Colorful List Accent 6" w:uiPriority="72" w:qFormat="0"/>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qFormat="0"/>
    <w:lsdException w:name="TOC Heading" w:semiHidden="1" w:uiPriority="39" w:unhideWhenUsed="1"/>
    <w:lsdException w:name="Plain Table 1" w:uiPriority="41" w:qFormat="0"/>
    <w:lsdException w:name="Plain Table 2" w:uiPriority="42" w:qFormat="0"/>
    <w:lsdException w:name="Plain Table 3" w:uiPriority="43" w:qFormat="0"/>
    <w:lsdException w:name="Plain Table 4" w:uiPriority="44" w:qFormat="0"/>
    <w:lsdException w:name="Plain Table 5" w:uiPriority="45" w:qFormat="0"/>
    <w:lsdException w:name="Grid Table Light" w:uiPriority="40" w:qFormat="0"/>
    <w:lsdException w:name="Grid Table 1 Light" w:uiPriority="46" w:qFormat="0"/>
    <w:lsdException w:name="Grid Table 2" w:uiPriority="47" w:qFormat="0"/>
    <w:lsdException w:name="Grid Table 3" w:uiPriority="48" w:qFormat="0"/>
    <w:lsdException w:name="Grid Table 4" w:uiPriority="49" w:qFormat="0"/>
    <w:lsdException w:name="Grid Table 5 Dark" w:uiPriority="50" w:qFormat="0"/>
    <w:lsdException w:name="Grid Table 6 Colorful" w:uiPriority="51" w:qFormat="0"/>
    <w:lsdException w:name="Grid Table 7 Colorful" w:uiPriority="52" w:qFormat="0"/>
    <w:lsdException w:name="Grid Table 1 Light Accent 1" w:uiPriority="46" w:qFormat="0"/>
    <w:lsdException w:name="Grid Table 2 Accent 1" w:uiPriority="47" w:qFormat="0"/>
    <w:lsdException w:name="Grid Table 3 Accent 1" w:uiPriority="48" w:qFormat="0"/>
    <w:lsdException w:name="Grid Table 4 Accent 1" w:uiPriority="49" w:qFormat="0"/>
    <w:lsdException w:name="Grid Table 5 Dark Accent 1" w:uiPriority="50" w:qFormat="0"/>
    <w:lsdException w:name="Grid Table 6 Colorful Accent 1" w:uiPriority="51" w:qFormat="0"/>
    <w:lsdException w:name="Grid Table 7 Colorful Accent 1" w:uiPriority="52" w:qFormat="0"/>
    <w:lsdException w:name="Grid Table 1 Light Accent 2" w:uiPriority="46" w:qFormat="0"/>
    <w:lsdException w:name="Grid Table 2 Accent 2" w:uiPriority="47" w:qFormat="0"/>
    <w:lsdException w:name="Grid Table 3 Accent 2" w:uiPriority="48" w:qFormat="0"/>
    <w:lsdException w:name="Grid Table 4 Accent 2" w:uiPriority="49" w:qFormat="0"/>
    <w:lsdException w:name="Grid Table 5 Dark Accent 2" w:uiPriority="50" w:qFormat="0"/>
    <w:lsdException w:name="Grid Table 6 Colorful Accent 2" w:uiPriority="51" w:qFormat="0"/>
    <w:lsdException w:name="Grid Table 7 Colorful Accent 2" w:uiPriority="52" w:qFormat="0"/>
    <w:lsdException w:name="Grid Table 1 Light Accent 3" w:uiPriority="46" w:qFormat="0"/>
    <w:lsdException w:name="Grid Table 2 Accent 3" w:uiPriority="47" w:qFormat="0"/>
    <w:lsdException w:name="Grid Table 3 Accent 3" w:uiPriority="48" w:qFormat="0"/>
    <w:lsdException w:name="Grid Table 4 Accent 3" w:uiPriority="49" w:qFormat="0"/>
    <w:lsdException w:name="Grid Table 5 Dark Accent 3" w:uiPriority="50" w:qFormat="0"/>
    <w:lsdException w:name="Grid Table 6 Colorful Accent 3" w:uiPriority="51" w:qFormat="0"/>
    <w:lsdException w:name="Grid Table 7 Colorful Accent 3" w:uiPriority="52" w:qFormat="0"/>
    <w:lsdException w:name="Grid Table 1 Light Accent 4" w:uiPriority="46" w:qFormat="0"/>
    <w:lsdException w:name="Grid Table 2 Accent 4" w:uiPriority="47" w:qFormat="0"/>
    <w:lsdException w:name="Grid Table 3 Accent 4" w:uiPriority="48" w:qFormat="0"/>
    <w:lsdException w:name="Grid Table 4 Accent 4" w:uiPriority="49" w:qFormat="0"/>
    <w:lsdException w:name="Grid Table 5 Dark Accent 4" w:uiPriority="50" w:qFormat="0"/>
    <w:lsdException w:name="Grid Table 6 Colorful Accent 4" w:uiPriority="51" w:qFormat="0"/>
    <w:lsdException w:name="Grid Table 7 Colorful Accent 4" w:uiPriority="52" w:qFormat="0"/>
    <w:lsdException w:name="Grid Table 1 Light Accent 5" w:uiPriority="46" w:qFormat="0"/>
    <w:lsdException w:name="Grid Table 2 Accent 5" w:uiPriority="47" w:qFormat="0"/>
    <w:lsdException w:name="Grid Table 3 Accent 5" w:uiPriority="48" w:qFormat="0"/>
    <w:lsdException w:name="Grid Table 4 Accent 5" w:uiPriority="49" w:qFormat="0"/>
    <w:lsdException w:name="Grid Table 5 Dark Accent 5" w:uiPriority="50" w:qFormat="0"/>
    <w:lsdException w:name="Grid Table 6 Colorful Accent 5" w:uiPriority="51" w:qFormat="0"/>
    <w:lsdException w:name="Grid Table 7 Colorful Accent 5" w:uiPriority="52" w:qFormat="0"/>
    <w:lsdException w:name="Grid Table 1 Light Accent 6" w:uiPriority="46" w:qFormat="0"/>
    <w:lsdException w:name="Grid Table 2 Accent 6" w:uiPriority="47" w:qFormat="0"/>
    <w:lsdException w:name="Grid Table 3 Accent 6" w:uiPriority="48" w:qFormat="0"/>
    <w:lsdException w:name="Grid Table 4 Accent 6" w:uiPriority="49" w:qFormat="0"/>
    <w:lsdException w:name="Grid Table 5 Dark Accent 6" w:uiPriority="50" w:qFormat="0"/>
    <w:lsdException w:name="Grid Table 6 Colorful Accent 6" w:uiPriority="51" w:qFormat="0"/>
    <w:lsdException w:name="Grid Table 7 Colorful Accent 6" w:uiPriority="52" w:qFormat="0"/>
    <w:lsdException w:name="List Table 1 Light" w:uiPriority="46" w:qFormat="0"/>
    <w:lsdException w:name="List Table 2" w:uiPriority="47" w:qFormat="0"/>
    <w:lsdException w:name="List Table 3" w:uiPriority="48" w:qFormat="0"/>
    <w:lsdException w:name="List Table 4" w:uiPriority="49" w:qFormat="0"/>
    <w:lsdException w:name="List Table 5 Dark" w:uiPriority="50" w:qFormat="0"/>
    <w:lsdException w:name="List Table 6 Colorful" w:uiPriority="51" w:qFormat="0"/>
    <w:lsdException w:name="List Table 7 Colorful" w:uiPriority="52" w:qFormat="0"/>
    <w:lsdException w:name="List Table 1 Light Accent 1" w:uiPriority="46" w:qFormat="0"/>
    <w:lsdException w:name="List Table 2 Accent 1" w:uiPriority="47" w:qFormat="0"/>
    <w:lsdException w:name="List Table 3 Accent 1" w:uiPriority="48" w:qFormat="0"/>
    <w:lsdException w:name="List Table 4 Accent 1" w:uiPriority="49" w:qFormat="0"/>
    <w:lsdException w:name="List Table 5 Dark Accent 1" w:uiPriority="50" w:qFormat="0"/>
    <w:lsdException w:name="List Table 6 Colorful Accent 1" w:uiPriority="51" w:qFormat="0"/>
    <w:lsdException w:name="List Table 7 Colorful Accent 1" w:uiPriority="52" w:qFormat="0"/>
    <w:lsdException w:name="List Table 1 Light Accent 2" w:uiPriority="46" w:qFormat="0"/>
    <w:lsdException w:name="List Table 2 Accent 2" w:uiPriority="47" w:qFormat="0"/>
    <w:lsdException w:name="List Table 3 Accent 2" w:uiPriority="48" w:qFormat="0"/>
    <w:lsdException w:name="List Table 4 Accent 2" w:uiPriority="49" w:qFormat="0"/>
    <w:lsdException w:name="List Table 5 Dark Accent 2" w:uiPriority="50" w:qFormat="0"/>
    <w:lsdException w:name="List Table 6 Colorful Accent 2" w:uiPriority="51" w:qFormat="0"/>
    <w:lsdException w:name="List Table 7 Colorful Accent 2" w:uiPriority="52" w:qFormat="0"/>
    <w:lsdException w:name="List Table 1 Light Accent 3" w:uiPriority="46" w:qFormat="0"/>
    <w:lsdException w:name="List Table 2 Accent 3" w:uiPriority="47" w:qFormat="0"/>
    <w:lsdException w:name="List Table 3 Accent 3" w:uiPriority="48" w:qFormat="0"/>
    <w:lsdException w:name="List Table 4 Accent 3" w:uiPriority="49" w:qFormat="0"/>
    <w:lsdException w:name="List Table 5 Dark Accent 3" w:uiPriority="50" w:qFormat="0"/>
    <w:lsdException w:name="List Table 6 Colorful Accent 3" w:uiPriority="51" w:qFormat="0"/>
    <w:lsdException w:name="List Table 7 Colorful Accent 3" w:uiPriority="52" w:qFormat="0"/>
    <w:lsdException w:name="List Table 1 Light Accent 4" w:uiPriority="46" w:qFormat="0"/>
    <w:lsdException w:name="List Table 2 Accent 4" w:uiPriority="47" w:qFormat="0"/>
    <w:lsdException w:name="List Table 3 Accent 4" w:uiPriority="48" w:qFormat="0"/>
    <w:lsdException w:name="List Table 4 Accent 4" w:uiPriority="49" w:qFormat="0"/>
    <w:lsdException w:name="List Table 5 Dark Accent 4" w:uiPriority="50" w:qFormat="0"/>
    <w:lsdException w:name="List Table 6 Colorful Accent 4" w:uiPriority="51" w:qFormat="0"/>
    <w:lsdException w:name="List Table 7 Colorful Accent 4" w:uiPriority="52" w:qFormat="0"/>
    <w:lsdException w:name="List Table 1 Light Accent 5" w:uiPriority="46" w:qFormat="0"/>
    <w:lsdException w:name="List Table 2 Accent 5" w:uiPriority="47" w:qFormat="0"/>
    <w:lsdException w:name="List Table 3 Accent 5" w:uiPriority="48" w:qFormat="0"/>
    <w:lsdException w:name="List Table 4 Accent 5" w:uiPriority="49" w:qFormat="0"/>
    <w:lsdException w:name="List Table 5 Dark Accent 5" w:uiPriority="50" w:qFormat="0"/>
    <w:lsdException w:name="List Table 6 Colorful Accent 5" w:uiPriority="51" w:qFormat="0"/>
    <w:lsdException w:name="List Table 7 Colorful Accent 5" w:uiPriority="52" w:qFormat="0"/>
    <w:lsdException w:name="List Table 1 Light Accent 6" w:uiPriority="46" w:qFormat="0"/>
    <w:lsdException w:name="List Table 2 Accent 6" w:uiPriority="47" w:qFormat="0"/>
    <w:lsdException w:name="List Table 3 Accent 6" w:uiPriority="48" w:qFormat="0"/>
    <w:lsdException w:name="List Table 4 Accent 6" w:uiPriority="49" w:qFormat="0"/>
    <w:lsdException w:name="List Table 5 Dark Accent 6" w:uiPriority="50" w:qFormat="0"/>
    <w:lsdException w:name="List Table 6 Colorful Accent 6" w:uiPriority="51" w:qFormat="0"/>
    <w:lsdException w:name="List Table 7 Colorful Accent 6" w:uiPriority="52" w:qFormat="0"/>
    <w:lsdException w:name="Mention" w:semiHidden="1" w:uiPriority="99" w:unhideWhenUsed="1" w:qFormat="0"/>
    <w:lsdException w:name="Smart Hyperlink" w:semiHidden="1" w:uiPriority="99" w:unhideWhenUsed="1" w:qFormat="0"/>
    <w:lsdException w:name="Hashtag" w:semiHidden="1" w:uiPriority="99" w:unhideWhenUsed="1" w:qFormat="0"/>
    <w:lsdException w:name="Unresolved Mention" w:semiHidden="1" w:uiPriority="99" w:unhideWhenUsed="1" w:qFormat="0"/>
    <w:lsdException w:name="Smart Link" w:semiHidden="1" w:uiPriority="99" w:unhideWhenUsed="1" w:qFormat="0"/>
  </w:latentStyles>
  <w:style w:type="paragraph" w:default="1" w:styleId="Normal">
    <w:name w:val="Normal"/>
    <w:qFormat/>
    <w:pPr>
      <w:jc w:val="both"/>
    </w:pPr>
    <w:rPr>
      <w:rFonts w:eastAsia="Malgun Gothic" w:cstheme="minorBidi"/>
      <w:sz w:val="24"/>
      <w:szCs w:val="24"/>
      <w:lang w:val="en-US" w:eastAsia="zh-CN"/>
    </w:rPr>
  </w:style>
  <w:style w:type="paragraph" w:styleId="Heading1">
    <w:name w:val="heading 1"/>
    <w:basedOn w:val="Normal"/>
    <w:next w:val="Normal"/>
    <w:qFormat/>
    <w:pPr>
      <w:keepNext/>
      <w:keepLines/>
      <w:spacing w:line="579" w:lineRule="auto"/>
      <w:jc w:val="center"/>
      <w:outlineLvl w:val="0"/>
    </w:pPr>
    <w:rPr>
      <w:b/>
      <w:bCs/>
      <w:kern w:val="44"/>
      <w:sz w:val="32"/>
      <w:szCs w:val="44"/>
    </w:rPr>
  </w:style>
  <w:style w:type="paragraph" w:styleId="Heading2">
    <w:name w:val="heading 2"/>
    <w:basedOn w:val="Normal"/>
    <w:next w:val="Normal"/>
    <w:unhideWhenUsed/>
    <w:qFormat/>
    <w:pPr>
      <w:keepNext/>
      <w:keepLines/>
      <w:spacing w:line="416" w:lineRule="auto"/>
      <w:outlineLvl w:val="1"/>
    </w:pPr>
    <w:rPr>
      <w:b/>
      <w:bCs/>
      <w:sz w:val="28"/>
      <w:szCs w:val="32"/>
    </w:rPr>
  </w:style>
  <w:style w:type="paragraph" w:styleId="Heading3">
    <w:name w:val="heading 3"/>
    <w:basedOn w:val="Normal"/>
    <w:next w:val="Normal"/>
    <w:unhideWhenUsed/>
    <w:qFormat/>
    <w:pPr>
      <w:keepNext/>
      <w:keepLines/>
      <w:spacing w:line="416" w:lineRule="auto"/>
      <w:outlineLvl w:val="2"/>
    </w:pPr>
    <w:rPr>
      <w:b/>
      <w:bCs/>
      <w:szCs w:val="32"/>
    </w:rPr>
  </w:style>
  <w:style w:type="paragraph" w:styleId="Heading4">
    <w:name w:val="heading 4"/>
    <w:basedOn w:val="Normal"/>
    <w:next w:val="Normal"/>
    <w:unhideWhenUsed/>
    <w:qFormat/>
    <w:pPr>
      <w:keepNext/>
      <w:keepLines/>
      <w:spacing w:line="377" w:lineRule="auto"/>
      <w:outlineLvl w:val="3"/>
    </w:pPr>
    <w:rPr>
      <w:bCs/>
      <w:i/>
      <w:szCs w:val="28"/>
    </w:rPr>
  </w:style>
  <w:style w:type="paragraph" w:styleId="Heading5">
    <w:name w:val="heading 5"/>
    <w:basedOn w:val="Normal"/>
    <w:next w:val="Normal"/>
    <w:semiHidden/>
    <w:unhideWhenUsed/>
    <w:qFormat/>
    <w:pPr>
      <w:keepNext/>
      <w:keepLines/>
      <w:spacing w:before="280" w:after="290" w:line="376" w:lineRule="auto"/>
      <w:outlineLvl w:val="4"/>
    </w:pPr>
    <w:rPr>
      <w:b/>
      <w:bCs/>
      <w:sz w:val="28"/>
      <w:szCs w:val="28"/>
    </w:rPr>
  </w:style>
  <w:style w:type="paragraph" w:styleId="Heading6">
    <w:name w:val="heading 6"/>
    <w:basedOn w:val="Normal"/>
    <w:next w:val="Normal"/>
    <w:semiHidden/>
    <w:unhideWhenUsed/>
    <w:qFormat/>
    <w:pPr>
      <w:keepNext/>
      <w:keepLines/>
      <w:spacing w:before="240" w:after="64" w:line="320" w:lineRule="auto"/>
      <w:outlineLvl w:val="5"/>
    </w:pPr>
    <w:rPr>
      <w:b/>
      <w:bCs/>
    </w:rPr>
  </w:style>
  <w:style w:type="paragraph" w:styleId="Heading7">
    <w:name w:val="heading 7"/>
    <w:basedOn w:val="Normal"/>
    <w:next w:val="Normal"/>
    <w:semiHidden/>
    <w:unhideWhenUsed/>
    <w:qFormat/>
    <w:pPr>
      <w:keepNext/>
      <w:keepLines/>
      <w:spacing w:before="240" w:after="64" w:line="320" w:lineRule="auto"/>
      <w:outlineLvl w:val="6"/>
    </w:pPr>
    <w:rPr>
      <w:b/>
      <w:bCs/>
    </w:rPr>
  </w:style>
  <w:style w:type="paragraph" w:styleId="Heading8">
    <w:name w:val="heading 8"/>
    <w:basedOn w:val="Normal"/>
    <w:next w:val="Normal"/>
    <w:semiHidden/>
    <w:unhideWhenUsed/>
    <w:qFormat/>
    <w:pPr>
      <w:keepNext/>
      <w:keepLines/>
      <w:spacing w:before="240" w:after="64" w:line="320" w:lineRule="auto"/>
      <w:outlineLvl w:val="7"/>
    </w:pPr>
  </w:style>
  <w:style w:type="paragraph" w:styleId="Heading9">
    <w:name w:val="heading 9"/>
    <w:basedOn w:val="Normal"/>
    <w:next w:val="Normal"/>
    <w:semiHidden/>
    <w:unhideWhenUsed/>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qFormat/>
    <w:pPr>
      <w:ind w:firstLineChars="200" w:firstLine="420"/>
    </w:pPr>
  </w:style>
  <w:style w:type="paragraph" w:styleId="BodyTextIndent2">
    <w:name w:val="Body Text Indent 2"/>
    <w:basedOn w:val="Normal"/>
    <w:qFormat/>
    <w:pPr>
      <w:spacing w:after="120" w:line="480" w:lineRule="auto"/>
      <w:ind w:leftChars="200" w:left="420"/>
    </w:pPr>
  </w:style>
  <w:style w:type="paragraph" w:styleId="BodyTextIndent3">
    <w:name w:val="Body Text Indent 3"/>
    <w:basedOn w:val="Normal"/>
    <w:qFormat/>
    <w:pPr>
      <w:spacing w:after="120"/>
      <w:ind w:leftChars="200" w:left="420"/>
    </w:pPr>
    <w:rPr>
      <w:sz w:val="16"/>
      <w:szCs w:val="16"/>
    </w:rPr>
  </w:style>
  <w:style w:type="paragraph" w:styleId="Caption">
    <w:name w:val="caption"/>
    <w:basedOn w:val="Normal"/>
    <w:next w:val="Normal"/>
    <w:semiHidden/>
    <w:unhideWhenUsed/>
    <w:qFormat/>
    <w:rPr>
      <w:rFonts w:ascii="Arial" w:eastAsia="SimHei" w:hAnsi="Arial" w:cs="Arial"/>
      <w:sz w:val="20"/>
    </w:rPr>
  </w:style>
  <w:style w:type="paragraph" w:styleId="Closing">
    <w:name w:val="Closing"/>
    <w:basedOn w:val="Normal"/>
    <w:qFormat/>
    <w:pPr>
      <w:ind w:leftChars="2100" w:left="100"/>
    </w:pPr>
  </w:style>
  <w:style w:type="character" w:styleId="CommentReference">
    <w:name w:val="annotation reference"/>
    <w:basedOn w:val="DefaultParagraphFont"/>
    <w:qFormat/>
    <w:rPr>
      <w:sz w:val="21"/>
      <w:szCs w:val="21"/>
    </w:rPr>
  </w:style>
  <w:style w:type="paragraph" w:styleId="CommentText">
    <w:name w:val="annotation text"/>
    <w:basedOn w:val="Normal"/>
    <w:qFormat/>
    <w:pPr>
      <w:jc w:val="left"/>
    </w:pPr>
  </w:style>
  <w:style w:type="paragraph" w:styleId="CommentSubject">
    <w:name w:val="annotation subject"/>
    <w:basedOn w:val="CommentText"/>
    <w:next w:val="CommentText"/>
    <w:qFormat/>
    <w:rPr>
      <w:b/>
      <w:bCs/>
    </w:rPr>
  </w:style>
  <w:style w:type="paragraph" w:styleId="Date">
    <w:name w:val="Date"/>
    <w:basedOn w:val="Normal"/>
    <w:next w:val="Normal"/>
    <w:qFormat/>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basedOn w:val="DefaultParagraphFont"/>
    <w:qFormat/>
    <w:rPr>
      <w:i/>
      <w:iCs/>
    </w:rPr>
  </w:style>
  <w:style w:type="character" w:styleId="EndnoteReference">
    <w:name w:val="endnote reference"/>
    <w:basedOn w:val="DefaultParagraphFont"/>
    <w:qFormat/>
    <w:rPr>
      <w:vertAlign w:val="superscript"/>
    </w:rPr>
  </w:style>
  <w:style w:type="paragraph" w:styleId="EndnoteText">
    <w:name w:val="endnote text"/>
    <w:basedOn w:val="Normal"/>
    <w:qFormat/>
    <w:pPr>
      <w:snapToGrid w:val="0"/>
      <w:jc w:val="left"/>
    </w:pPr>
  </w:style>
  <w:style w:type="paragraph" w:styleId="EnvelopeAddress">
    <w:name w:val="envelope address"/>
    <w:basedOn w:val="Normal"/>
    <w:qFormat/>
    <w:pPr>
      <w:framePr w:w="7920" w:h="1980" w:hRule="exact" w:hSpace="180" w:wrap="auto" w:hAnchor="page" w:xAlign="center" w:yAlign="bottom"/>
      <w:snapToGrid w:val="0"/>
      <w:ind w:leftChars="1400" w:left="100"/>
    </w:pPr>
    <w:rPr>
      <w:rFonts w:ascii="Arial" w:hAnsi="Arial" w:cs="Arial"/>
    </w:rPr>
  </w:style>
  <w:style w:type="paragraph" w:styleId="EnvelopeReturn">
    <w:name w:val="envelope return"/>
    <w:basedOn w:val="Normal"/>
    <w:qFormat/>
    <w:pPr>
      <w:snapToGrid w:val="0"/>
    </w:pPr>
    <w:rPr>
      <w:rFonts w:ascii="Arial" w:hAnsi="Arial" w:cs="Arial"/>
    </w:rPr>
  </w:style>
  <w:style w:type="character" w:styleId="FollowedHyperlink">
    <w:name w:val="FollowedHyperlink"/>
    <w:basedOn w:val="DefaultParagraphFont"/>
    <w:rPr>
      <w:color w:val="800080"/>
      <w:u w:val="single"/>
    </w:rPr>
  </w:style>
  <w:style w:type="paragraph" w:styleId="Footer">
    <w:name w:val="footer"/>
    <w:basedOn w:val="Normal"/>
    <w:qFormat/>
    <w:pPr>
      <w:tabs>
        <w:tab w:val="center" w:pos="4153"/>
        <w:tab w:val="right" w:pos="8306"/>
      </w:tabs>
      <w:snapToGrid w:val="0"/>
      <w:jc w:val="left"/>
    </w:pPr>
    <w:rPr>
      <w:sz w:val="18"/>
      <w:szCs w:val="18"/>
    </w:rPr>
  </w:style>
  <w:style w:type="character" w:styleId="FootnoteReference">
    <w:name w:val="footnote reference"/>
    <w:basedOn w:val="DefaultParagraphFont"/>
    <w:qFormat/>
    <w:rPr>
      <w:vertAlign w:val="superscript"/>
    </w:rPr>
  </w:style>
  <w:style w:type="paragraph" w:styleId="FootnoteText">
    <w:name w:val="footnote text"/>
    <w:basedOn w:val="Normal"/>
    <w:qFormat/>
    <w:pPr>
      <w:snapToGrid w:val="0"/>
      <w:jc w:val="left"/>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TMLAcronym">
    <w:name w:val="HTML Acronym"/>
    <w:basedOn w:val="DefaultParagraphFont"/>
    <w:qFormat/>
  </w:style>
  <w:style w:type="paragraph" w:styleId="HTMLAddress">
    <w:name w:val="HTML Address"/>
    <w:basedOn w:val="Normal"/>
    <w:rPr>
      <w:i/>
      <w:iCs/>
    </w:rPr>
  </w:style>
  <w:style w:type="character" w:styleId="HTMLCite">
    <w:name w:val="HTML Cite"/>
    <w:basedOn w:val="DefaultParagraphFont"/>
    <w:qFormat/>
    <w:rPr>
      <w:i/>
      <w:iCs/>
    </w:rPr>
  </w:style>
  <w:style w:type="character" w:styleId="HTMLCode">
    <w:name w:val="HTML Code"/>
    <w:basedOn w:val="DefaultParagraphFont"/>
    <w:rPr>
      <w:rFonts w:ascii="Courier New" w:hAnsi="Courier New" w:cs="Courier New"/>
      <w:sz w:val="20"/>
      <w:szCs w:val="20"/>
    </w:rPr>
  </w:style>
  <w:style w:type="character" w:styleId="HTMLDefinition">
    <w:name w:val="HTML Definition"/>
    <w:basedOn w:val="DefaultParagraphFont"/>
    <w:qFormat/>
    <w:rPr>
      <w:i/>
      <w:iCs/>
    </w:rPr>
  </w:style>
  <w:style w:type="character" w:styleId="HTMLKeyboard">
    <w:name w:val="HTML Keyboard"/>
    <w:basedOn w:val="DefaultParagraphFont"/>
    <w:qFormat/>
    <w:rPr>
      <w:rFonts w:ascii="Courier New" w:hAnsi="Courier New" w:cs="Courier New"/>
      <w:sz w:val="20"/>
      <w:szCs w:val="20"/>
    </w:rPr>
  </w:style>
  <w:style w:type="paragraph" w:styleId="HTMLPreformatted">
    <w:name w:val="HTML Preformatted"/>
    <w:basedOn w:val="Normal"/>
    <w:qFormat/>
    <w:rPr>
      <w:rFonts w:ascii="Courier New" w:hAnsi="Courier New" w:cs="Courier New"/>
      <w:sz w:val="20"/>
    </w:rPr>
  </w:style>
  <w:style w:type="character" w:styleId="HTMLSample">
    <w:name w:val="HTML Sample"/>
    <w:basedOn w:val="DefaultParagraphFont"/>
    <w:qFormat/>
    <w:rPr>
      <w:rFonts w:ascii="Courier New" w:hAnsi="Courier New" w:cs="Courier New"/>
    </w:rPr>
  </w:style>
  <w:style w:type="character" w:styleId="HTMLTypewriter">
    <w:name w:val="HTML Typewriter"/>
    <w:basedOn w:val="DefaultParagraphFont"/>
    <w:qFormat/>
    <w:rPr>
      <w:rFonts w:ascii="Courier New" w:hAnsi="Courier New" w:cs="Courier New"/>
      <w:sz w:val="20"/>
      <w:szCs w:val="20"/>
    </w:rPr>
  </w:style>
  <w:style w:type="character" w:styleId="HTMLVariable">
    <w:name w:val="HTML Variable"/>
    <w:basedOn w:val="DefaultParagraphFont"/>
    <w:qFormat/>
    <w:rPr>
      <w:i/>
      <w:iCs/>
    </w:rPr>
  </w:style>
  <w:style w:type="character" w:styleId="Hyperlink">
    <w:name w:val="Hyperlink"/>
    <w:basedOn w:val="DefaultParagraphFont"/>
    <w:qFormat/>
    <w:rPr>
      <w:color w:val="0000FF"/>
      <w:u w:val="single"/>
    </w:rPr>
  </w:style>
  <w:style w:type="paragraph" w:styleId="Index1">
    <w:name w:val="index 1"/>
    <w:basedOn w:val="Normal"/>
    <w:next w:val="Normal"/>
    <w:qFormat/>
  </w:style>
  <w:style w:type="paragraph" w:styleId="Index2">
    <w:name w:val="index 2"/>
    <w:basedOn w:val="Normal"/>
    <w:next w:val="Normal"/>
    <w:qFormat/>
    <w:pPr>
      <w:ind w:leftChars="200" w:left="200"/>
    </w:pPr>
  </w:style>
  <w:style w:type="paragraph" w:styleId="Index3">
    <w:name w:val="index 3"/>
    <w:basedOn w:val="Normal"/>
    <w:next w:val="Normal"/>
    <w:qFormat/>
    <w:pPr>
      <w:ind w:leftChars="400" w:left="400"/>
    </w:pPr>
  </w:style>
  <w:style w:type="paragraph" w:styleId="Index4">
    <w:name w:val="index 4"/>
    <w:basedOn w:val="Normal"/>
    <w:next w:val="Normal"/>
    <w:qFormat/>
    <w:pPr>
      <w:ind w:leftChars="600" w:left="600"/>
    </w:pPr>
  </w:style>
  <w:style w:type="paragraph" w:styleId="Index5">
    <w:name w:val="index 5"/>
    <w:basedOn w:val="Normal"/>
    <w:next w:val="Normal"/>
    <w:qFormat/>
    <w:pPr>
      <w:ind w:leftChars="800" w:left="800"/>
    </w:pPr>
  </w:style>
  <w:style w:type="paragraph" w:styleId="Index6">
    <w:name w:val="index 6"/>
    <w:basedOn w:val="Normal"/>
    <w:next w:val="Normal"/>
    <w:qFormat/>
    <w:pPr>
      <w:ind w:leftChars="1000" w:left="1000"/>
    </w:pPr>
  </w:style>
  <w:style w:type="paragraph" w:styleId="Index7">
    <w:name w:val="index 7"/>
    <w:basedOn w:val="Normal"/>
    <w:next w:val="Normal"/>
    <w:qFormat/>
    <w:pPr>
      <w:ind w:leftChars="1200" w:left="1200"/>
    </w:pPr>
  </w:style>
  <w:style w:type="paragraph" w:styleId="Index8">
    <w:name w:val="index 8"/>
    <w:basedOn w:val="Normal"/>
    <w:next w:val="Normal"/>
    <w:qFormat/>
    <w:pPr>
      <w:ind w:leftChars="1400" w:left="1400"/>
    </w:pPr>
  </w:style>
  <w:style w:type="paragraph" w:styleId="Index9">
    <w:name w:val="index 9"/>
    <w:basedOn w:val="Normal"/>
    <w:next w:val="Normal"/>
    <w:qFormat/>
    <w:pPr>
      <w:ind w:leftChars="1600" w:left="1600"/>
    </w:pPr>
  </w:style>
  <w:style w:type="paragraph" w:styleId="IndexHeading">
    <w:name w:val="index heading"/>
    <w:basedOn w:val="Normal"/>
    <w:next w:val="Index1"/>
    <w:qFormat/>
    <w:rPr>
      <w:rFonts w:ascii="Arial" w:hAnsi="Arial" w:cs="Arial"/>
      <w:b/>
      <w:bCs/>
    </w:rPr>
  </w:style>
  <w:style w:type="character" w:styleId="LineNumber">
    <w:name w:val="line number"/>
    <w:basedOn w:val="DefaultParagraphFont"/>
    <w:qFormat/>
  </w:style>
  <w:style w:type="paragraph" w:styleId="List">
    <w:name w:val="List"/>
    <w:basedOn w:val="Normal"/>
    <w:qFormat/>
    <w:pPr>
      <w:ind w:left="200" w:hangingChars="200" w:hanging="200"/>
    </w:pPr>
  </w:style>
  <w:style w:type="paragraph" w:styleId="List2">
    <w:name w:val="List 2"/>
    <w:basedOn w:val="Normal"/>
    <w:qFormat/>
    <w:pPr>
      <w:ind w:leftChars="200" w:left="100" w:hangingChars="200" w:hanging="200"/>
    </w:pPr>
  </w:style>
  <w:style w:type="paragraph" w:styleId="List3">
    <w:name w:val="List 3"/>
    <w:basedOn w:val="Normal"/>
    <w:qFormat/>
    <w:pPr>
      <w:ind w:leftChars="400" w:left="100" w:hangingChars="200" w:hanging="200"/>
    </w:pPr>
  </w:style>
  <w:style w:type="paragraph" w:styleId="List4">
    <w:name w:val="List 4"/>
    <w:basedOn w:val="Normal"/>
    <w:qFormat/>
    <w:pPr>
      <w:ind w:leftChars="600" w:left="100" w:hangingChars="200" w:hanging="200"/>
    </w:pPr>
  </w:style>
  <w:style w:type="paragraph" w:styleId="List5">
    <w:name w:val="List 5"/>
    <w:basedOn w:val="Normal"/>
    <w:qFormat/>
    <w:pPr>
      <w:ind w:leftChars="800" w:left="100" w:hangingChars="200" w:hanging="200"/>
    </w:pPr>
  </w:style>
  <w:style w:type="paragraph" w:styleId="ListBullet">
    <w:name w:val="List Bullet"/>
    <w:basedOn w:val="Normal"/>
    <w:qFormat/>
    <w:pPr>
      <w:numPr>
        <w:numId w:val="1"/>
      </w:numPr>
    </w:pPr>
  </w:style>
  <w:style w:type="paragraph" w:styleId="ListBullet2">
    <w:name w:val="List Bullet 2"/>
    <w:basedOn w:val="Normal"/>
    <w:qFormat/>
    <w:pPr>
      <w:numPr>
        <w:numId w:val="2"/>
      </w:numPr>
    </w:pPr>
  </w:style>
  <w:style w:type="paragraph" w:styleId="ListBullet3">
    <w:name w:val="List Bullet 3"/>
    <w:basedOn w:val="Normal"/>
    <w:qFormat/>
    <w:pPr>
      <w:numPr>
        <w:numId w:val="3"/>
      </w:numPr>
    </w:pPr>
  </w:style>
  <w:style w:type="paragraph" w:styleId="ListBullet4">
    <w:name w:val="List Bullet 4"/>
    <w:basedOn w:val="Normal"/>
    <w:qFormat/>
    <w:pPr>
      <w:numPr>
        <w:numId w:val="4"/>
      </w:numPr>
    </w:pPr>
  </w:style>
  <w:style w:type="paragraph" w:styleId="ListBullet5">
    <w:name w:val="List Bullet 5"/>
    <w:basedOn w:val="Normal"/>
    <w:qFormat/>
    <w:pPr>
      <w:numPr>
        <w:numId w:val="5"/>
      </w:numPr>
    </w:pPr>
  </w:style>
  <w:style w:type="paragraph" w:styleId="ListContinue">
    <w:name w:val="List Continue"/>
    <w:basedOn w:val="Normal"/>
    <w:qFormat/>
    <w:pPr>
      <w:spacing w:after="120"/>
      <w:ind w:leftChars="200" w:left="420"/>
    </w:pPr>
  </w:style>
  <w:style w:type="paragraph" w:styleId="ListContinue2">
    <w:name w:val="List Continue 2"/>
    <w:basedOn w:val="Normal"/>
    <w:qFormat/>
    <w:pPr>
      <w:spacing w:after="120"/>
      <w:ind w:leftChars="400" w:left="840"/>
    </w:pPr>
  </w:style>
  <w:style w:type="paragraph" w:styleId="ListContinue3">
    <w:name w:val="List Continue 3"/>
    <w:basedOn w:val="Normal"/>
    <w:qFormat/>
    <w:pPr>
      <w:spacing w:after="120"/>
      <w:ind w:leftChars="600" w:left="1260"/>
    </w:pPr>
  </w:style>
  <w:style w:type="paragraph" w:styleId="ListContinue4">
    <w:name w:val="List Continue 4"/>
    <w:basedOn w:val="Normal"/>
    <w:qFormat/>
    <w:pPr>
      <w:spacing w:after="120"/>
      <w:ind w:leftChars="800" w:left="1680"/>
    </w:pPr>
  </w:style>
  <w:style w:type="paragraph" w:styleId="ListContinue5">
    <w:name w:val="List Continue 5"/>
    <w:basedOn w:val="Normal"/>
    <w:qFormat/>
    <w:pPr>
      <w:spacing w:after="120"/>
      <w:ind w:leftChars="1000" w:left="2100"/>
    </w:pPr>
  </w:style>
  <w:style w:type="paragraph" w:styleId="ListNumber">
    <w:name w:val="List Number"/>
    <w:basedOn w:val="Normal"/>
    <w:qFormat/>
    <w:pPr>
      <w:numPr>
        <w:numId w:val="6"/>
      </w:numPr>
    </w:pPr>
  </w:style>
  <w:style w:type="paragraph" w:styleId="ListNumber2">
    <w:name w:val="List Number 2"/>
    <w:basedOn w:val="Normal"/>
    <w:qFormat/>
    <w:pPr>
      <w:numPr>
        <w:numId w:val="7"/>
      </w:numPr>
    </w:pPr>
  </w:style>
  <w:style w:type="paragraph" w:styleId="ListNumber3">
    <w:name w:val="List Number 3"/>
    <w:basedOn w:val="Normal"/>
    <w:qFormat/>
    <w:pPr>
      <w:numPr>
        <w:numId w:val="8"/>
      </w:numPr>
    </w:pPr>
  </w:style>
  <w:style w:type="paragraph" w:styleId="ListNumber4">
    <w:name w:val="List Number 4"/>
    <w:basedOn w:val="Normal"/>
    <w:qFormat/>
    <w:pPr>
      <w:numPr>
        <w:numId w:val="9"/>
      </w:numPr>
    </w:pPr>
  </w:style>
  <w:style w:type="paragraph" w:styleId="ListNumber5">
    <w:name w:val="List Number 5"/>
    <w:basedOn w:val="Normal"/>
    <w:qFormat/>
    <w:pPr>
      <w:numPr>
        <w:numId w:val="10"/>
      </w:numPr>
    </w:pPr>
  </w:style>
  <w:style w:type="paragraph" w:styleId="MacroText">
    <w:name w:val="macro"/>
    <w:qFormat/>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Theme="minorEastAsia" w:hAnsi="Courier New" w:cs="Courier New"/>
      <w:kern w:val="2"/>
      <w:sz w:val="24"/>
      <w:szCs w:val="24"/>
      <w:lang w:val="en-US" w:eastAsia="zh-CN"/>
    </w:rPr>
  </w:style>
  <w:style w:type="paragraph" w:styleId="MessageHeader">
    <w:name w:val="Message Header"/>
    <w:basedOn w:val="Normal"/>
    <w:qFormat/>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rPr>
  </w:style>
  <w:style w:type="paragraph" w:styleId="NormalWeb">
    <w:name w:val="Normal (Web)"/>
    <w:basedOn w:val="Normal"/>
    <w:qFormat/>
  </w:style>
  <w:style w:type="paragraph" w:styleId="NormalIndent">
    <w:name w:val="Normal Indent"/>
    <w:basedOn w:val="Normal"/>
    <w:qFormat/>
    <w:pPr>
      <w:ind w:firstLineChars="200" w:firstLine="420"/>
    </w:pPr>
  </w:style>
  <w:style w:type="paragraph" w:styleId="NoteHeading">
    <w:name w:val="Note Heading"/>
    <w:basedOn w:val="Normal"/>
    <w:next w:val="Normal"/>
    <w:qFormat/>
    <w:pPr>
      <w:jc w:val="center"/>
    </w:pPr>
  </w:style>
  <w:style w:type="character" w:styleId="PageNumber">
    <w:name w:val="page number"/>
    <w:basedOn w:val="DefaultParagraphFont"/>
    <w:qFormat/>
  </w:style>
  <w:style w:type="paragraph" w:styleId="PlainText">
    <w:name w:val="Plain Text"/>
    <w:basedOn w:val="Normal"/>
    <w:qFormat/>
    <w:rPr>
      <w:rFonts w:ascii="SimSun" w:hAnsi="Courier New" w:cs="Courier New"/>
      <w:szCs w:val="21"/>
    </w:rPr>
  </w:style>
  <w:style w:type="paragraph" w:styleId="Salutation">
    <w:name w:val="Salutation"/>
    <w:basedOn w:val="Normal"/>
    <w:next w:val="Normal"/>
    <w:qFormat/>
  </w:style>
  <w:style w:type="paragraph" w:styleId="Signature">
    <w:name w:val="Signature"/>
    <w:basedOn w:val="Normal"/>
    <w:qFormat/>
    <w:pPr>
      <w:ind w:leftChars="2100" w:left="100"/>
    </w:pPr>
  </w:style>
  <w:style w:type="character" w:styleId="Strong">
    <w:name w:val="Strong"/>
    <w:basedOn w:val="DefaultParagraphFont"/>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left w:val="single" w:sz="6" w:space="0" w:color="808080"/>
          <w:tl2br w:val="nil"/>
          <w:tr2bl w:val="nil"/>
        </w:tcBorders>
      </w:tcPr>
    </w:tblStylePr>
    <w:tblStylePr w:type="lastRow">
      <w:tblPr/>
      <w:tcPr>
        <w:tcBorders>
          <w:top w:val="single" w:sz="6" w:space="0" w:color="FFFFFF"/>
          <w:tl2br w:val="nil"/>
          <w:tr2bl w:val="nil"/>
        </w:tcBorders>
      </w:tcPr>
    </w:tblStylePr>
    <w:tblStylePr w:type="firstCol">
      <w:rPr>
        <w:b/>
        <w:bCs/>
      </w:rPr>
      <w:tblPr/>
      <w:tcPr>
        <w:tcBorders>
          <w:right w:val="single" w:sz="6" w:space="0" w:color="808080"/>
          <w:tl2br w:val="nil"/>
          <w:tr2bl w:val="nil"/>
        </w:tcBorders>
      </w:tcPr>
    </w:tblStylePr>
    <w:tblStylePr w:type="lastCol">
      <w:tblPr/>
      <w:tcPr>
        <w:tcBorders>
          <w:bottom w:val="single" w:sz="6" w:space="0" w:color="FFFFFF"/>
          <w:tl2br w:val="nil"/>
          <w:tr2bl w:val="nil"/>
        </w:tcBorders>
      </w:tcPr>
    </w:tblStylePr>
    <w:tblStylePr w:type="neCell">
      <w:tblPr/>
      <w:tcPr>
        <w:tcBorders>
          <w:left w:val="nil"/>
          <w:bottom w:val="nil"/>
          <w:tl2br w:val="nil"/>
          <w:tr2bl w:val="nil"/>
        </w:tcBorders>
      </w:tcPr>
    </w:tblStylePr>
    <w:tblStylePr w:type="nwCell">
      <w:tblPr/>
      <w:tcPr>
        <w:tcBorders>
          <w:left w:val="nil"/>
          <w:right w:val="nil"/>
          <w:tl2br w:val="nil"/>
          <w:tr2bl w:val="nil"/>
        </w:tcBorders>
      </w:tcPr>
    </w:tblStylePr>
    <w:tblStylePr w:type="seCell">
      <w:tblPr/>
      <w:tcPr>
        <w:tcBorders>
          <w:top w:val="nil"/>
          <w:bottom w:val="nil"/>
          <w:tl2br w:val="nil"/>
          <w:tr2bl w:val="nil"/>
        </w:tcBorders>
      </w:tcPr>
    </w:tblStylePr>
    <w:tblStylePr w:type="swCell">
      <w:rPr>
        <w:color w:val="000080"/>
      </w:rPr>
      <w:tblPr/>
      <w:tcPr>
        <w:tcBorders>
          <w:top w:val="nil"/>
          <w:right w:val="nil"/>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3Deffects3">
    <w:name w:val="Table 3D effects 3"/>
    <w:basedOn w:val="TableNormal"/>
    <w:qFormat/>
    <w:pPr>
      <w:widowControl w:val="0"/>
      <w:jc w:val="both"/>
    </w:pPr>
    <w:tblPr>
      <w:tblStyleRowBandSize w:val="1"/>
      <w:tblStyleColBandSize w:val="1"/>
    </w:tblPr>
    <w:tblStylePr w:type="firstRow">
      <w:rPr>
        <w:b/>
        <w:bCs/>
      </w:rPr>
      <w:tblPr/>
      <w:tcPr>
        <w:tcBorders>
          <w:tl2br w:val="nil"/>
          <w:tr2bl w:val="nil"/>
        </w:tcBorders>
      </w:tcPr>
    </w:tblStylePr>
    <w:tblStylePr w:type="firstCol">
      <w:tblPr/>
      <w:tcPr>
        <w:tcBorders>
          <w:top w:val="nil"/>
          <w:left w:val="nil"/>
          <w:right w:val="single" w:sz="6" w:space="0" w:color="808080"/>
          <w:tl2br w:val="nil"/>
          <w:tr2bl w:val="nil"/>
        </w:tcBorders>
      </w:tcPr>
    </w:tblStylePr>
    <w:tblStylePr w:type="lastCol">
      <w:tblPr/>
      <w:tcPr>
        <w:tcBorders>
          <w:right w:val="single" w:sz="6" w:space="0" w:color="FFFFFF"/>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single" w:sz="6" w:space="0" w:color="FFFFFF"/>
          <w:tl2br w:val="nil"/>
          <w:tr2bl w:val="nil"/>
        </w:tcBorders>
      </w:tcPr>
    </w:tblStylePr>
    <w:tblStylePr w:type="swCell">
      <w:rPr>
        <w:b/>
        <w:bCs/>
      </w:rPr>
      <w:tblPr/>
      <w:tcPr>
        <w:tcBorders>
          <w:tl2br w:val="nil"/>
          <w:tr2bl w:val="nil"/>
        </w:tcBorders>
      </w:tcPr>
    </w:tblStylePr>
  </w:style>
  <w:style w:type="table" w:styleId="TableClassic1">
    <w:name w:val="Table Classic 1"/>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tblPr/>
      <w:tcPr>
        <w:tcBorders>
          <w:right w:val="single" w:sz="6" w:space="0" w:color="000000"/>
          <w:tl2br w:val="nil"/>
          <w:tr2bl w:val="nil"/>
        </w:tcBorders>
      </w:tcPr>
    </w:tblStylePr>
    <w:tblStylePr w:type="neCell">
      <w:rPr>
        <w:b/>
        <w:bCs/>
        <w:i w:val="0"/>
        <w:iCs w:val="0"/>
      </w:rPr>
      <w:tblPr/>
      <w:tcPr>
        <w:tcBorders>
          <w:tl2br w:val="nil"/>
          <w:tr2bl w:val="nil"/>
        </w:tcBorders>
      </w:tcPr>
    </w:tblStylePr>
    <w:tblStylePr w:type="swCell">
      <w:rPr>
        <w:b/>
        <w:bCs/>
      </w:rPr>
      <w:tblPr/>
      <w:tcPr>
        <w:tcBorders>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left w:val="single" w:sz="6" w:space="0" w:color="000000"/>
          <w:tl2br w:val="nil"/>
          <w:tr2bl w:val="nil"/>
        </w:tcBorders>
        <w:shd w:val="solid" w:color="800080" w:fill="FFFFFF"/>
      </w:tcPr>
    </w:tblStylePr>
    <w:tblStylePr w:type="lastRow">
      <w:tblPr/>
      <w:tcPr>
        <w:tcBorders>
          <w:top w:val="single" w:sz="6" w:space="0" w:color="000000"/>
          <w:tl2br w:val="nil"/>
          <w:tr2bl w:val="nil"/>
        </w:tcBorders>
      </w:tcPr>
    </w:tblStylePr>
    <w:tblStylePr w:type="firstCol">
      <w:rPr>
        <w:b/>
        <w:bCs/>
      </w:rPr>
      <w:tblPr/>
      <w:tcPr>
        <w:tcBorders>
          <w:tl2br w:val="nil"/>
          <w:tr2bl w:val="nil"/>
        </w:tcBorders>
        <w:shd w:val="solid" w:color="C0C0C0" w:fill="FFFFFF"/>
      </w:tcPr>
    </w:tblStylePr>
    <w:tblStylePr w:type="neCell">
      <w:rPr>
        <w:b/>
        <w:bCs/>
      </w:rPr>
      <w:tblPr/>
      <w:tcPr>
        <w:tcBorders>
          <w:tl2br w:val="nil"/>
          <w:tr2bl w:val="nil"/>
        </w:tcBorders>
      </w:tcPr>
    </w:tblStylePr>
    <w:tblStylePr w:type="nwCell">
      <w:tblPr/>
      <w:tcPr>
        <w:tcBorders>
          <w:tl2br w:val="nil"/>
          <w:tr2bl w:val="nil"/>
        </w:tcBorders>
        <w:shd w:val="solid" w:color="800080" w:fill="FFFFFF"/>
      </w:tcPr>
    </w:tblStylePr>
    <w:tblStylePr w:type="swCell">
      <w:rPr>
        <w:color w:val="000080"/>
      </w:rPr>
      <w:tblPr/>
      <w:tcPr>
        <w:tcBorders>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left w:val="single" w:sz="6" w:space="0" w:color="000000"/>
          <w:tl2br w:val="nil"/>
          <w:tr2bl w:val="nil"/>
        </w:tcBorders>
        <w:shd w:val="solid" w:color="000080" w:fill="FFFFFF"/>
      </w:tcPr>
    </w:tblStylePr>
    <w:tblStylePr w:type="lastRow">
      <w:rPr>
        <w:color w:val="000080"/>
      </w:rPr>
      <w:tblPr/>
      <w:tcPr>
        <w:tcBorders>
          <w:top w:val="single" w:sz="12" w:space="0" w:color="000000"/>
          <w:tl2br w:val="nil"/>
          <w:tr2bl w:val="nil"/>
        </w:tcBorders>
        <w:shd w:val="solid" w:color="FFFFFF" w:fill="FFFFFF"/>
      </w:tcPr>
    </w:tblStylePr>
    <w:tblStylePr w:type="firstCol">
      <w:rPr>
        <w:b/>
        <w:bCs/>
        <w:color w:val="000000"/>
      </w:rPr>
      <w:tblPr/>
      <w:tcPr>
        <w:tcBorders>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left w:val="single" w:sz="6" w:space="0" w:color="000000"/>
          <w:tl2br w:val="nil"/>
          <w:tr2bl w:val="nil"/>
        </w:tcBorders>
        <w:shd w:val="pct50" w:color="000080" w:fill="FFFFFF"/>
      </w:tcPr>
    </w:tblStylePr>
    <w:tblStylePr w:type="lastRow">
      <w:rPr>
        <w:color w:val="000080"/>
      </w:rPr>
      <w:tblPr/>
      <w:tcPr>
        <w:tcBorders>
          <w:left w:val="single" w:sz="6" w:space="0" w:color="000000"/>
          <w:tl2br w:val="nil"/>
          <w:tr2bl w:val="nil"/>
        </w:tcBorders>
        <w:shd w:val="pct50" w:color="000000" w:fill="FFFFFF"/>
      </w:tcPr>
    </w:tblStylePr>
    <w:tblStylePr w:type="firstCol">
      <w:rPr>
        <w:b/>
        <w:bCs/>
      </w:rPr>
      <w:tblPr/>
      <w:tcPr>
        <w:tcBorders>
          <w:tl2br w:val="nil"/>
          <w:tr2bl w:val="nil"/>
        </w:tcBorders>
      </w:tcPr>
    </w:tblStylePr>
    <w:tblStylePr w:type="nwCell">
      <w:rPr>
        <w:b/>
        <w:bCs/>
      </w:rPr>
      <w:tblPr/>
      <w:tcPr>
        <w:tcBorders>
          <w:tl2br w:val="nil"/>
          <w:tr2bl w:val="nil"/>
        </w:tcBorders>
      </w:tcPr>
    </w:tblStylePr>
    <w:tblStylePr w:type="swCell">
      <w:rPr>
        <w:color w:val="000080"/>
      </w:rPr>
      <w:tblPr/>
      <w:tcPr>
        <w:tcBorders>
          <w:tl2br w:val="nil"/>
          <w:tr2bl w:val="nil"/>
        </w:tcBorders>
      </w:tcPr>
    </w:tblStylePr>
  </w:style>
  <w:style w:type="table" w:styleId="TableColou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il"/>
          <w:tr2bl w:val="nil"/>
        </w:tcBorders>
        <w:shd w:val="solid" w:color="000000" w:fill="FFFFFF"/>
      </w:tcPr>
    </w:tblStylePr>
    <w:tblStylePr w:type="firstCol">
      <w:rPr>
        <w:b/>
        <w:bCs/>
        <w:i/>
        <w:iCs/>
      </w:rPr>
      <w:tblPr/>
      <w:tcPr>
        <w:tcBorders>
          <w:tl2br w:val="nil"/>
          <w:tr2bl w:val="nil"/>
        </w:tcBorders>
        <w:shd w:val="solid" w:color="000080" w:fill="FFFFFF"/>
      </w:tcPr>
    </w:tblStylePr>
    <w:tblStylePr w:type="nwCell">
      <w:tblPr/>
      <w:tcPr>
        <w:tcBorders>
          <w:tl2br w:val="nil"/>
          <w:tr2bl w:val="nil"/>
        </w:tcBorders>
        <w:shd w:val="solid" w:color="000000" w:fill="FFFFFF"/>
      </w:tcPr>
    </w:tblStylePr>
    <w:tblStylePr w:type="swCell">
      <w:rPr>
        <w:b/>
        <w:bCs/>
        <w:i w:val="0"/>
        <w:iCs w:val="0"/>
      </w:rPr>
      <w:tblPr/>
      <w:tcPr>
        <w:tcBorders>
          <w:tl2br w:val="nil"/>
          <w:tr2bl w:val="nil"/>
        </w:tcBorders>
      </w:tcPr>
    </w:tblStylePr>
  </w:style>
  <w:style w:type="table" w:styleId="TableColourful2">
    <w:name w:val="Table Colorful 2"/>
    <w:basedOn w:val="TableNormal"/>
    <w:qFormat/>
    <w:pPr>
      <w:widowControl w:val="0"/>
      <w:jc w:val="both"/>
    </w:pPr>
    <w:tblPr>
      <w:tblBorders>
        <w:bottom w:val="single" w:sz="12" w:space="0" w:color="000000"/>
      </w:tblBorders>
    </w:tblPr>
    <w:tcPr>
      <w:shd w:val="pct20" w:color="FFFF00" w:fill="FFFFFF"/>
    </w:tcPr>
    <w:tblStylePr w:type="firstRow">
      <w:rPr>
        <w:b/>
        <w:bCs/>
        <w:i/>
        <w:iCs/>
        <w:color w:val="FFFFFF"/>
      </w:rPr>
      <w:tblPr/>
      <w:tcPr>
        <w:tcBorders>
          <w:left w:val="single" w:sz="12" w:space="0" w:color="000000"/>
          <w:tl2br w:val="nil"/>
          <w:tr2bl w:val="nil"/>
        </w:tcBorders>
        <w:shd w:val="solid" w:color="800000" w:fill="FFFFFF"/>
      </w:tcPr>
    </w:tblStylePr>
    <w:tblStylePr w:type="firstCol">
      <w:rPr>
        <w:b/>
        <w:bCs/>
        <w:i/>
        <w:iCs/>
      </w:rPr>
      <w:tblPr/>
      <w:tcPr>
        <w:tcBorders>
          <w:tl2br w:val="nil"/>
          <w:tr2bl w:val="nil"/>
        </w:tcBorders>
      </w:tcPr>
    </w:tblStylePr>
    <w:tblStylePr w:type="lastCol">
      <w:tblPr/>
      <w:tcPr>
        <w:tcBorders>
          <w:tl2br w:val="nil"/>
          <w:tr2bl w:val="nil"/>
        </w:tcBorders>
        <w:shd w:val="solid" w:color="C0C0C0" w:fill="FFFFFF"/>
      </w:tcPr>
    </w:tblStylePr>
    <w:tblStylePr w:type="swCell">
      <w:rPr>
        <w:b/>
        <w:bCs/>
        <w:i w:val="0"/>
        <w:iCs w:val="0"/>
      </w:rPr>
      <w:tblPr/>
      <w:tcPr>
        <w:tcBorders>
          <w:tl2br w:val="nil"/>
          <w:tr2bl w:val="nil"/>
        </w:tcBorders>
      </w:tcPr>
    </w:tblStylePr>
  </w:style>
  <w:style w:type="table" w:styleId="TableColou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left w:val="single" w:sz="6" w:space="0" w:color="000000"/>
          <w:tl2br w:val="nil"/>
          <w:tr2bl w:val="nil"/>
        </w:tcBorders>
        <w:shd w:val="solid" w:color="008080" w:fill="FFFFFF"/>
      </w:tcPr>
    </w:tblStylePr>
    <w:tblStylePr w:type="firstCol">
      <w:tblPr/>
      <w:tcPr>
        <w:tcBorders>
          <w:bottom w:val="single" w:sz="36" w:space="0" w:color="000000"/>
          <w:right w:val="single" w:sz="6" w:space="0" w:color="000000"/>
          <w:tl2br w:val="nil"/>
          <w:tr2bl w:val="nil"/>
        </w:tcBorders>
        <w:shd w:val="solid" w:color="008080" w:fill="FFFFFF"/>
      </w:tcPr>
    </w:tblStylePr>
    <w:tblStylePr w:type="nwCell">
      <w:rPr>
        <w:b/>
        <w:bCs/>
        <w:color w:val="FFFFFF"/>
      </w:rPr>
      <w:tblPr/>
      <w:tcPr>
        <w:tcBorders>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left w:val="double" w:sz="6" w:space="0" w:color="000000"/>
          <w:tl2br w:val="nil"/>
          <w:tr2bl w:val="nil"/>
        </w:tcBorders>
      </w:tcPr>
    </w:tblStylePr>
    <w:tblStylePr w:type="lastRow">
      <w:rPr>
        <w:b w:val="0"/>
        <w:bCs w:val="0"/>
      </w:rPr>
      <w:tblPr/>
      <w:tcPr>
        <w:tcBorders>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2">
    <w:name w:val="Table Columns 2"/>
    <w:basedOn w:val="TableNormal"/>
    <w:pPr>
      <w:widowControl w:val="0"/>
      <w:jc w:val="both"/>
    </w:pPr>
    <w:rPr>
      <w:b/>
      <w:bCs/>
    </w:rPr>
    <w:tblPr>
      <w:tblStyleColBandSize w:val="1"/>
    </w:tblPr>
    <w:tblStylePr w:type="firstRow">
      <w:rPr>
        <w:color w:val="FFFFFF"/>
      </w:rPr>
      <w:tblPr/>
      <w:tcPr>
        <w:tcBorders>
          <w:tl2br w:val="nil"/>
          <w:tr2bl w:val="nil"/>
        </w:tcBorders>
        <w:shd w:val="solid" w:color="000080" w:fill="FFFFFF"/>
      </w:tcPr>
    </w:tblStylePr>
    <w:tblStylePr w:type="lastRow">
      <w:rPr>
        <w:b w:val="0"/>
        <w:bCs w:val="0"/>
      </w:rPr>
      <w:tblPr/>
      <w:tcPr>
        <w:tcBorders>
          <w:tl2br w:val="nil"/>
          <w:tr2bl w:val="nil"/>
        </w:tcBorders>
      </w:tcPr>
    </w:tblStylePr>
    <w:tblStylePr w:type="firstCol">
      <w:rPr>
        <w:b w:val="0"/>
        <w:bCs w:val="0"/>
        <w:color w:val="00000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Columns3">
    <w:name w:val="Table Columns 3"/>
    <w:basedOn w:val="TableNormal"/>
    <w:qFormat/>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il"/>
          <w:tr2bl w:val="nil"/>
        </w:tcBorders>
        <w:shd w:val="solid" w:color="000080" w:fill="FFFFFF"/>
      </w:tcPr>
    </w:tblStylePr>
    <w:tblStylePr w:type="lastRow">
      <w:rPr>
        <w:b w:val="0"/>
        <w:bCs w:val="0"/>
      </w:rPr>
      <w:tblPr/>
      <w:tcPr>
        <w:tcBorders>
          <w:top w:val="single" w:sz="6" w:space="0" w:color="00008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l2br w:val="nil"/>
          <w:tr2bl w:val="nil"/>
        </w:tcBorders>
        <w:shd w:val="solid" w:color="0000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left w:val="single" w:sz="6" w:space="0" w:color="808080"/>
          <w:tl2br w:val="nil"/>
          <w:tr2bl w:val="nil"/>
        </w:tcBorders>
      </w:tcPr>
    </w:tblStylePr>
    <w:tblStylePr w:type="lastRow">
      <w:rPr>
        <w:b/>
        <w:bCs/>
      </w:rPr>
      <w:tblPr/>
      <w:tcPr>
        <w:tcBorders>
          <w:top w:val="single" w:sz="6" w:space="0" w:color="80808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l2br w:val="nil"/>
          <w:tr2bl w:val="nil"/>
        </w:tcBorders>
        <w:shd w:val="pct20" w:color="000000" w:fill="FFFFFF"/>
      </w:tcPr>
    </w:tblStylePr>
    <w:tblStylePr w:type="band1Horz">
      <w:rPr>
        <w:color w:val="auto"/>
      </w:rPr>
      <w:tblPr/>
      <w:tcPr>
        <w:tcBorders>
          <w:tl2br w:val="nil"/>
          <w:tr2bl w:val="nil"/>
        </w:tcBorders>
        <w:shd w:val="pct5" w:color="000000" w:fill="FFFFFF"/>
      </w:tcPr>
    </w:tblStylePr>
    <w:tblStylePr w:type="band2Horz">
      <w:rPr>
        <w:color w:val="auto"/>
      </w:rPr>
      <w:tblPr/>
      <w:tcPr>
        <w:tcBorders>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il"/>
          <w:tr2bl w:val="nil"/>
        </w:tcBorders>
      </w:tcPr>
    </w:tblStylePr>
  </w:style>
  <w:style w:type="table" w:styleId="TableGrid">
    <w:name w:val="Table Grid"/>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il"/>
          <w:tr2bl w:val="nil"/>
        </w:tcBorders>
      </w:tcPr>
    </w:tblStylePr>
    <w:tblStylePr w:type="lastCol">
      <w:rPr>
        <w:i/>
        <w:iCs/>
      </w:rPr>
      <w:tblPr/>
      <w:tcPr>
        <w:tcBorders>
          <w:tl2br w:val="nil"/>
          <w:tr2bl w:val="nil"/>
        </w:tcBorders>
      </w:tcPr>
    </w:tblStylePr>
    <w:tblStylePr w:type="nwCell">
      <w:tblPr/>
      <w:tcPr>
        <w:tcBorders>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l2br w:val="nil"/>
          <w:tr2bl w:val="nil"/>
        </w:tcBorders>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style>
  <w:style w:type="table" w:styleId="TableGrid3">
    <w:name w:val="Table Grid 3"/>
    <w:basedOn w:val="TableNormal"/>
    <w:qFormat/>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left w:val="single" w:sz="6" w:space="0" w:color="000000"/>
          <w:tl2br w:val="nil"/>
          <w:tr2bl w:val="nil"/>
        </w:tcBorders>
        <w:shd w:val="pct30" w:color="FFFF00" w:fill="FFFFFF"/>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4">
    <w:name w:val="Table Grid 4"/>
    <w:basedOn w:val="TableNormal"/>
    <w:qFormat/>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left w:val="single" w:sz="6" w:space="0" w:color="000000"/>
          <w:tl2br w:val="nil"/>
          <w:tr2bl w:val="nil"/>
        </w:tcBorders>
        <w:shd w:val="pct30" w:color="FFFF00" w:fill="FFFFFF"/>
      </w:tcPr>
    </w:tblStylePr>
    <w:tblStylePr w:type="lastRow">
      <w:rPr>
        <w:b/>
        <w:bCs/>
        <w:color w:val="auto"/>
      </w:rPr>
      <w:tblPr/>
      <w:tcPr>
        <w:tcBorders>
          <w:top w:val="single" w:sz="6" w:space="0" w:color="000000"/>
          <w:tl2br w:val="nil"/>
          <w:tr2bl w:val="nil"/>
        </w:tcBorders>
        <w:shd w:val="pct30" w:color="FFFF00" w:fill="FFFFFF"/>
      </w:tcPr>
    </w:tblStylePr>
    <w:tblStylePr w:type="lastCol">
      <w:rPr>
        <w:b/>
        <w:bCs/>
        <w:color w:val="auto"/>
      </w:rPr>
      <w:tblPr/>
      <w:tcPr>
        <w:tcBorders>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left w:val="single" w:sz="12" w:space="0" w:color="000000"/>
          <w:tl2br w:val="nil"/>
          <w:tr2bl w:val="nil"/>
        </w:tcBorders>
      </w:tcPr>
    </w:tblStylePr>
    <w:tblStylePr w:type="lastRow">
      <w:rPr>
        <w:b/>
        <w:bCs/>
      </w:rPr>
      <w:tblPr/>
      <w:tcPr>
        <w:tcBorders>
          <w:tl2br w:val="nil"/>
          <w:tr2bl w:val="nil"/>
        </w:tcBorders>
      </w:tcPr>
    </w:tblStylePr>
    <w:tblStylePr w:type="la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left w:val="single" w:sz="6" w:space="0" w:color="000000"/>
          <w:tl2br w:val="nil"/>
          <w:tr2bl w:val="nil"/>
        </w:tcBorders>
      </w:tcPr>
    </w:tblStylePr>
    <w:tblStylePr w:type="lastRow">
      <w:rPr>
        <w:color w:val="auto"/>
      </w:rPr>
      <w:tblPr/>
      <w:tcPr>
        <w:tcBorders>
          <w:top w:val="single" w:sz="6" w:space="0" w:color="000000"/>
          <w:tl2br w:val="nil"/>
          <w:tr2bl w:val="nil"/>
        </w:tcBorders>
      </w:tcPr>
    </w:tblStylePr>
    <w:tblStylePr w:type="firstCol">
      <w:rPr>
        <w:b/>
        <w:bCs/>
      </w:rPr>
      <w:tblPr/>
      <w:tcPr>
        <w:tcBorders>
          <w:tl2br w:val="nil"/>
          <w:tr2bl w:val="nil"/>
        </w:tcBorders>
      </w:tcPr>
    </w:tblStylePr>
    <w:tblStylePr w:type="nwCell">
      <w:tblPr/>
      <w:tcPr>
        <w:tcBorders>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left w:val="single" w:sz="12" w:space="0" w:color="000000"/>
          <w:tl2br w:val="nil"/>
          <w:tr2bl w:val="nil"/>
        </w:tcBorders>
      </w:tcPr>
    </w:tblStylePr>
    <w:tblStylePr w:type="lastRow">
      <w:rPr>
        <w:b w:val="0"/>
        <w:bCs w:val="0"/>
      </w:rPr>
      <w:tblPr/>
      <w:tcPr>
        <w:tcBorders>
          <w:top w:val="single" w:sz="6" w:space="0" w:color="000000"/>
          <w:tl2br w:val="nil"/>
          <w:tr2bl w:val="nil"/>
        </w:tcBorders>
      </w:tcPr>
    </w:tblStylePr>
    <w:tblStylePr w:type="firstCol">
      <w:rPr>
        <w:b w:val="0"/>
        <w:bCs w:val="0"/>
      </w:rPr>
      <w:tblPr/>
      <w:tcPr>
        <w:tcBorders>
          <w:tl2br w:val="nil"/>
          <w:tr2bl w:val="nil"/>
        </w:tcBorders>
      </w:tcPr>
    </w:tblStylePr>
    <w:tblStylePr w:type="lastCol">
      <w:rPr>
        <w:b w:val="0"/>
        <w:bCs w:val="0"/>
      </w:rPr>
      <w:tblPr/>
      <w:tcPr>
        <w:tcBorders>
          <w:tl2br w:val="nil"/>
          <w:tr2bl w:val="nil"/>
        </w:tcBorders>
      </w:tcPr>
    </w:tblStylePr>
    <w:tblStylePr w:type="nwCell">
      <w:tblPr/>
      <w:tcPr>
        <w:tcBorders>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il"/>
          <w:tr2bl w:val="nil"/>
        </w:tcBorders>
        <w:shd w:val="solid" w:color="000080" w:fill="FFFFFF"/>
      </w:tcPr>
    </w:tblStylePr>
    <w:tblStylePr w:type="lastRow">
      <w:rPr>
        <w:b/>
        <w:bCs/>
        <w:color w:val="auto"/>
      </w:rPr>
      <w:tblPr/>
      <w:tcPr>
        <w:tcBorders>
          <w:tl2br w:val="nil"/>
          <w:tr2bl w:val="nil"/>
        </w:tcBorders>
      </w:tcPr>
    </w:tblStylePr>
    <w:tblStylePr w:type="lastCol">
      <w:rPr>
        <w:b/>
        <w:bCs/>
        <w:color w:val="auto"/>
      </w:rPr>
      <w:tblPr/>
      <w:tcPr>
        <w:tcBorders>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left w:val="single" w:sz="6" w:space="0" w:color="000000"/>
          <w:tl2br w:val="nil"/>
          <w:tr2bl w:val="nil"/>
        </w:tcBorders>
        <w:shd w:val="solid" w:color="C0C0C0" w:fill="FFFFFF"/>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solid" w:color="C0C0C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2">
    <w:name w:val="Table List 2"/>
    <w:basedOn w:val="TableNormal"/>
    <w:qFormat/>
    <w:pPr>
      <w:widowControl w:val="0"/>
      <w:jc w:val="both"/>
    </w:pPr>
    <w:tblPr>
      <w:tblBorders>
        <w:bottom w:val="single" w:sz="12" w:space="0" w:color="808080"/>
      </w:tblBorders>
    </w:tblPr>
    <w:tblStylePr w:type="firstRow">
      <w:rPr>
        <w:b/>
        <w:bCs/>
        <w:color w:val="FFFFFF"/>
      </w:rPr>
      <w:tblPr/>
      <w:tcPr>
        <w:tcBorders>
          <w:left w:val="single" w:sz="6" w:space="0" w:color="000000"/>
          <w:tl2br w:val="nil"/>
          <w:tr2bl w:val="nil"/>
        </w:tcBorders>
        <w:shd w:val="pct75" w:color="008080" w:fill="008000"/>
      </w:tcPr>
    </w:tblStylePr>
    <w:tblStylePr w:type="lastRow">
      <w:tblPr/>
      <w:tcPr>
        <w:tcBorders>
          <w:top w:val="single" w:sz="6" w:space="0" w:color="000000"/>
          <w:tl2br w:val="nil"/>
          <w:tr2bl w:val="nil"/>
        </w:tcBorders>
      </w:tcPr>
    </w:tblStylePr>
    <w:tblStylePr w:type="band1Horz">
      <w:rPr>
        <w:color w:val="auto"/>
      </w:rPr>
      <w:tblPr/>
      <w:tcPr>
        <w:tcBorders>
          <w:tl2br w:val="nil"/>
          <w:tr2bl w:val="nil"/>
        </w:tcBorders>
        <w:shd w:val="pct20" w:color="00FF00" w:fill="FFFFFF"/>
      </w:tcPr>
    </w:tblStylePr>
    <w:tblStylePr w:type="band2Horz">
      <w:rPr>
        <w:color w:val="auto"/>
      </w:rPr>
      <w:tblPr/>
      <w:tcPr>
        <w:tcBorders>
          <w:tl2br w:val="nil"/>
          <w:tr2bl w:val="nil"/>
        </w:tcBorders>
      </w:tcPr>
    </w:tblStylePr>
    <w:tblStylePr w:type="swCell">
      <w:rPr>
        <w:b/>
        <w:bCs/>
      </w:rPr>
      <w:tblPr/>
      <w:tcPr>
        <w:tcBorders>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swCell">
      <w:rPr>
        <w:i/>
        <w:iCs/>
        <w:color w:val="000080"/>
      </w:rPr>
      <w:tblPr/>
      <w:tcPr>
        <w:tcBorders>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left w:val="single" w:sz="12" w:space="0" w:color="000000"/>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left w:val="single" w:sz="12" w:space="0" w:color="000000"/>
          <w:tl2br w:val="nil"/>
          <w:tr2bl w:val="nil"/>
        </w:tcBorders>
      </w:tcPr>
    </w:tblStylePr>
    <w:tblStylePr w:type="firstCol">
      <w:rPr>
        <w:b/>
        <w:bCs/>
      </w:rPr>
      <w:tblPr/>
      <w:tcPr>
        <w:tcBorders>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left w:val="single" w:sz="12" w:space="0" w:color="000000"/>
          <w:tl2br w:val="nil"/>
          <w:tr2bl w:val="nil"/>
        </w:tcBorders>
      </w:tcPr>
    </w:tblStylePr>
    <w:tblStylePr w:type="firstCol">
      <w:rPr>
        <w:b/>
        <w:bCs/>
      </w:rPr>
      <w:tblPr/>
      <w:tcPr>
        <w:tcBorders>
          <w:right w:val="single" w:sz="12" w:space="0" w:color="000000"/>
          <w:tl2br w:val="nil"/>
          <w:tr2bl w:val="nil"/>
        </w:tcBorders>
      </w:tcPr>
    </w:tblStylePr>
    <w:tblStylePr w:type="band1Horz">
      <w:tblPr/>
      <w:tcPr>
        <w:tcBorders>
          <w:tl2br w:val="nil"/>
          <w:tr2bl w:val="nil"/>
        </w:tcBorders>
        <w:shd w:val="pct25" w:color="000000" w:fill="FFFFFF"/>
      </w:tcPr>
    </w:tblStylePr>
    <w:tblStylePr w:type="nwCell">
      <w:tblPr/>
      <w:tcPr>
        <w:tcBorders>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left w:val="single" w:sz="12" w:space="0" w:color="008000"/>
          <w:tl2br w:val="nil"/>
          <w:tr2bl w:val="nil"/>
        </w:tcBorders>
        <w:shd w:val="solid" w:color="C0C0C0" w:fill="FFFFFF"/>
      </w:tcPr>
    </w:tblStylePr>
    <w:tblStylePr w:type="lastRow">
      <w:rPr>
        <w:b/>
        <w:bCs/>
      </w:rPr>
      <w:tblPr/>
      <w:tcPr>
        <w:tcBorders>
          <w:top w:val="single" w:sz="12" w:space="0" w:color="008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0" w:color="000000" w:fill="FFFFFF"/>
      </w:tcPr>
    </w:tblStylePr>
    <w:tblStylePr w:type="band2Horz">
      <w:tblPr/>
      <w:tcPr>
        <w:tcBorders>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left w:val="single" w:sz="6" w:space="0" w:color="000000"/>
          <w:tl2br w:val="nil"/>
          <w:tr2bl w:val="nil"/>
        </w:tcBorders>
        <w:shd w:val="solid" w:color="FFFF00" w:fill="FFFFFF"/>
      </w:tcPr>
    </w:tblStylePr>
    <w:tblStylePr w:type="lastRow">
      <w:rPr>
        <w:b/>
        <w:bCs/>
      </w:rPr>
      <w:tblPr/>
      <w:tcPr>
        <w:tcBorders>
          <w:top w:val="single" w:sz="6" w:space="0" w:color="000000"/>
          <w:tl2br w:val="nil"/>
          <w:tr2bl w:val="nil"/>
        </w:tcBorders>
      </w:tcPr>
    </w:tblStylePr>
    <w:tblStylePr w:type="firstCol">
      <w:rPr>
        <w:b/>
        <w:bCs/>
      </w:rPr>
      <w:tblPr/>
      <w:tcPr>
        <w:tcBorders>
          <w:tl2br w:val="nil"/>
          <w:tr2bl w:val="nil"/>
        </w:tcBorders>
      </w:tcPr>
    </w:tblStylePr>
    <w:tblStylePr w:type="lastCol">
      <w:rPr>
        <w:b/>
        <w:bCs/>
      </w:rPr>
      <w:tblPr/>
      <w:tcPr>
        <w:tcBorders>
          <w:tl2br w:val="nil"/>
          <w:tr2bl w:val="nil"/>
        </w:tcBorders>
      </w:tcPr>
    </w:tblStylePr>
    <w:tblStylePr w:type="band1Horz">
      <w:rPr>
        <w:color w:val="auto"/>
      </w:rPr>
      <w:tblPr/>
      <w:tcPr>
        <w:tcBorders>
          <w:tl2br w:val="nil"/>
          <w:tr2bl w:val="nil"/>
        </w:tcBorders>
        <w:shd w:val="pct25" w:color="FFFF00" w:fill="FFFFFF"/>
      </w:tcPr>
    </w:tblStylePr>
    <w:tblStylePr w:type="band2Horz">
      <w:tblPr/>
      <w:tcPr>
        <w:tcBorders>
          <w:tl2br w:val="nil"/>
          <w:tr2bl w:val="nil"/>
        </w:tcBorders>
        <w:shd w:val="pct50" w:color="FF0000" w:fill="FFFFFF"/>
      </w:tcPr>
    </w:tblStylePr>
    <w:tblStylePr w:type="nwCell">
      <w:tblPr/>
      <w:tcPr>
        <w:tcBorders>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il"/>
          <w:tr2bl w:val="nil"/>
        </w:tcBorders>
        <w:shd w:val="solid" w:color="000000" w:fill="FFFFFF"/>
      </w:tcPr>
    </w:tblStylePr>
  </w:style>
  <w:style w:type="table" w:styleId="TableSimple1">
    <w:name w:val="Table Simple 1"/>
    <w:basedOn w:val="TableNormal"/>
    <w:qFormat/>
    <w:pPr>
      <w:widowControl w:val="0"/>
      <w:jc w:val="both"/>
    </w:pPr>
    <w:tblPr>
      <w:tblBorders>
        <w:top w:val="single" w:sz="12" w:space="0" w:color="008000"/>
        <w:bottom w:val="single" w:sz="12" w:space="0" w:color="008000"/>
      </w:tblBorders>
    </w:tblPr>
    <w:tcPr>
      <w:shd w:val="clear" w:color="auto" w:fill="auto"/>
    </w:tcPr>
    <w:tblStylePr w:type="firstRow">
      <w:tblPr/>
      <w:tcPr>
        <w:tcBorders>
          <w:left w:val="single" w:sz="6" w:space="0" w:color="008000"/>
          <w:tl2br w:val="nil"/>
          <w:tr2bl w:val="nil"/>
        </w:tcBorders>
      </w:tcPr>
    </w:tblStylePr>
    <w:tblStylePr w:type="lastRow">
      <w:tblPr/>
      <w:tcPr>
        <w:tcBorders>
          <w:top w:val="single" w:sz="6" w:space="0" w:color="008000"/>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left w:val="single" w:sz="12" w:space="0" w:color="000000"/>
          <w:tl2br w:val="nil"/>
          <w:tr2bl w:val="nil"/>
        </w:tcBorders>
      </w:tcPr>
    </w:tblStylePr>
    <w:tblStylePr w:type="lastRow">
      <w:rPr>
        <w:b/>
        <w:bCs/>
        <w:color w:val="auto"/>
      </w:rPr>
      <w:tblPr/>
      <w:tcPr>
        <w:tcBorders>
          <w:top w:val="single" w:sz="6" w:space="0" w:color="000000"/>
          <w:tl2br w:val="nil"/>
          <w:tr2bl w:val="nil"/>
        </w:tcBorders>
      </w:tcPr>
    </w:tblStylePr>
    <w:tblStylePr w:type="firstCol">
      <w:rPr>
        <w:b/>
        <w:bCs/>
      </w:rPr>
      <w:tblPr/>
      <w:tcPr>
        <w:tcBorders>
          <w:right w:val="single" w:sz="12" w:space="0" w:color="000000"/>
          <w:tl2br w:val="nil"/>
          <w:tr2bl w:val="nil"/>
        </w:tcBorders>
      </w:tcPr>
    </w:tblStylePr>
    <w:tblStylePr w:type="lastCol">
      <w:rPr>
        <w:b/>
        <w:bCs/>
      </w:rPr>
      <w:tblPr/>
      <w:tcPr>
        <w:tcBorders>
          <w:bottom w:val="single" w:sz="6" w:space="0" w:color="000000"/>
          <w:tl2br w:val="nil"/>
          <w:tr2bl w:val="nil"/>
        </w:tcBorders>
      </w:tcPr>
    </w:tblStylePr>
    <w:tblStylePr w:type="neCell">
      <w:rPr>
        <w:b/>
        <w:bCs/>
      </w:rPr>
      <w:tblPr/>
      <w:tcPr>
        <w:tcBorders>
          <w:bottom w:val="nil"/>
          <w:tl2br w:val="nil"/>
          <w:tr2bl w:val="nil"/>
        </w:tcBorders>
      </w:tcPr>
    </w:tblStylePr>
    <w:tblStylePr w:type="swCell">
      <w:rPr>
        <w:b/>
        <w:bCs/>
      </w:rPr>
      <w:tblPr/>
      <w:tcPr>
        <w:tcBorders>
          <w:top w:val="nil"/>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single" w:sz="12" w:space="0" w:color="000000"/>
          <w:tl2br w:val="nil"/>
          <w:tr2bl w:val="nil"/>
        </w:tcBorders>
      </w:tcPr>
    </w:tblStylePr>
    <w:tblStylePr w:type="lastRow">
      <w:tblPr/>
      <w:tcPr>
        <w:tcBorders>
          <w:top w:val="single" w:sz="12" w:space="0" w:color="000000"/>
          <w:tl2br w:val="nil"/>
          <w:tr2bl w:val="nil"/>
        </w:tcBorders>
        <w:shd w:val="pct25" w:color="800080" w:fill="FFFFFF"/>
      </w:tcPr>
    </w:tblStylePr>
    <w:tblStylePr w:type="firstCol">
      <w:tblPr/>
      <w:tcPr>
        <w:tcBorders>
          <w:right w:val="single" w:sz="12" w:space="0" w:color="000000"/>
          <w:tl2br w:val="nil"/>
          <w:tr2bl w:val="nil"/>
        </w:tcBorders>
      </w:tcPr>
    </w:tblStylePr>
    <w:tblStylePr w:type="lastCol">
      <w:tblPr/>
      <w:tcPr>
        <w:tcBorders>
          <w:bottom w:val="single" w:sz="12" w:space="0" w:color="000000"/>
          <w:tl2br w:val="nil"/>
          <w:tr2bl w:val="nil"/>
        </w:tcBorders>
      </w:tcPr>
    </w:tblStylePr>
    <w:tblStylePr w:type="band1Horz">
      <w:tblPr/>
      <w:tcPr>
        <w:tcBorders>
          <w:left w:val="single" w:sz="6"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left w:val="single" w:sz="12" w:space="0" w:color="000000"/>
          <w:tl2br w:val="nil"/>
          <w:tr2bl w:val="nil"/>
        </w:tcBorders>
      </w:tcPr>
    </w:tblStylePr>
    <w:tblStylePr w:type="lastRow">
      <w:tblPr/>
      <w:tcPr>
        <w:tcBorders>
          <w:top w:val="single" w:sz="12" w:space="0" w:color="000000"/>
          <w:tl2br w:val="nil"/>
          <w:tr2bl w:val="nil"/>
        </w:tcBorders>
      </w:tcPr>
    </w:tblStylePr>
    <w:tblStylePr w:type="firstCol">
      <w:tblPr/>
      <w:tcPr>
        <w:tcBorders>
          <w:right w:val="single" w:sz="12" w:space="0" w:color="000000"/>
          <w:tl2br w:val="nil"/>
          <w:tr2bl w:val="nil"/>
        </w:tcBorders>
        <w:shd w:val="pct25" w:color="008000" w:fill="FFFFFF"/>
      </w:tcPr>
    </w:tblStylePr>
    <w:tblStylePr w:type="lastCol">
      <w:tblPr/>
      <w:tcPr>
        <w:tcBorders>
          <w:bottom w:val="single" w:sz="12" w:space="0" w:color="000000"/>
          <w:tl2br w:val="nil"/>
          <w:tr2bl w:val="nil"/>
        </w:tcBorders>
        <w:shd w:val="pct25" w:color="808000" w:fill="FFFFFF"/>
      </w:tcPr>
    </w:tblStylePr>
    <w:tblStylePr w:type="neCell">
      <w:rPr>
        <w:b/>
        <w:bCs/>
      </w:rPr>
      <w:tblPr/>
      <w:tcPr>
        <w:tcBorders>
          <w:tl2br w:val="nil"/>
          <w:tr2bl w:val="nil"/>
        </w:tcBorders>
      </w:tcPr>
    </w:tblStylePr>
    <w:tblStylePr w:type="swCell">
      <w:rPr>
        <w:b/>
        <w:bCs/>
      </w:rPr>
      <w:tblPr/>
      <w:tcPr>
        <w:tcBorders>
          <w:tl2br w:val="nil"/>
          <w:tr2bl w:val="nil"/>
        </w:tcBorders>
      </w:tcPr>
    </w:tblStylePr>
  </w:style>
  <w:style w:type="table" w:styleId="TableTheme">
    <w:name w:val="Table Theme"/>
    <w:basedOn w:val="TableNormal"/>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2">
    <w:name w:val="Table Web 2"/>
    <w:basedOn w:val="TableNormal"/>
    <w:qFormat/>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qFormat/>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pPr>
      <w:ind w:leftChars="1400" w:left="2940"/>
    </w:pPr>
  </w:style>
  <w:style w:type="paragraph" w:styleId="TOC9">
    <w:name w:val="toc 9"/>
    <w:basedOn w:val="Normal"/>
    <w:next w:val="Normal"/>
    <w:pPr>
      <w:ind w:leftChars="1600" w:left="3360"/>
    </w:pPr>
  </w:style>
  <w:style w:type="table" w:styleId="LightShading">
    <w:name w:val="Light Shading"/>
    <w:basedOn w:val="TableNormal"/>
    <w:uiPriority w:val="60"/>
    <w:qFormat/>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240" w:lineRule="auto"/>
      </w:pPr>
      <w:rPr>
        <w:b/>
        <w:bCs/>
      </w:rPr>
      <w:tblPr/>
      <w:tcPr>
        <w:tcBorders>
          <w:top w:val="single" w:sz="8" w:space="0" w:color="000000"/>
          <w:left w:val="single" w:sz="8" w:space="0" w:color="000000"/>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C0C0C0"/>
      </w:tcPr>
    </w:tblStylePr>
    <w:tblStylePr w:type="band1Horz">
      <w:tblPr/>
      <w:tcPr>
        <w:tcBorders>
          <w:bottom w:val="nil"/>
          <w:right w:val="nil"/>
          <w:insideH w:val="nil"/>
          <w:insideV w:val="nil"/>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240" w:lineRule="auto"/>
      </w:pPr>
      <w:rPr>
        <w:b/>
        <w:bCs/>
      </w:rPr>
      <w:tblPr/>
      <w:tcPr>
        <w:tcBorders>
          <w:top w:val="single" w:sz="8" w:space="0" w:color="4F81BD"/>
          <w:left w:val="single" w:sz="8" w:space="0" w:color="4F81B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3DFEE"/>
      </w:tcPr>
    </w:tblStylePr>
    <w:tblStylePr w:type="band1Horz">
      <w:tblPr/>
      <w:tcPr>
        <w:tcBorders>
          <w:bottom w:val="nil"/>
          <w:right w:val="nil"/>
          <w:insideH w:val="nil"/>
          <w:insideV w:val="nil"/>
        </w:tcBorders>
        <w:shd w:val="clear" w:color="auto" w:fill="D3DFEE"/>
      </w:tcPr>
    </w:tblStylePr>
  </w:style>
  <w:style w:type="table" w:styleId="LightShading-Accent2">
    <w:name w:val="Light Shading Accent 2"/>
    <w:basedOn w:val="TableNormal"/>
    <w:uiPriority w:val="60"/>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240" w:lineRule="auto"/>
      </w:pPr>
      <w:rPr>
        <w:b/>
        <w:bCs/>
      </w:rPr>
      <w:tblPr/>
      <w:tcPr>
        <w:tcBorders>
          <w:top w:val="single" w:sz="8" w:space="0" w:color="C0504D"/>
          <w:left w:val="single" w:sz="8" w:space="0" w:color="C0504D"/>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FD3D2"/>
      </w:tcPr>
    </w:tblStylePr>
    <w:tblStylePr w:type="band1Horz">
      <w:tblPr/>
      <w:tcPr>
        <w:tcBorders>
          <w:bottom w:val="nil"/>
          <w:right w:val="nil"/>
          <w:insideH w:val="nil"/>
          <w:insideV w:val="nil"/>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240" w:lineRule="auto"/>
      </w:pPr>
      <w:rPr>
        <w:b/>
        <w:bCs/>
      </w:rPr>
      <w:tblPr/>
      <w:tcPr>
        <w:tcBorders>
          <w:top w:val="single" w:sz="8" w:space="0" w:color="9BBB59"/>
          <w:left w:val="single" w:sz="8" w:space="0" w:color="9BBB59"/>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E6EED5"/>
      </w:tcPr>
    </w:tblStylePr>
    <w:tblStylePr w:type="band1Horz">
      <w:tblPr/>
      <w:tcPr>
        <w:tcBorders>
          <w:bottom w:val="nil"/>
          <w:right w:val="nil"/>
          <w:insideH w:val="nil"/>
          <w:insideV w:val="nil"/>
        </w:tcBorders>
        <w:shd w:val="clear" w:color="auto" w:fill="E6EED5"/>
      </w:tcPr>
    </w:tblStylePr>
  </w:style>
  <w:style w:type="table" w:styleId="LightShading-Accent4">
    <w:name w:val="Light Shading Accent 4"/>
    <w:basedOn w:val="TableNormal"/>
    <w:uiPriority w:val="60"/>
    <w:qFormat/>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240" w:lineRule="auto"/>
      </w:pPr>
      <w:rPr>
        <w:b/>
        <w:bCs/>
      </w:rPr>
      <w:tblPr/>
      <w:tcPr>
        <w:tcBorders>
          <w:top w:val="single" w:sz="8" w:space="0" w:color="8064A2"/>
          <w:left w:val="single" w:sz="8" w:space="0" w:color="8064A2"/>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FD8E8"/>
      </w:tcPr>
    </w:tblStylePr>
    <w:tblStylePr w:type="band1Horz">
      <w:tblPr/>
      <w:tcPr>
        <w:tcBorders>
          <w:bottom w:val="nil"/>
          <w:right w:val="nil"/>
          <w:insideH w:val="nil"/>
          <w:insideV w:val="nil"/>
        </w:tcBorders>
        <w:shd w:val="clear" w:color="auto" w:fill="DFD8E8"/>
      </w:tcPr>
    </w:tblStylePr>
  </w:style>
  <w:style w:type="table" w:styleId="LightShading-Accent5">
    <w:name w:val="Light Shading Accent 5"/>
    <w:basedOn w:val="TableNormal"/>
    <w:uiPriority w:val="60"/>
    <w:qFormat/>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240" w:lineRule="auto"/>
      </w:pPr>
      <w:rPr>
        <w:b/>
        <w:bCs/>
      </w:rPr>
      <w:tblPr/>
      <w:tcPr>
        <w:tcBorders>
          <w:top w:val="single" w:sz="8" w:space="0" w:color="4BACC6"/>
          <w:left w:val="single" w:sz="8" w:space="0" w:color="4BACC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D2EAF1"/>
      </w:tcPr>
    </w:tblStylePr>
    <w:tblStylePr w:type="band1Horz">
      <w:tblPr/>
      <w:tcPr>
        <w:tcBorders>
          <w:bottom w:val="nil"/>
          <w:right w:val="nil"/>
          <w:insideH w:val="nil"/>
          <w:insideV w:val="nil"/>
        </w:tcBorders>
        <w:shd w:val="clear" w:color="auto" w:fill="D2EAF1"/>
      </w:tcPr>
    </w:tblStylePr>
  </w:style>
  <w:style w:type="table" w:styleId="LightShading-Accent6">
    <w:name w:val="Light Shading Accent 6"/>
    <w:basedOn w:val="TableNormal"/>
    <w:uiPriority w:val="60"/>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240" w:lineRule="auto"/>
      </w:pPr>
      <w:rPr>
        <w:b/>
        <w:bCs/>
      </w:rPr>
      <w:tblPr/>
      <w:tcPr>
        <w:tcBorders>
          <w:top w:val="single" w:sz="8" w:space="0" w:color="F79646"/>
          <w:left w:val="single" w:sz="8" w:space="0" w:color="F79646"/>
          <w:bottom w:val="nil"/>
          <w:right w:val="nil"/>
          <w:insideH w:val="nil"/>
          <w:insideV w:val="nil"/>
        </w:tcBorders>
      </w:tcPr>
    </w:tblStylePr>
    <w:tblStylePr w:type="firstCol">
      <w:rPr>
        <w:b/>
        <w:bCs/>
      </w:rPr>
    </w:tblStylePr>
    <w:tblStylePr w:type="lastCol">
      <w:rPr>
        <w:b/>
        <w:bCs/>
      </w:rPr>
    </w:tblStylePr>
    <w:tblStylePr w:type="band1Vert">
      <w:tblPr/>
      <w:tcPr>
        <w:tcBorders>
          <w:bottom w:val="nil"/>
          <w:right w:val="nil"/>
          <w:insideH w:val="nil"/>
          <w:insideV w:val="nil"/>
        </w:tcBorders>
        <w:shd w:val="clear" w:color="auto" w:fill="FDE4D0"/>
      </w:tcPr>
    </w:tblStylePr>
    <w:tblStylePr w:type="band1Horz">
      <w:tblPr/>
      <w:tcPr>
        <w:tcBorders>
          <w:bottom w:val="nil"/>
          <w:right w:val="nil"/>
          <w:insideH w:val="nil"/>
          <w:insideV w:val="nil"/>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tcBorders>
      </w:tcPr>
    </w:tblStylePr>
    <w:tblStylePr w:type="band1Horz">
      <w:tblPr/>
      <w:tcPr>
        <w:tcBorders>
          <w:top w:val="single" w:sz="8" w:space="0" w:color="000000"/>
          <w:left w:val="single" w:sz="8" w:space="0" w:color="000000"/>
          <w:bottom w:val="single" w:sz="8" w:space="0" w:color="000000"/>
          <w:right w:val="single" w:sz="8" w:space="0" w:color="000000"/>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tcBorders>
      </w:tcPr>
    </w:tblStylePr>
    <w:tblStylePr w:type="band1Horz">
      <w:tblPr/>
      <w:tcPr>
        <w:tcBorders>
          <w:top w:val="single" w:sz="8" w:space="0" w:color="C0504D"/>
          <w:left w:val="single" w:sz="8" w:space="0" w:color="C0504D"/>
          <w:bottom w:val="single" w:sz="8" w:space="0" w:color="C0504D"/>
          <w:right w:val="single" w:sz="8" w:space="0" w:color="C0504D"/>
        </w:tcBorders>
      </w:tcPr>
    </w:tblStylePr>
  </w:style>
  <w:style w:type="table" w:styleId="LightList-Accent3">
    <w:name w:val="Light List Accent 3"/>
    <w:basedOn w:val="TableNormal"/>
    <w:uiPriority w:val="61"/>
    <w:qFormat/>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tcBorders>
      </w:tcPr>
    </w:tblStylePr>
    <w:tblStylePr w:type="band1Horz">
      <w:tblPr/>
      <w:tcPr>
        <w:tcBorders>
          <w:top w:val="single" w:sz="8" w:space="0" w:color="9BBB59"/>
          <w:left w:val="single" w:sz="8" w:space="0" w:color="9BBB59"/>
          <w:bottom w:val="single" w:sz="8" w:space="0" w:color="9BBB59"/>
          <w:right w:val="single" w:sz="8" w:space="0" w:color="9BBB59"/>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tcBorders>
      </w:tcPr>
    </w:tblStylePr>
    <w:tblStylePr w:type="band1Horz">
      <w:tblPr/>
      <w:tcPr>
        <w:tcBorders>
          <w:top w:val="single" w:sz="8" w:space="0" w:color="8064A2"/>
          <w:left w:val="single" w:sz="8" w:space="0" w:color="8064A2"/>
          <w:bottom w:val="single" w:sz="8" w:space="0" w:color="8064A2"/>
          <w:right w:val="single" w:sz="8" w:space="0" w:color="8064A2"/>
        </w:tcBorders>
      </w:tcPr>
    </w:tblStylePr>
  </w:style>
  <w:style w:type="table" w:styleId="LightList-Accent5">
    <w:name w:val="Light List Accent 5"/>
    <w:basedOn w:val="TableNormal"/>
    <w:uiPriority w:val="61"/>
    <w:qFormat/>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tcBorders>
      </w:tcPr>
    </w:tblStylePr>
    <w:tblStylePr w:type="band1Horz">
      <w:tblPr/>
      <w:tcPr>
        <w:tcBorders>
          <w:top w:val="single" w:sz="8" w:space="0" w:color="F79646"/>
          <w:left w:val="single" w:sz="8" w:space="0" w:color="F79646"/>
          <w:bottom w:val="single" w:sz="8" w:space="0" w:color="F79646"/>
          <w:right w:val="single" w:sz="8" w:space="0" w:color="F79646"/>
        </w:tcBorders>
      </w:tcPr>
    </w:tblStylePr>
  </w:style>
  <w:style w:type="table" w:styleId="LightGrid">
    <w:name w:val="Light Grid"/>
    <w:basedOn w:val="TableNormal"/>
    <w:uiPriority w:val="62"/>
    <w:qFormat/>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tblPr/>
      <w:tcPr>
        <w:tcBorders>
          <w:top w:val="single" w:sz="8" w:space="0" w:color="000000"/>
          <w:left w:val="single" w:sz="8" w:space="0" w:color="000000"/>
          <w:bottom w:val="single" w:sz="8" w:space="0" w:color="000000"/>
          <w:right w:val="single" w:sz="8" w:space="0" w:color="000000"/>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V w:val="single" w:sz="8" w:space="0" w:color="auto"/>
        </w:tcBorders>
      </w:tcPr>
    </w:tblStylePr>
  </w:style>
  <w:style w:type="table" w:styleId="LightGrid-Accent1">
    <w:name w:val="Light Grid Accent 1"/>
    <w:basedOn w:val="TableNormal"/>
    <w:uiPriority w:val="62"/>
    <w:qFormat/>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tblPr/>
      <w:tcPr>
        <w:tcBorders>
          <w:top w:val="single" w:sz="8" w:space="0" w:color="C0504D"/>
          <w:left w:val="single" w:sz="8" w:space="0" w:color="C0504D"/>
          <w:bottom w:val="single" w:sz="8" w:space="0" w:color="C0504D"/>
          <w:right w:val="single" w:sz="8" w:space="0" w:color="C0504D"/>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V w:val="single" w:sz="8"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tblPr/>
      <w:tcPr>
        <w:tcBorders>
          <w:top w:val="single" w:sz="8" w:space="0" w:color="9BBB59"/>
          <w:left w:val="single" w:sz="8" w:space="0" w:color="9BBB59"/>
          <w:bottom w:val="single" w:sz="8" w:space="0" w:color="9BBB59"/>
          <w:right w:val="single" w:sz="8" w:space="0" w:color="9BBB59"/>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V w:val="single" w:sz="8"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tblPr/>
      <w:tcPr>
        <w:tcBorders>
          <w:top w:val="single" w:sz="8" w:space="0" w:color="8064A2"/>
          <w:left w:val="single" w:sz="8" w:space="0" w:color="8064A2"/>
          <w:bottom w:val="single" w:sz="8" w:space="0" w:color="8064A2"/>
          <w:right w:val="single" w:sz="8" w:space="0" w:color="8064A2"/>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V w:val="single" w:sz="8" w:space="0" w:color="auto"/>
        </w:tcBorders>
      </w:tcPr>
    </w:tblStylePr>
  </w:style>
  <w:style w:type="table" w:styleId="LightGrid-Accent5">
    <w:name w:val="Light Grid Accent 5"/>
    <w:basedOn w:val="TableNormal"/>
    <w:uiPriority w:val="62"/>
    <w:qFormat/>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tblPr/>
      <w:tcPr>
        <w:tcBorders>
          <w:top w:val="single" w:sz="8" w:space="0" w:color="4BACC6"/>
          <w:left w:val="single" w:sz="8" w:space="0" w:color="4BACC6"/>
          <w:bottom w:val="single" w:sz="8" w:space="0" w:color="4BACC6"/>
          <w:right w:val="single" w:sz="8" w:space="0" w:color="4BACC6"/>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V w:val="single" w:sz="8" w:space="0" w:color="auto"/>
        </w:tcBorders>
      </w:tcPr>
    </w:tblStylePr>
  </w:style>
  <w:style w:type="table" w:styleId="LightGrid-Accent6">
    <w:name w:val="Light Grid Accent 6"/>
    <w:basedOn w:val="TableNormal"/>
    <w:uiPriority w:val="62"/>
    <w:qFormat/>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tblPr/>
      <w:tcPr>
        <w:tcBorders>
          <w:top w:val="single" w:sz="8" w:space="0" w:color="F79646"/>
          <w:left w:val="single" w:sz="8" w:space="0" w:color="F79646"/>
          <w:bottom w:val="single" w:sz="8" w:space="0" w:color="F79646"/>
          <w:right w:val="single" w:sz="8" w:space="0" w:color="F79646"/>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V w:val="single" w:sz="8"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insideH w:val="nil"/>
          <w:insideV w:val="nil"/>
        </w:tcBorders>
        <w:shd w:val="clear" w:color="auto" w:fill="C0C0C0"/>
      </w:tcPr>
    </w:tblStylePr>
    <w:tblStylePr w:type="band2Horz">
      <w:tblPr/>
      <w:tcPr>
        <w:tcBorders>
          <w:insideH w:val="nil"/>
          <w:insideV w:val="nil"/>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insideH w:val="nil"/>
          <w:insideV w:val="nil"/>
        </w:tcBorders>
        <w:shd w:val="clear" w:color="auto" w:fill="D3DFEE"/>
      </w:tcPr>
    </w:tblStylePr>
    <w:tblStylePr w:type="band2Horz">
      <w:tblPr/>
      <w:tcPr>
        <w:tcBorders>
          <w:insideH w:val="nil"/>
          <w:insideV w:val="nil"/>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insideH w:val="nil"/>
          <w:insideV w:val="nil"/>
        </w:tcBorders>
        <w:shd w:val="clear" w:color="auto" w:fill="EFD3D2"/>
      </w:tcPr>
    </w:tblStylePr>
    <w:tblStylePr w:type="band2Horz">
      <w:tblPr/>
      <w:tcPr>
        <w:tcBorders>
          <w:insideH w:val="nil"/>
          <w:insideV w:val="nil"/>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insideH w:val="nil"/>
          <w:insideV w:val="nil"/>
        </w:tcBorders>
        <w:shd w:val="clear" w:color="auto" w:fill="E6EED5"/>
      </w:tcPr>
    </w:tblStylePr>
    <w:tblStylePr w:type="band2Horz">
      <w:tblPr/>
      <w:tcPr>
        <w:tcBorders>
          <w:insideH w:val="nil"/>
          <w:insideV w:val="nil"/>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insideH w:val="nil"/>
          <w:insideV w:val="nil"/>
        </w:tcBorders>
        <w:shd w:val="clear" w:color="auto" w:fill="DFD8E8"/>
      </w:tcPr>
    </w:tblStylePr>
    <w:tblStylePr w:type="band2Horz">
      <w:tblPr/>
      <w:tcPr>
        <w:tcBorders>
          <w:insideH w:val="nil"/>
          <w:insideV w:val="nil"/>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insideH w:val="nil"/>
          <w:insideV w:val="nil"/>
        </w:tcBorders>
        <w:shd w:val="clear" w:color="auto" w:fill="D2EAF1"/>
      </w:tcPr>
    </w:tblStylePr>
    <w:tblStylePr w:type="band2Horz">
      <w:tblPr/>
      <w:tcPr>
        <w:tcBorders>
          <w:insideH w:val="nil"/>
          <w:insideV w:val="nil"/>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insideH w:val="nil"/>
          <w:insideV w:val="nil"/>
        </w:tcBorders>
        <w:shd w:val="clear" w:color="auto" w:fill="FDE4D0"/>
      </w:tcPr>
    </w:tblStylePr>
    <w:tblStylePr w:type="band2Horz">
      <w:tblPr/>
      <w:tcPr>
        <w:tcBorders>
          <w:insideH w:val="nil"/>
          <w:insideV w:val="nil"/>
        </w:tcBorders>
      </w:tcPr>
    </w:tblStylePr>
  </w:style>
  <w:style w:type="table" w:styleId="MediumShading2">
    <w:name w:val="Medium Shading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000000"/>
      </w:tcPr>
    </w:tblStylePr>
    <w:tblStylePr w:type="lastCol">
      <w:rPr>
        <w:b/>
        <w:bCs/>
        <w:color w:val="FFFFFF"/>
      </w:rPr>
      <w:tblPr/>
      <w:tcPr>
        <w:tcBorders>
          <w:bottom w:val="nil"/>
          <w:right w:val="nil"/>
          <w:insideH w:val="nil"/>
          <w:insideV w:val="nil"/>
        </w:tcBorders>
        <w:shd w:val="clear" w:color="auto" w:fill="000000"/>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1">
    <w:name w:val="Medium Shading 2 Accent 1"/>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F81BD"/>
      </w:tcPr>
    </w:tblStylePr>
    <w:tblStylePr w:type="lastCol">
      <w:rPr>
        <w:b/>
        <w:bCs/>
        <w:color w:val="FFFFFF"/>
      </w:rPr>
      <w:tblPr/>
      <w:tcPr>
        <w:tcBorders>
          <w:bottom w:val="nil"/>
          <w:right w:val="nil"/>
          <w:insideH w:val="nil"/>
          <w:insideV w:val="nil"/>
        </w:tcBorders>
        <w:shd w:val="clear" w:color="auto" w:fill="4F81B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C0504D"/>
      </w:tcPr>
    </w:tblStylePr>
    <w:tblStylePr w:type="lastCol">
      <w:rPr>
        <w:b/>
        <w:bCs/>
        <w:color w:val="FFFFFF"/>
      </w:rPr>
      <w:tblPr/>
      <w:tcPr>
        <w:tcBorders>
          <w:bottom w:val="nil"/>
          <w:right w:val="nil"/>
          <w:insideH w:val="nil"/>
          <w:insideV w:val="nil"/>
        </w:tcBorders>
        <w:shd w:val="clear" w:color="auto" w:fill="C0504D"/>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9BBB59"/>
      </w:tcPr>
    </w:tblStylePr>
    <w:tblStylePr w:type="lastCol">
      <w:rPr>
        <w:b/>
        <w:bCs/>
        <w:color w:val="FFFFFF"/>
      </w:rPr>
      <w:tblPr/>
      <w:tcPr>
        <w:tcBorders>
          <w:bottom w:val="nil"/>
          <w:right w:val="nil"/>
          <w:insideH w:val="nil"/>
          <w:insideV w:val="nil"/>
        </w:tcBorders>
        <w:shd w:val="clear" w:color="auto" w:fill="9BBB59"/>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8064A2"/>
      </w:tcPr>
    </w:tblStylePr>
    <w:tblStylePr w:type="lastCol">
      <w:rPr>
        <w:b/>
        <w:bCs/>
        <w:color w:val="FFFFFF"/>
      </w:rPr>
      <w:tblPr/>
      <w:tcPr>
        <w:tcBorders>
          <w:bottom w:val="nil"/>
          <w:right w:val="nil"/>
          <w:insideH w:val="nil"/>
          <w:insideV w:val="nil"/>
        </w:tcBorders>
        <w:shd w:val="clear" w:color="auto" w:fill="8064A2"/>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5">
    <w:name w:val="Medium Shading 2 Accent 5"/>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4BACC6"/>
      </w:tcPr>
    </w:tblStylePr>
    <w:tblStylePr w:type="lastCol">
      <w:rPr>
        <w:b/>
        <w:bCs/>
        <w:color w:val="FFFFFF"/>
      </w:rPr>
      <w:tblPr/>
      <w:tcPr>
        <w:tcBorders>
          <w:bottom w:val="nil"/>
          <w:right w:val="nil"/>
          <w:insideH w:val="nil"/>
          <w:insideV w:val="nil"/>
        </w:tcBorders>
        <w:shd w:val="clear" w:color="auto" w:fill="4BACC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240" w:lineRule="auto"/>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firstCol">
      <w:rPr>
        <w:b/>
        <w:bCs/>
        <w:color w:val="FFFFFF"/>
      </w:rPr>
      <w:tblPr/>
      <w:tcPr>
        <w:tcBorders>
          <w:top w:val="nil"/>
          <w:left w:val="single" w:sz="18" w:space="0" w:color="auto"/>
          <w:bottom w:val="nil"/>
          <w:right w:val="nil"/>
          <w:insideH w:val="nil"/>
          <w:insideV w:val="nil"/>
        </w:tcBorders>
        <w:shd w:val="clear" w:color="auto" w:fill="F79646"/>
      </w:tcPr>
    </w:tblStylePr>
    <w:tblStylePr w:type="lastCol">
      <w:rPr>
        <w:b/>
        <w:bCs/>
        <w:color w:val="FFFFFF"/>
      </w:rPr>
      <w:tblPr/>
      <w:tcPr>
        <w:tcBorders>
          <w:bottom w:val="nil"/>
          <w:right w:val="nil"/>
          <w:insideH w:val="nil"/>
          <w:insideV w:val="nil"/>
        </w:tcBorders>
        <w:shd w:val="clear" w:color="auto" w:fill="F79646"/>
      </w:tcPr>
    </w:tblStylePr>
    <w:tblStylePr w:type="band1Vert">
      <w:tblPr/>
      <w:tcPr>
        <w:tcBorders>
          <w:bottom w:val="nil"/>
          <w:right w:val="nil"/>
          <w:insideH w:val="nil"/>
          <w:insideV w:val="nil"/>
        </w:tcBorders>
        <w:shd w:val="clear" w:color="auto" w:fill="D8D8D8"/>
      </w:tcPr>
    </w:tblStylePr>
    <w:tblStylePr w:type="band1Horz">
      <w:tblPr/>
      <w:tcPr>
        <w:shd w:val="clear" w:color="auto" w:fill="D8D8D8"/>
      </w:tcPr>
    </w:tblStylePr>
    <w:tblStylePr w:type="neCell">
      <w:tblPr/>
      <w:tcPr>
        <w:tcBorders>
          <w:top w:val="single" w:sz="18" w:space="0" w:color="auto"/>
          <w:left w:val="single" w:sz="18" w:space="0" w:color="auto"/>
          <w:bottom w:val="nil"/>
          <w:right w:val="nil"/>
          <w:insideH w:val="nil"/>
          <w:insideV w:val="nil"/>
        </w:tcBorders>
      </w:tcPr>
    </w:tblStylePr>
    <w:tblStylePr w:type="nwCell">
      <w:rPr>
        <w:color w:val="FFFFFF"/>
      </w:rPr>
      <w:tblPr/>
      <w:tcPr>
        <w:tcBorders>
          <w:top w:val="single" w:sz="18" w:space="0" w:color="auto"/>
          <w:left w:val="single" w:sz="18" w:space="0" w:color="auto"/>
          <w:bottom w:val="nil"/>
          <w:right w:val="nil"/>
          <w:insideH w:val="nil"/>
          <w:insideV w:val="nil"/>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single" w:sz="8" w:space="0" w:color="000000"/>
        </w:tcBorders>
      </w:tcPr>
    </w:tblStylePr>
    <w:tblStylePr w:type="lastRow">
      <w:rPr>
        <w:b/>
        <w:bCs/>
        <w:color w:val="1F497D"/>
      </w:rPr>
      <w:tblPr/>
      <w:tcPr>
        <w:tcBorders>
          <w:top w:val="single" w:sz="8" w:space="0" w:color="000000"/>
          <w:left w:val="single" w:sz="8" w:space="0" w:color="000000"/>
        </w:tcBorders>
      </w:tcPr>
    </w:tblStylePr>
    <w:tblStylePr w:type="firstCol">
      <w:rPr>
        <w:b/>
        <w:bCs/>
      </w:rPr>
    </w:tblStylePr>
    <w:tblStylePr w:type="lastCol">
      <w:rPr>
        <w:b/>
        <w:bCs/>
      </w:rPr>
      <w:tblPr/>
      <w:tcPr>
        <w:tcBorders>
          <w:top w:val="single" w:sz="8" w:space="0" w:color="000000"/>
          <w:left w:val="single" w:sz="8" w:space="0" w:color="000000"/>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single" w:sz="8" w:space="0" w:color="4F81BD"/>
        </w:tcBorders>
      </w:tcPr>
    </w:tblStylePr>
    <w:tblStylePr w:type="lastRow">
      <w:rPr>
        <w:b/>
        <w:bCs/>
        <w:color w:val="1F497D"/>
      </w:rPr>
      <w:tblPr/>
      <w:tcPr>
        <w:tcBorders>
          <w:top w:val="single" w:sz="8" w:space="0" w:color="4F81BD"/>
          <w:left w:val="single" w:sz="8" w:space="0" w:color="4F81BD"/>
        </w:tcBorders>
      </w:tcPr>
    </w:tblStylePr>
    <w:tblStylePr w:type="firstCol">
      <w:rPr>
        <w:b/>
        <w:bCs/>
      </w:rPr>
    </w:tblStylePr>
    <w:tblStylePr w:type="lastCol">
      <w:rPr>
        <w:b/>
        <w:bCs/>
      </w:rPr>
      <w:tblPr/>
      <w:tcPr>
        <w:tcBorders>
          <w:top w:val="single" w:sz="8" w:space="0" w:color="4F81BD"/>
          <w:left w:val="single" w:sz="8" w:space="0" w:color="4F81BD"/>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single" w:sz="8" w:space="0" w:color="C0504D"/>
        </w:tcBorders>
      </w:tcPr>
    </w:tblStylePr>
    <w:tblStylePr w:type="lastRow">
      <w:rPr>
        <w:b/>
        <w:bCs/>
        <w:color w:val="1F497D"/>
      </w:rPr>
      <w:tblPr/>
      <w:tcPr>
        <w:tcBorders>
          <w:top w:val="single" w:sz="8" w:space="0" w:color="C0504D"/>
          <w:left w:val="single" w:sz="8" w:space="0" w:color="C0504D"/>
        </w:tcBorders>
      </w:tcPr>
    </w:tblStylePr>
    <w:tblStylePr w:type="firstCol">
      <w:rPr>
        <w:b/>
        <w:bCs/>
      </w:rPr>
    </w:tblStylePr>
    <w:tblStylePr w:type="lastCol">
      <w:rPr>
        <w:b/>
        <w:bCs/>
      </w:rPr>
      <w:tblPr/>
      <w:tcPr>
        <w:tcBorders>
          <w:top w:val="single" w:sz="8" w:space="0" w:color="C0504D"/>
          <w:left w:val="single" w:sz="8" w:space="0" w:color="C0504D"/>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single" w:sz="8" w:space="0" w:color="9BBB59"/>
        </w:tcBorders>
      </w:tcPr>
    </w:tblStylePr>
    <w:tblStylePr w:type="lastRow">
      <w:rPr>
        <w:b/>
        <w:bCs/>
        <w:color w:val="1F497D"/>
      </w:rPr>
      <w:tblPr/>
      <w:tcPr>
        <w:tcBorders>
          <w:top w:val="single" w:sz="8" w:space="0" w:color="9BBB59"/>
          <w:left w:val="single" w:sz="8" w:space="0" w:color="9BBB59"/>
        </w:tcBorders>
      </w:tcPr>
    </w:tblStylePr>
    <w:tblStylePr w:type="firstCol">
      <w:rPr>
        <w:b/>
        <w:bCs/>
      </w:rPr>
    </w:tblStylePr>
    <w:tblStylePr w:type="lastCol">
      <w:rPr>
        <w:b/>
        <w:bCs/>
      </w:rPr>
      <w:tblPr/>
      <w:tcPr>
        <w:tcBorders>
          <w:top w:val="single" w:sz="8" w:space="0" w:color="9BBB59"/>
          <w:left w:val="single" w:sz="8" w:space="0" w:color="9BBB59"/>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qFormat/>
    <w:rPr>
      <w:color w:val="000000"/>
    </w:rPr>
    <w:tblPr>
      <w:tblBorders>
        <w:top w:val="single" w:sz="8" w:space="0" w:color="8064A2"/>
        <w:bottom w:val="single" w:sz="8" w:space="0" w:color="8064A2"/>
      </w:tblBorders>
    </w:tblPr>
    <w:tblStylePr w:type="firstRow">
      <w:rPr>
        <w:rFonts w:cs="Times New Roman"/>
      </w:rPr>
      <w:tblPr/>
      <w:tcPr>
        <w:tcBorders>
          <w:top w:val="nil"/>
          <w:left w:val="single" w:sz="8" w:space="0" w:color="8064A2"/>
        </w:tcBorders>
      </w:tcPr>
    </w:tblStylePr>
    <w:tblStylePr w:type="lastRow">
      <w:rPr>
        <w:b/>
        <w:bCs/>
        <w:color w:val="1F497D"/>
      </w:rPr>
      <w:tblPr/>
      <w:tcPr>
        <w:tcBorders>
          <w:top w:val="single" w:sz="8" w:space="0" w:color="8064A2"/>
          <w:left w:val="single" w:sz="8" w:space="0" w:color="8064A2"/>
        </w:tcBorders>
      </w:tcPr>
    </w:tblStylePr>
    <w:tblStylePr w:type="firstCol">
      <w:rPr>
        <w:b/>
        <w:bCs/>
      </w:rPr>
    </w:tblStylePr>
    <w:tblStylePr w:type="lastCol">
      <w:rPr>
        <w:b/>
        <w:bCs/>
      </w:rPr>
      <w:tblPr/>
      <w:tcPr>
        <w:tcBorders>
          <w:top w:val="single" w:sz="8" w:space="0" w:color="8064A2"/>
          <w:left w:val="single" w:sz="8" w:space="0" w:color="8064A2"/>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single" w:sz="8" w:space="0" w:color="4BACC6"/>
        </w:tcBorders>
      </w:tcPr>
    </w:tblStylePr>
    <w:tblStylePr w:type="lastRow">
      <w:rPr>
        <w:b/>
        <w:bCs/>
        <w:color w:val="1F497D"/>
      </w:rPr>
      <w:tblPr/>
      <w:tcPr>
        <w:tcBorders>
          <w:top w:val="single" w:sz="8" w:space="0" w:color="4BACC6"/>
          <w:left w:val="single" w:sz="8" w:space="0" w:color="4BACC6"/>
        </w:tcBorders>
      </w:tcPr>
    </w:tblStylePr>
    <w:tblStylePr w:type="firstCol">
      <w:rPr>
        <w:b/>
        <w:bCs/>
      </w:rPr>
    </w:tblStylePr>
    <w:tblStylePr w:type="lastCol">
      <w:rPr>
        <w:b/>
        <w:bCs/>
      </w:rPr>
      <w:tblPr/>
      <w:tcPr>
        <w:tcBorders>
          <w:top w:val="single" w:sz="8" w:space="0" w:color="4BACC6"/>
          <w:left w:val="single" w:sz="8" w:space="0" w:color="4BACC6"/>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single" w:sz="8" w:space="0" w:color="F79646"/>
        </w:tcBorders>
      </w:tcPr>
    </w:tblStylePr>
    <w:tblStylePr w:type="lastRow">
      <w:rPr>
        <w:b/>
        <w:bCs/>
        <w:color w:val="1F497D"/>
      </w:rPr>
      <w:tblPr/>
      <w:tcPr>
        <w:tcBorders>
          <w:top w:val="single" w:sz="8" w:space="0" w:color="F79646"/>
          <w:left w:val="single" w:sz="8" w:space="0" w:color="F79646"/>
        </w:tcBorders>
      </w:tcPr>
    </w:tblStylePr>
    <w:tblStylePr w:type="firstCol">
      <w:rPr>
        <w:b/>
        <w:bCs/>
      </w:rPr>
    </w:tblStylePr>
    <w:tblStylePr w:type="lastCol">
      <w:rPr>
        <w:b/>
        <w:bCs/>
      </w:rPr>
      <w:tblPr/>
      <w:tcPr>
        <w:tcBorders>
          <w:top w:val="single" w:sz="8" w:space="0" w:color="F79646"/>
          <w:left w:val="single" w:sz="8" w:space="0" w:color="F79646"/>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single" w:sz="24" w:space="0" w:color="000000"/>
          <w:bottom w:val="nil"/>
          <w:right w:val="nil"/>
          <w:insideH w:val="nil"/>
          <w:insideV w:val="nil"/>
        </w:tcBorders>
        <w:shd w:val="clear" w:color="auto" w:fill="FFFFFF"/>
      </w:tcPr>
    </w:tblStylePr>
    <w:tblStylePr w:type="lastRow">
      <w:tblPr/>
      <w:tcPr>
        <w:tcBorders>
          <w:top w:val="single" w:sz="8" w:space="0" w:color="000000"/>
          <w:left w:val="nil"/>
          <w:bottom w:val="nil"/>
          <w:right w:val="nil"/>
          <w:insideH w:val="nil"/>
          <w:insideV w:val="nil"/>
        </w:tcBorders>
        <w:shd w:val="clear" w:color="auto" w:fill="FFFFFF"/>
      </w:tcPr>
    </w:tblStylePr>
    <w:tblStylePr w:type="firstCol">
      <w:tblPr/>
      <w:tcPr>
        <w:tcBorders>
          <w:top w:val="nil"/>
          <w:left w:val="nil"/>
          <w:bottom w:val="nil"/>
          <w:right w:val="single" w:sz="8" w:space="0" w:color="000000"/>
          <w:insideH w:val="nil"/>
          <w:insideV w:val="nil"/>
        </w:tcBorders>
        <w:shd w:val="clear" w:color="auto" w:fill="FFFFFF"/>
      </w:tcPr>
    </w:tblStylePr>
    <w:tblStylePr w:type="lastCol">
      <w:tblPr/>
      <w:tcPr>
        <w:tcBorders>
          <w:top w:val="nil"/>
          <w:left w:val="nil"/>
          <w:bottom w:val="single" w:sz="8" w:space="0" w:color="000000"/>
          <w:right w:val="nil"/>
          <w:insideH w:val="nil"/>
          <w:insideV w:val="nil"/>
        </w:tcBorders>
        <w:shd w:val="clear" w:color="auto" w:fill="FFFFFF"/>
      </w:tcPr>
    </w:tblStylePr>
    <w:tblStylePr w:type="band1Vert">
      <w:tblPr/>
      <w:tcPr>
        <w:tcBorders>
          <w:bottom w:val="nil"/>
          <w:right w:val="nil"/>
          <w:insideH w:val="nil"/>
          <w:insideV w:val="nil"/>
        </w:tcBorders>
        <w:shd w:val="clear" w:color="auto" w:fill="C0C0C0"/>
      </w:tcPr>
    </w:tblStylePr>
    <w:tblStylePr w:type="band1Horz">
      <w:tblPr/>
      <w:tcPr>
        <w:tcBorders>
          <w:top w:val="nil"/>
          <w:left w:val="nil"/>
          <w:insideH w:val="nil"/>
          <w:insideV w:val="nil"/>
        </w:tcBorders>
        <w:shd w:val="clear" w:color="auto" w:fill="C0C0C0"/>
      </w:tcPr>
    </w:tblStylePr>
    <w:tblStylePr w:type="nwCell">
      <w:tblPr/>
      <w:tcPr>
        <w:shd w:val="clear" w:color="auto" w:fill="FFFFFF"/>
      </w:tcPr>
    </w:tblStylePr>
    <w:tblStylePr w:type="swCell">
      <w:tblPr/>
      <w:tcPr>
        <w:tcBorders>
          <w:top w:val="nil"/>
        </w:tcBorders>
      </w:tcPr>
    </w:tblStylePr>
  </w:style>
  <w:style w:type="table" w:styleId="MediumList2-Accent1">
    <w:name w:val="Medium List 2 Accent 1"/>
    <w:basedOn w:val="TableNormal"/>
    <w:uiPriority w:val="66"/>
    <w:qFormat/>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single" w:sz="24" w:space="0" w:color="4F81BD"/>
          <w:bottom w:val="nil"/>
          <w:right w:val="nil"/>
          <w:insideH w:val="nil"/>
          <w:insideV w:val="nil"/>
        </w:tcBorders>
        <w:shd w:val="clear" w:color="auto" w:fill="FFFFFF"/>
      </w:tcPr>
    </w:tblStylePr>
    <w:tblStylePr w:type="lastRow">
      <w:tblPr/>
      <w:tcPr>
        <w:tcBorders>
          <w:top w:val="single" w:sz="8" w:space="0" w:color="4F81BD"/>
          <w:left w:val="nil"/>
          <w:bottom w:val="nil"/>
          <w:right w:val="nil"/>
          <w:insideH w:val="nil"/>
          <w:insideV w:val="nil"/>
        </w:tcBorders>
        <w:shd w:val="clear" w:color="auto" w:fill="FFFFFF"/>
      </w:tcPr>
    </w:tblStylePr>
    <w:tblStylePr w:type="firstCol">
      <w:tblPr/>
      <w:tcPr>
        <w:tcBorders>
          <w:top w:val="nil"/>
          <w:left w:val="nil"/>
          <w:bottom w:val="nil"/>
          <w:right w:val="single" w:sz="8" w:space="0" w:color="4F81BD"/>
          <w:insideH w:val="nil"/>
          <w:insideV w:val="nil"/>
        </w:tcBorders>
        <w:shd w:val="clear" w:color="auto" w:fill="FFFFFF"/>
      </w:tcPr>
    </w:tblStylePr>
    <w:tblStylePr w:type="lastCol">
      <w:tblPr/>
      <w:tcPr>
        <w:tcBorders>
          <w:top w:val="nil"/>
          <w:left w:val="nil"/>
          <w:bottom w:val="single" w:sz="8" w:space="0" w:color="4F81BD"/>
          <w:right w:val="nil"/>
          <w:insideH w:val="nil"/>
          <w:insideV w:val="nil"/>
        </w:tcBorders>
        <w:shd w:val="clear" w:color="auto" w:fill="FFFFFF"/>
      </w:tcPr>
    </w:tblStylePr>
    <w:tblStylePr w:type="band1Vert">
      <w:tblPr/>
      <w:tcPr>
        <w:tcBorders>
          <w:bottom w:val="nil"/>
          <w:right w:val="nil"/>
          <w:insideH w:val="nil"/>
          <w:insideV w:val="nil"/>
        </w:tcBorders>
        <w:shd w:val="clear" w:color="auto" w:fill="D3DFEE"/>
      </w:tcPr>
    </w:tblStylePr>
    <w:tblStylePr w:type="band1Horz">
      <w:tblPr/>
      <w:tcPr>
        <w:tcBorders>
          <w:top w:val="nil"/>
          <w:left w:val="nil"/>
          <w:insideH w:val="nil"/>
          <w:insideV w:val="nil"/>
        </w:tcBorders>
        <w:shd w:val="clear" w:color="auto" w:fill="D3DFEE"/>
      </w:tcPr>
    </w:tblStylePr>
    <w:tblStylePr w:type="nwCell">
      <w:tblPr/>
      <w:tcPr>
        <w:shd w:val="clear" w:color="auto" w:fill="FFFFFF"/>
      </w:tcPr>
    </w:tblStylePr>
    <w:tblStylePr w:type="swCell">
      <w:tblPr/>
      <w:tcPr>
        <w:tcBorders>
          <w:top w:val="nil"/>
        </w:tcBorders>
      </w:tcPr>
    </w:tblStylePr>
  </w:style>
  <w:style w:type="table" w:styleId="MediumList2-Accent2">
    <w:name w:val="Medium List 2 Accent 2"/>
    <w:basedOn w:val="TableNormal"/>
    <w:uiPriority w:val="66"/>
    <w:qFormat/>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single" w:sz="24" w:space="0" w:color="C0504D"/>
          <w:bottom w:val="nil"/>
          <w:right w:val="nil"/>
          <w:insideH w:val="nil"/>
          <w:insideV w:val="nil"/>
        </w:tcBorders>
        <w:shd w:val="clear" w:color="auto" w:fill="FFFFFF"/>
      </w:tcPr>
    </w:tblStylePr>
    <w:tblStylePr w:type="lastRow">
      <w:tblPr/>
      <w:tcPr>
        <w:tcBorders>
          <w:top w:val="single" w:sz="8" w:space="0" w:color="C0504D"/>
          <w:left w:val="nil"/>
          <w:bottom w:val="nil"/>
          <w:right w:val="nil"/>
          <w:insideH w:val="nil"/>
          <w:insideV w:val="nil"/>
        </w:tcBorders>
        <w:shd w:val="clear" w:color="auto" w:fill="FFFFFF"/>
      </w:tcPr>
    </w:tblStylePr>
    <w:tblStylePr w:type="firstCol">
      <w:tblPr/>
      <w:tcPr>
        <w:tcBorders>
          <w:top w:val="nil"/>
          <w:left w:val="nil"/>
          <w:bottom w:val="nil"/>
          <w:right w:val="single" w:sz="8" w:space="0" w:color="C0504D"/>
          <w:insideH w:val="nil"/>
          <w:insideV w:val="nil"/>
        </w:tcBorders>
        <w:shd w:val="clear" w:color="auto" w:fill="FFFFFF"/>
      </w:tcPr>
    </w:tblStylePr>
    <w:tblStylePr w:type="lastCol">
      <w:tblPr/>
      <w:tcPr>
        <w:tcBorders>
          <w:top w:val="nil"/>
          <w:left w:val="nil"/>
          <w:bottom w:val="single" w:sz="8" w:space="0" w:color="C0504D"/>
          <w:right w:val="nil"/>
          <w:insideH w:val="nil"/>
          <w:insideV w:val="nil"/>
        </w:tcBorders>
        <w:shd w:val="clear" w:color="auto" w:fill="FFFFFF"/>
      </w:tcPr>
    </w:tblStylePr>
    <w:tblStylePr w:type="band1Vert">
      <w:tblPr/>
      <w:tcPr>
        <w:tcBorders>
          <w:bottom w:val="nil"/>
          <w:right w:val="nil"/>
          <w:insideH w:val="nil"/>
          <w:insideV w:val="nil"/>
        </w:tcBorders>
        <w:shd w:val="clear" w:color="auto" w:fill="EFD3D2"/>
      </w:tcPr>
    </w:tblStylePr>
    <w:tblStylePr w:type="band1Horz">
      <w:tblPr/>
      <w:tcPr>
        <w:tcBorders>
          <w:top w:val="nil"/>
          <w:left w:val="nil"/>
          <w:insideH w:val="nil"/>
          <w:insideV w:val="nil"/>
        </w:tcBorders>
        <w:shd w:val="clear" w:color="auto" w:fill="EFD3D2"/>
      </w:tcPr>
    </w:tblStylePr>
    <w:tblStylePr w:type="nwCell">
      <w:tblPr/>
      <w:tcPr>
        <w:shd w:val="clear" w:color="auto" w:fill="FFFFFF"/>
      </w:tcPr>
    </w:tblStylePr>
    <w:tblStylePr w:type="swCell">
      <w:tblPr/>
      <w:tcPr>
        <w:tcBorders>
          <w:top w:val="nil"/>
        </w:tcBorders>
      </w:tcPr>
    </w:tblStylePr>
  </w:style>
  <w:style w:type="table" w:styleId="MediumList2-Accent3">
    <w:name w:val="Medium List 2 Accent 3"/>
    <w:basedOn w:val="TableNormal"/>
    <w:uiPriority w:val="66"/>
    <w:qFormat/>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single" w:sz="24" w:space="0" w:color="9BBB59"/>
          <w:bottom w:val="nil"/>
          <w:right w:val="nil"/>
          <w:insideH w:val="nil"/>
          <w:insideV w:val="nil"/>
        </w:tcBorders>
        <w:shd w:val="clear" w:color="auto" w:fill="FFFFFF"/>
      </w:tcPr>
    </w:tblStylePr>
    <w:tblStylePr w:type="lastRow">
      <w:tblPr/>
      <w:tcPr>
        <w:tcBorders>
          <w:top w:val="single" w:sz="8" w:space="0" w:color="9BBB59"/>
          <w:left w:val="nil"/>
          <w:bottom w:val="nil"/>
          <w:right w:val="nil"/>
          <w:insideH w:val="nil"/>
          <w:insideV w:val="nil"/>
        </w:tcBorders>
        <w:shd w:val="clear" w:color="auto" w:fill="FFFFFF"/>
      </w:tcPr>
    </w:tblStylePr>
    <w:tblStylePr w:type="firstCol">
      <w:tblPr/>
      <w:tcPr>
        <w:tcBorders>
          <w:top w:val="nil"/>
          <w:left w:val="nil"/>
          <w:bottom w:val="nil"/>
          <w:right w:val="single" w:sz="8" w:space="0" w:color="9BBB59"/>
          <w:insideH w:val="nil"/>
          <w:insideV w:val="nil"/>
        </w:tcBorders>
        <w:shd w:val="clear" w:color="auto" w:fill="FFFFFF"/>
      </w:tcPr>
    </w:tblStylePr>
    <w:tblStylePr w:type="lastCol">
      <w:tblPr/>
      <w:tcPr>
        <w:tcBorders>
          <w:top w:val="nil"/>
          <w:left w:val="nil"/>
          <w:bottom w:val="single" w:sz="8" w:space="0" w:color="9BBB59"/>
          <w:right w:val="nil"/>
          <w:insideH w:val="nil"/>
          <w:insideV w:val="nil"/>
        </w:tcBorders>
        <w:shd w:val="clear" w:color="auto" w:fill="FFFFFF"/>
      </w:tcPr>
    </w:tblStylePr>
    <w:tblStylePr w:type="band1Vert">
      <w:tblPr/>
      <w:tcPr>
        <w:tcBorders>
          <w:bottom w:val="nil"/>
          <w:right w:val="nil"/>
          <w:insideH w:val="nil"/>
          <w:insideV w:val="nil"/>
        </w:tcBorders>
        <w:shd w:val="clear" w:color="auto" w:fill="E6EED5"/>
      </w:tcPr>
    </w:tblStylePr>
    <w:tblStylePr w:type="band1Horz">
      <w:tblPr/>
      <w:tcPr>
        <w:tcBorders>
          <w:top w:val="nil"/>
          <w:left w:val="nil"/>
          <w:insideH w:val="nil"/>
          <w:insideV w:val="nil"/>
        </w:tcBorders>
        <w:shd w:val="clear" w:color="auto" w:fill="E6EED5"/>
      </w:tcPr>
    </w:tblStylePr>
    <w:tblStylePr w:type="nwCell">
      <w:tblPr/>
      <w:tcPr>
        <w:shd w:val="clear" w:color="auto" w:fill="FFFFFF"/>
      </w:tcPr>
    </w:tblStylePr>
    <w:tblStylePr w:type="swCell">
      <w:tblPr/>
      <w:tcPr>
        <w:tcBorders>
          <w:top w:val="nil"/>
        </w:tcBorders>
      </w:tcPr>
    </w:tblStylePr>
  </w:style>
  <w:style w:type="table" w:styleId="MediumList2-Accent4">
    <w:name w:val="Medium List 2 Accent 4"/>
    <w:basedOn w:val="TableNormal"/>
    <w:uiPriority w:val="66"/>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single" w:sz="24" w:space="0" w:color="8064A2"/>
          <w:bottom w:val="nil"/>
          <w:right w:val="nil"/>
          <w:insideH w:val="nil"/>
          <w:insideV w:val="nil"/>
        </w:tcBorders>
        <w:shd w:val="clear" w:color="auto" w:fill="FFFFFF"/>
      </w:tcPr>
    </w:tblStylePr>
    <w:tblStylePr w:type="lastRow">
      <w:tblPr/>
      <w:tcPr>
        <w:tcBorders>
          <w:top w:val="single" w:sz="8" w:space="0" w:color="8064A2"/>
          <w:left w:val="nil"/>
          <w:bottom w:val="nil"/>
          <w:right w:val="nil"/>
          <w:insideH w:val="nil"/>
          <w:insideV w:val="nil"/>
        </w:tcBorders>
        <w:shd w:val="clear" w:color="auto" w:fill="FFFFFF"/>
      </w:tcPr>
    </w:tblStylePr>
    <w:tblStylePr w:type="firstCol">
      <w:tblPr/>
      <w:tcPr>
        <w:tcBorders>
          <w:top w:val="nil"/>
          <w:left w:val="nil"/>
          <w:bottom w:val="nil"/>
          <w:right w:val="single" w:sz="8" w:space="0" w:color="8064A2"/>
          <w:insideH w:val="nil"/>
          <w:insideV w:val="nil"/>
        </w:tcBorders>
        <w:shd w:val="clear" w:color="auto" w:fill="FFFFFF"/>
      </w:tcPr>
    </w:tblStylePr>
    <w:tblStylePr w:type="lastCol">
      <w:tblPr/>
      <w:tcPr>
        <w:tcBorders>
          <w:top w:val="nil"/>
          <w:left w:val="nil"/>
          <w:bottom w:val="single" w:sz="8" w:space="0" w:color="8064A2"/>
          <w:right w:val="nil"/>
          <w:insideH w:val="nil"/>
          <w:insideV w:val="nil"/>
        </w:tcBorders>
        <w:shd w:val="clear" w:color="auto" w:fill="FFFFFF"/>
      </w:tcPr>
    </w:tblStylePr>
    <w:tblStylePr w:type="band1Vert">
      <w:tblPr/>
      <w:tcPr>
        <w:tcBorders>
          <w:bottom w:val="nil"/>
          <w:right w:val="nil"/>
          <w:insideH w:val="nil"/>
          <w:insideV w:val="nil"/>
        </w:tcBorders>
        <w:shd w:val="clear" w:color="auto" w:fill="DFD8E8"/>
      </w:tcPr>
    </w:tblStylePr>
    <w:tblStylePr w:type="band1Horz">
      <w:tblPr/>
      <w:tcPr>
        <w:tcBorders>
          <w:top w:val="nil"/>
          <w:left w:val="nil"/>
          <w:insideH w:val="nil"/>
          <w:insideV w:val="nil"/>
        </w:tcBorders>
        <w:shd w:val="clear" w:color="auto" w:fill="DFD8E8"/>
      </w:tcPr>
    </w:tblStylePr>
    <w:tblStylePr w:type="nwCell">
      <w:tblPr/>
      <w:tcPr>
        <w:shd w:val="clear" w:color="auto" w:fill="FFFFFF"/>
      </w:tcPr>
    </w:tblStylePr>
    <w:tblStylePr w:type="swCell">
      <w:tblPr/>
      <w:tcPr>
        <w:tcBorders>
          <w:top w:val="nil"/>
        </w:tcBorders>
      </w:tcPr>
    </w:tblStylePr>
  </w:style>
  <w:style w:type="table" w:styleId="MediumList2-Accent5">
    <w:name w:val="Medium List 2 Accent 5"/>
    <w:basedOn w:val="TableNormal"/>
    <w:uiPriority w:val="66"/>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single" w:sz="24" w:space="0" w:color="4BACC6"/>
          <w:bottom w:val="nil"/>
          <w:right w:val="nil"/>
          <w:insideH w:val="nil"/>
          <w:insideV w:val="nil"/>
        </w:tcBorders>
        <w:shd w:val="clear" w:color="auto" w:fill="FFFFFF"/>
      </w:tcPr>
    </w:tblStylePr>
    <w:tblStylePr w:type="lastRow">
      <w:tblPr/>
      <w:tcPr>
        <w:tcBorders>
          <w:top w:val="single" w:sz="8" w:space="0" w:color="4BACC6"/>
          <w:left w:val="nil"/>
          <w:bottom w:val="nil"/>
          <w:right w:val="nil"/>
          <w:insideH w:val="nil"/>
          <w:insideV w:val="nil"/>
        </w:tcBorders>
        <w:shd w:val="clear" w:color="auto" w:fill="FFFFFF"/>
      </w:tcPr>
    </w:tblStylePr>
    <w:tblStylePr w:type="firstCol">
      <w:tblPr/>
      <w:tcPr>
        <w:tcBorders>
          <w:top w:val="nil"/>
          <w:left w:val="nil"/>
          <w:bottom w:val="nil"/>
          <w:right w:val="single" w:sz="8" w:space="0" w:color="4BACC6"/>
          <w:insideH w:val="nil"/>
          <w:insideV w:val="nil"/>
        </w:tcBorders>
        <w:shd w:val="clear" w:color="auto" w:fill="FFFFFF"/>
      </w:tcPr>
    </w:tblStylePr>
    <w:tblStylePr w:type="lastCol">
      <w:tblPr/>
      <w:tcPr>
        <w:tcBorders>
          <w:top w:val="nil"/>
          <w:left w:val="nil"/>
          <w:bottom w:val="single" w:sz="8" w:space="0" w:color="4BACC6"/>
          <w:right w:val="nil"/>
          <w:insideH w:val="nil"/>
          <w:insideV w:val="nil"/>
        </w:tcBorders>
        <w:shd w:val="clear" w:color="auto" w:fill="FFFFFF"/>
      </w:tcPr>
    </w:tblStylePr>
    <w:tblStylePr w:type="band1Vert">
      <w:tblPr/>
      <w:tcPr>
        <w:tcBorders>
          <w:bottom w:val="nil"/>
          <w:right w:val="nil"/>
          <w:insideH w:val="nil"/>
          <w:insideV w:val="nil"/>
        </w:tcBorders>
        <w:shd w:val="clear" w:color="auto" w:fill="D2EAF1"/>
      </w:tcPr>
    </w:tblStylePr>
    <w:tblStylePr w:type="band1Horz">
      <w:tblPr/>
      <w:tcPr>
        <w:tcBorders>
          <w:top w:val="nil"/>
          <w:left w:val="nil"/>
          <w:insideH w:val="nil"/>
          <w:insideV w:val="nil"/>
        </w:tcBorders>
        <w:shd w:val="clear" w:color="auto" w:fill="D2EAF1"/>
      </w:tcPr>
    </w:tblStylePr>
    <w:tblStylePr w:type="nwCell">
      <w:tblPr/>
      <w:tcPr>
        <w:shd w:val="clear" w:color="auto" w:fill="FFFFFF"/>
      </w:tcPr>
    </w:tblStylePr>
    <w:tblStylePr w:type="swCell">
      <w:tblPr/>
      <w:tcPr>
        <w:tcBorders>
          <w:top w:val="nil"/>
        </w:tcBorders>
      </w:tcPr>
    </w:tblStylePr>
  </w:style>
  <w:style w:type="table" w:styleId="MediumList2-Accent6">
    <w:name w:val="Medium List 2 Accent 6"/>
    <w:basedOn w:val="TableNormal"/>
    <w:uiPriority w:val="66"/>
    <w:qFormat/>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single" w:sz="24" w:space="0" w:color="F79646"/>
          <w:bottom w:val="nil"/>
          <w:right w:val="nil"/>
          <w:insideH w:val="nil"/>
          <w:insideV w:val="nil"/>
        </w:tcBorders>
        <w:shd w:val="clear" w:color="auto" w:fill="FFFFFF"/>
      </w:tcPr>
    </w:tblStylePr>
    <w:tblStylePr w:type="lastRow">
      <w:tblPr/>
      <w:tcPr>
        <w:tcBorders>
          <w:top w:val="single" w:sz="8" w:space="0" w:color="F79646"/>
          <w:left w:val="nil"/>
          <w:bottom w:val="nil"/>
          <w:right w:val="nil"/>
          <w:insideH w:val="nil"/>
          <w:insideV w:val="nil"/>
        </w:tcBorders>
        <w:shd w:val="clear" w:color="auto" w:fill="FFFFFF"/>
      </w:tcPr>
    </w:tblStylePr>
    <w:tblStylePr w:type="firstCol">
      <w:tblPr/>
      <w:tcPr>
        <w:tcBorders>
          <w:top w:val="nil"/>
          <w:left w:val="nil"/>
          <w:bottom w:val="nil"/>
          <w:right w:val="single" w:sz="8" w:space="0" w:color="F79646"/>
          <w:insideH w:val="nil"/>
          <w:insideV w:val="nil"/>
        </w:tcBorders>
        <w:shd w:val="clear" w:color="auto" w:fill="FFFFFF"/>
      </w:tcPr>
    </w:tblStylePr>
    <w:tblStylePr w:type="lastCol">
      <w:tblPr/>
      <w:tcPr>
        <w:tcBorders>
          <w:top w:val="nil"/>
          <w:left w:val="nil"/>
          <w:bottom w:val="single" w:sz="8" w:space="0" w:color="F79646"/>
          <w:right w:val="nil"/>
          <w:insideH w:val="nil"/>
          <w:insideV w:val="nil"/>
        </w:tcBorders>
        <w:shd w:val="clear" w:color="auto" w:fill="FFFFFF"/>
      </w:tcPr>
    </w:tblStylePr>
    <w:tblStylePr w:type="band1Vert">
      <w:tblPr/>
      <w:tcPr>
        <w:tcBorders>
          <w:bottom w:val="nil"/>
          <w:right w:val="nil"/>
          <w:insideH w:val="nil"/>
          <w:insideV w:val="nil"/>
        </w:tcBorders>
        <w:shd w:val="clear" w:color="auto" w:fill="FDE4D0"/>
      </w:tcPr>
    </w:tblStylePr>
    <w:tblStylePr w:type="band1Horz">
      <w:tblPr/>
      <w:tcPr>
        <w:tcBorders>
          <w:top w:val="nil"/>
          <w:left w:val="nil"/>
          <w:insideH w:val="nil"/>
          <w:insideV w:val="nil"/>
        </w:tcBorders>
        <w:shd w:val="clear" w:color="auto" w:fill="FDE4D0"/>
      </w:tcPr>
    </w:tblStylePr>
    <w:tblStylePr w:type="nwCell">
      <w:tblPr/>
      <w:tcPr>
        <w:shd w:val="clear" w:color="auto" w:fill="FFFFFF"/>
      </w:tcPr>
    </w:tblStylePr>
    <w:tblStylePr w:type="swCell">
      <w:tblPr/>
      <w:tcPr>
        <w:tcBorders>
          <w:top w:val="nil"/>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qFormat/>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qFormat/>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CCCCCC"/>
      </w:tcPr>
    </w:tblStylePr>
    <w:tblStylePr w:type="band1Vert">
      <w:tblPr/>
      <w:tcPr>
        <w:shd w:val="clear" w:color="auto" w:fill="808080"/>
      </w:tcPr>
    </w:tblStylePr>
    <w:tblStylePr w:type="band1Horz">
      <w:tblPr/>
      <w:tcPr>
        <w:tcBorders>
          <w:insideH w:val="single" w:sz="6" w:space="0" w:color="auto"/>
          <w:insideV w:val="single" w:sz="6"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BE5F1"/>
      </w:tcPr>
    </w:tblStylePr>
    <w:tblStylePr w:type="band1Vert">
      <w:tblPr/>
      <w:tcPr>
        <w:shd w:val="clear" w:color="auto" w:fill="A7BFDE"/>
      </w:tcPr>
    </w:tblStylePr>
    <w:tblStylePr w:type="band1Horz">
      <w:tblPr/>
      <w:tcPr>
        <w:tcBorders>
          <w:insideH w:val="single" w:sz="6" w:space="0" w:color="auto"/>
          <w:insideV w:val="single" w:sz="6"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2DBDB"/>
      </w:tcPr>
    </w:tblStylePr>
    <w:tblStylePr w:type="band1Vert">
      <w:tblPr/>
      <w:tcPr>
        <w:shd w:val="clear" w:color="auto" w:fill="DFA7A6"/>
      </w:tcPr>
    </w:tblStylePr>
    <w:tblStylePr w:type="band1Horz">
      <w:tblPr/>
      <w:tcPr>
        <w:tcBorders>
          <w:insideH w:val="single" w:sz="6" w:space="0" w:color="auto"/>
          <w:insideV w:val="single" w:sz="6"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AF1DD"/>
      </w:tcPr>
    </w:tblStylePr>
    <w:tblStylePr w:type="band1Vert">
      <w:tblPr/>
      <w:tcPr>
        <w:shd w:val="clear" w:color="auto" w:fill="CDDDAC"/>
      </w:tcPr>
    </w:tblStylePr>
    <w:tblStylePr w:type="band1Horz">
      <w:tblPr/>
      <w:tcPr>
        <w:tcBorders>
          <w:insideH w:val="single" w:sz="6" w:space="0" w:color="auto"/>
          <w:insideV w:val="single" w:sz="6"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E5DFEC"/>
      </w:tcPr>
    </w:tblStylePr>
    <w:tblStylePr w:type="band1Vert">
      <w:tblPr/>
      <w:tcPr>
        <w:shd w:val="clear" w:color="auto" w:fill="BFB1D0"/>
      </w:tcPr>
    </w:tblStylePr>
    <w:tblStylePr w:type="band1Horz">
      <w:tblPr/>
      <w:tcPr>
        <w:tcBorders>
          <w:insideH w:val="single" w:sz="6" w:space="0" w:color="auto"/>
          <w:insideV w:val="single" w:sz="6"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DAEEF3"/>
      </w:tcPr>
    </w:tblStylePr>
    <w:tblStylePr w:type="band1Vert">
      <w:tblPr/>
      <w:tcPr>
        <w:shd w:val="clear" w:color="auto" w:fill="A5D5E2"/>
      </w:tcPr>
    </w:tblStylePr>
    <w:tblStylePr w:type="band1Horz">
      <w:tblPr/>
      <w:tcPr>
        <w:tcBorders>
          <w:insideH w:val="single" w:sz="6" w:space="0" w:color="auto"/>
          <w:insideV w:val="single" w:sz="6"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cBorders>
        <w:shd w:val="clear" w:color="auto" w:fill="FFFFFF"/>
      </w:tcPr>
    </w:tblStylePr>
    <w:tblStylePr w:type="firstCol">
      <w:rPr>
        <w:b/>
        <w:bCs/>
        <w:color w:val="000000"/>
      </w:rPr>
      <w:tblPr/>
      <w:tcPr>
        <w:tcBorders>
          <w:top w:val="nil"/>
          <w:left w:val="nil"/>
          <w:bottom w:val="nil"/>
          <w:right w:val="nil"/>
          <w:insideH w:val="nil"/>
          <w:insideV w:val="nil"/>
        </w:tcBorders>
        <w:shd w:val="clear" w:color="auto" w:fill="FFFFFF"/>
      </w:tcPr>
    </w:tblStylePr>
    <w:tblStylePr w:type="lastCol">
      <w:rPr>
        <w:b w:val="0"/>
        <w:bCs w:val="0"/>
        <w:color w:val="000000"/>
      </w:rPr>
      <w:tblPr/>
      <w:tcPr>
        <w:tcBorders>
          <w:top w:val="nil"/>
          <w:left w:val="nil"/>
          <w:bottom w:val="nil"/>
          <w:right w:val="nil"/>
          <w:insideH w:val="nil"/>
          <w:insideV w:val="nil"/>
        </w:tcBorders>
        <w:shd w:val="clear" w:color="auto" w:fill="FDE9D9"/>
      </w:tcPr>
    </w:tblStylePr>
    <w:tblStylePr w:type="band1Vert">
      <w:tblPr/>
      <w:tcPr>
        <w:shd w:val="clear" w:color="auto" w:fill="FBCAA2"/>
      </w:tcPr>
    </w:tblStylePr>
    <w:tblStylePr w:type="band1Horz">
      <w:tblPr/>
      <w:tcPr>
        <w:tcBorders>
          <w:insideH w:val="single" w:sz="6" w:space="0" w:color="auto"/>
          <w:insideV w:val="single" w:sz="6"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000000"/>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style>
  <w:style w:type="table" w:styleId="MediumGrid3-Accent1">
    <w:name w:val="Medium Grid 3 Accent 1"/>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F81B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style>
  <w:style w:type="table" w:styleId="MediumGrid3-Accent2">
    <w:name w:val="Medium Grid 3 Accent 2"/>
    <w:basedOn w:val="TableNormal"/>
    <w:uiPriority w:val="69"/>
    <w:qFormat/>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C0504D"/>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9BBB59"/>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8064A2"/>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4BACC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firstCol">
      <w:rPr>
        <w:b/>
        <w:bCs/>
        <w:i w:val="0"/>
        <w:iCs w:val="0"/>
        <w:color w:val="FFFFFF"/>
      </w:rPr>
      <w:tblPr/>
      <w:tcPr>
        <w:tcBorders>
          <w:bottom w:val="single" w:sz="8" w:space="0" w:color="FFFFFF"/>
          <w:right w:val="single" w:sz="24" w:space="0" w:color="FFFFFF"/>
          <w:insideH w:val="nil"/>
          <w:insideV w:val="nil"/>
        </w:tcBorders>
        <w:shd w:val="clear" w:color="auto" w:fill="F79646"/>
      </w:tcPr>
    </w:tblStylePr>
    <w:tblStylePr w:type="lastCol">
      <w:rPr>
        <w:b/>
        <w:bCs/>
        <w:i w:val="0"/>
        <w:iCs w:val="0"/>
        <w:color w:val="FFFFFF"/>
      </w:rPr>
      <w:tblPr/>
      <w:tcPr>
        <w:tcBorders>
          <w:top w:val="nil"/>
          <w:left w:val="nil"/>
          <w:bottom w:val="single" w:sz="24" w:space="0" w:color="FFFFFF"/>
          <w:right w:val="nil"/>
          <w:insideH w:val="nil"/>
          <w:insideV w:val="nil"/>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000000"/>
      </w:tcPr>
    </w:tblStylePr>
    <w:tblStylePr w:type="firstCol">
      <w:tblPr/>
      <w:tcPr>
        <w:tcBorders>
          <w:top w:val="nil"/>
          <w:left w:val="nil"/>
          <w:bottom w:val="nil"/>
          <w:right w:val="single" w:sz="18" w:space="0" w:color="FFFFFF"/>
          <w:insideH w:val="nil"/>
          <w:insideV w:val="nil"/>
        </w:tcBorders>
        <w:shd w:val="clear" w:color="auto" w:fill="000000"/>
      </w:tcPr>
    </w:tblStylePr>
    <w:tblStylePr w:type="lastCol">
      <w:tblPr/>
      <w:tcPr>
        <w:tcBorders>
          <w:top w:val="nil"/>
          <w:left w:val="nil"/>
          <w:bottom w:val="single" w:sz="18" w:space="0" w:color="FFFFFF"/>
          <w:right w:val="nil"/>
          <w:insideH w:val="nil"/>
          <w:insideV w:val="nil"/>
        </w:tcBorders>
        <w:shd w:val="clear" w:color="auto" w:fill="000000"/>
      </w:tcPr>
    </w:tblStylePr>
    <w:tblStylePr w:type="band1Vert">
      <w:tblPr/>
      <w:tcPr>
        <w:tcBorders>
          <w:top w:val="nil"/>
          <w:left w:val="nil"/>
          <w:bottom w:val="nil"/>
          <w:right w:val="nil"/>
          <w:insideH w:val="nil"/>
          <w:insideV w:val="nil"/>
        </w:tcBorders>
        <w:shd w:val="clear" w:color="auto" w:fill="000000"/>
      </w:tcPr>
    </w:tblStylePr>
    <w:tblStylePr w:type="band1Horz">
      <w:tblPr/>
      <w:tcPr>
        <w:tcBorders>
          <w:top w:val="nil"/>
          <w:left w:val="nil"/>
          <w:bottom w:val="nil"/>
          <w:right w:val="nil"/>
          <w:insideH w:val="nil"/>
          <w:insideV w:val="nil"/>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43F60"/>
      </w:tcPr>
    </w:tblStylePr>
    <w:tblStylePr w:type="firstCol">
      <w:tblPr/>
      <w:tcPr>
        <w:tcBorders>
          <w:top w:val="nil"/>
          <w:left w:val="nil"/>
          <w:bottom w:val="nil"/>
          <w:right w:val="single" w:sz="18" w:space="0" w:color="FFFFFF"/>
          <w:insideH w:val="nil"/>
          <w:insideV w:val="nil"/>
        </w:tcBorders>
        <w:shd w:val="clear" w:color="auto" w:fill="365F91"/>
      </w:tcPr>
    </w:tblStylePr>
    <w:tblStylePr w:type="lastCol">
      <w:tblPr/>
      <w:tcPr>
        <w:tcBorders>
          <w:top w:val="nil"/>
          <w:left w:val="nil"/>
          <w:bottom w:val="single" w:sz="18" w:space="0" w:color="FFFFFF"/>
          <w:right w:val="nil"/>
          <w:insideH w:val="nil"/>
          <w:insideV w:val="nil"/>
        </w:tcBorders>
        <w:shd w:val="clear" w:color="auto" w:fill="365F91"/>
      </w:tcPr>
    </w:tblStylePr>
    <w:tblStylePr w:type="band1Vert">
      <w:tblPr/>
      <w:tcPr>
        <w:tcBorders>
          <w:top w:val="nil"/>
          <w:left w:val="nil"/>
          <w:bottom w:val="nil"/>
          <w:right w:val="nil"/>
          <w:insideH w:val="nil"/>
          <w:insideV w:val="nil"/>
        </w:tcBorders>
        <w:shd w:val="clear" w:color="auto" w:fill="365F91"/>
      </w:tcPr>
    </w:tblStylePr>
    <w:tblStylePr w:type="band1Horz">
      <w:tblPr/>
      <w:tcPr>
        <w:tcBorders>
          <w:top w:val="nil"/>
          <w:left w:val="nil"/>
          <w:bottom w:val="nil"/>
          <w:right w:val="nil"/>
          <w:insideH w:val="nil"/>
          <w:insideV w:val="nil"/>
        </w:tcBorders>
        <w:shd w:val="clear" w:color="auto" w:fill="365F91"/>
      </w:tcPr>
    </w:tblStylePr>
  </w:style>
  <w:style w:type="table" w:styleId="DarkList-Accent2">
    <w:name w:val="Dark List Accent 2"/>
    <w:basedOn w:val="TableNormal"/>
    <w:uiPriority w:val="70"/>
    <w:qFormat/>
    <w:rPr>
      <w:color w:val="FFFFFF"/>
    </w:rPr>
    <w:tblPr>
      <w:tblStyleRowBandSize w:val="1"/>
      <w:tblStyleColBandSize w:val="1"/>
    </w:tblPr>
    <w:tcPr>
      <w:shd w:val="clear" w:color="auto" w:fill="C0504D"/>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622423"/>
      </w:tcPr>
    </w:tblStylePr>
    <w:tblStylePr w:type="firstCol">
      <w:tblPr/>
      <w:tcPr>
        <w:tcBorders>
          <w:top w:val="nil"/>
          <w:left w:val="nil"/>
          <w:bottom w:val="nil"/>
          <w:right w:val="single" w:sz="18" w:space="0" w:color="FFFFFF"/>
          <w:insideH w:val="nil"/>
          <w:insideV w:val="nil"/>
        </w:tcBorders>
        <w:shd w:val="clear" w:color="auto" w:fill="943634"/>
      </w:tcPr>
    </w:tblStylePr>
    <w:tblStylePr w:type="lastCol">
      <w:tblPr/>
      <w:tcPr>
        <w:tcBorders>
          <w:top w:val="nil"/>
          <w:left w:val="nil"/>
          <w:bottom w:val="single" w:sz="18" w:space="0" w:color="FFFFFF"/>
          <w:right w:val="nil"/>
          <w:insideH w:val="nil"/>
          <w:insideV w:val="nil"/>
        </w:tcBorders>
        <w:shd w:val="clear" w:color="auto" w:fill="943634"/>
      </w:tcPr>
    </w:tblStylePr>
    <w:tblStylePr w:type="band1Vert">
      <w:tblPr/>
      <w:tcPr>
        <w:tcBorders>
          <w:top w:val="nil"/>
          <w:left w:val="nil"/>
          <w:bottom w:val="nil"/>
          <w:right w:val="nil"/>
          <w:insideH w:val="nil"/>
          <w:insideV w:val="nil"/>
        </w:tcBorders>
        <w:shd w:val="clear" w:color="auto" w:fill="943634"/>
      </w:tcPr>
    </w:tblStylePr>
    <w:tblStylePr w:type="band1Horz">
      <w:tblPr/>
      <w:tcPr>
        <w:tcBorders>
          <w:top w:val="nil"/>
          <w:left w:val="nil"/>
          <w:bottom w:val="nil"/>
          <w:right w:val="nil"/>
          <w:insideH w:val="nil"/>
          <w:insideV w:val="nil"/>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4E6128"/>
      </w:tcPr>
    </w:tblStylePr>
    <w:tblStylePr w:type="firstCol">
      <w:tblPr/>
      <w:tcPr>
        <w:tcBorders>
          <w:top w:val="nil"/>
          <w:left w:val="nil"/>
          <w:bottom w:val="nil"/>
          <w:right w:val="single" w:sz="18" w:space="0" w:color="FFFFFF"/>
          <w:insideH w:val="nil"/>
          <w:insideV w:val="nil"/>
        </w:tcBorders>
        <w:shd w:val="clear" w:color="auto" w:fill="76923C"/>
      </w:tcPr>
    </w:tblStylePr>
    <w:tblStylePr w:type="lastCol">
      <w:tblPr/>
      <w:tcPr>
        <w:tcBorders>
          <w:top w:val="nil"/>
          <w:left w:val="nil"/>
          <w:bottom w:val="single" w:sz="18" w:space="0" w:color="FFFFFF"/>
          <w:right w:val="nil"/>
          <w:insideH w:val="nil"/>
          <w:insideV w:val="nil"/>
        </w:tcBorders>
        <w:shd w:val="clear" w:color="auto" w:fill="76923C"/>
      </w:tcPr>
    </w:tblStylePr>
    <w:tblStylePr w:type="band1Vert">
      <w:tblPr/>
      <w:tcPr>
        <w:tcBorders>
          <w:top w:val="nil"/>
          <w:left w:val="nil"/>
          <w:bottom w:val="nil"/>
          <w:right w:val="nil"/>
          <w:insideH w:val="nil"/>
          <w:insideV w:val="nil"/>
        </w:tcBorders>
        <w:shd w:val="clear" w:color="auto" w:fill="76923C"/>
      </w:tcPr>
    </w:tblStylePr>
    <w:tblStylePr w:type="band1Horz">
      <w:tblPr/>
      <w:tcPr>
        <w:tcBorders>
          <w:top w:val="nil"/>
          <w:left w:val="nil"/>
          <w:bottom w:val="nil"/>
          <w:right w:val="nil"/>
          <w:insideH w:val="nil"/>
          <w:insideV w:val="nil"/>
        </w:tcBorders>
        <w:shd w:val="clear" w:color="auto" w:fill="76923C"/>
      </w:tcPr>
    </w:tblStylePr>
  </w:style>
  <w:style w:type="table" w:styleId="DarkList-Accent4">
    <w:name w:val="Dark List Accent 4"/>
    <w:basedOn w:val="TableNormal"/>
    <w:uiPriority w:val="70"/>
    <w:qFormat/>
    <w:rPr>
      <w:color w:val="FFFFFF"/>
    </w:rPr>
    <w:tblPr>
      <w:tblStyleRowBandSize w:val="1"/>
      <w:tblStyleColBandSize w:val="1"/>
    </w:tblPr>
    <w:tcPr>
      <w:shd w:val="clear" w:color="auto" w:fill="8064A2"/>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3F3151"/>
      </w:tcPr>
    </w:tblStylePr>
    <w:tblStylePr w:type="firstCol">
      <w:tblPr/>
      <w:tcPr>
        <w:tcBorders>
          <w:top w:val="nil"/>
          <w:left w:val="nil"/>
          <w:bottom w:val="nil"/>
          <w:right w:val="single" w:sz="18" w:space="0" w:color="FFFFFF"/>
          <w:insideH w:val="nil"/>
          <w:insideV w:val="nil"/>
        </w:tcBorders>
        <w:shd w:val="clear" w:color="auto" w:fill="5F497A"/>
      </w:tcPr>
    </w:tblStylePr>
    <w:tblStylePr w:type="lastCol">
      <w:tblPr/>
      <w:tcPr>
        <w:tcBorders>
          <w:top w:val="nil"/>
          <w:left w:val="nil"/>
          <w:bottom w:val="single" w:sz="18" w:space="0" w:color="FFFFFF"/>
          <w:right w:val="nil"/>
          <w:insideH w:val="nil"/>
          <w:insideV w:val="nil"/>
        </w:tcBorders>
        <w:shd w:val="clear" w:color="auto" w:fill="5F497A"/>
      </w:tcPr>
    </w:tblStylePr>
    <w:tblStylePr w:type="band1Vert">
      <w:tblPr/>
      <w:tcPr>
        <w:tcBorders>
          <w:top w:val="nil"/>
          <w:left w:val="nil"/>
          <w:bottom w:val="nil"/>
          <w:right w:val="nil"/>
          <w:insideH w:val="nil"/>
          <w:insideV w:val="nil"/>
        </w:tcBorders>
        <w:shd w:val="clear" w:color="auto" w:fill="5F497A"/>
      </w:tcPr>
    </w:tblStylePr>
    <w:tblStylePr w:type="band1Horz">
      <w:tblPr/>
      <w:tcPr>
        <w:tcBorders>
          <w:top w:val="nil"/>
          <w:left w:val="nil"/>
          <w:bottom w:val="nil"/>
          <w:right w:val="nil"/>
          <w:insideH w:val="nil"/>
          <w:insideV w:val="nil"/>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205867"/>
      </w:tcPr>
    </w:tblStylePr>
    <w:tblStylePr w:type="firstCol">
      <w:tblPr/>
      <w:tcPr>
        <w:tcBorders>
          <w:top w:val="nil"/>
          <w:left w:val="nil"/>
          <w:bottom w:val="nil"/>
          <w:right w:val="single" w:sz="18" w:space="0" w:color="FFFFFF"/>
          <w:insideH w:val="nil"/>
          <w:insideV w:val="nil"/>
        </w:tcBorders>
        <w:shd w:val="clear" w:color="auto" w:fill="31849B"/>
      </w:tcPr>
    </w:tblStylePr>
    <w:tblStylePr w:type="lastCol">
      <w:tblPr/>
      <w:tcPr>
        <w:tcBorders>
          <w:top w:val="nil"/>
          <w:left w:val="nil"/>
          <w:bottom w:val="single" w:sz="18" w:space="0" w:color="FFFFFF"/>
          <w:right w:val="nil"/>
          <w:insideH w:val="nil"/>
          <w:insideV w:val="nil"/>
        </w:tcBorders>
        <w:shd w:val="clear" w:color="auto" w:fill="31849B"/>
      </w:tcPr>
    </w:tblStylePr>
    <w:tblStylePr w:type="band1Vert">
      <w:tblPr/>
      <w:tcPr>
        <w:tcBorders>
          <w:top w:val="nil"/>
          <w:left w:val="nil"/>
          <w:bottom w:val="nil"/>
          <w:right w:val="nil"/>
          <w:insideH w:val="nil"/>
          <w:insideV w:val="nil"/>
        </w:tcBorders>
        <w:shd w:val="clear" w:color="auto" w:fill="31849B"/>
      </w:tcPr>
    </w:tblStylePr>
    <w:tblStylePr w:type="band1Horz">
      <w:tblPr/>
      <w:tcPr>
        <w:tcBorders>
          <w:top w:val="nil"/>
          <w:left w:val="nil"/>
          <w:bottom w:val="nil"/>
          <w:right w:val="nil"/>
          <w:insideH w:val="nil"/>
          <w:insideV w:val="nil"/>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single" w:sz="18" w:space="0" w:color="FFFFFF"/>
          <w:bottom w:val="nil"/>
          <w:right w:val="nil"/>
          <w:insideH w:val="nil"/>
          <w:insideV w:val="nil"/>
        </w:tcBorders>
        <w:shd w:val="clear" w:color="auto" w:fill="000000"/>
      </w:tcPr>
    </w:tblStylePr>
    <w:tblStylePr w:type="lastRow">
      <w:tblPr/>
      <w:tcPr>
        <w:tcBorders>
          <w:top w:val="single" w:sz="18" w:space="0" w:color="FFFFFF"/>
          <w:left w:val="nil"/>
          <w:bottom w:val="nil"/>
          <w:right w:val="nil"/>
          <w:insideH w:val="nil"/>
          <w:insideV w:val="nil"/>
        </w:tcBorders>
        <w:shd w:val="clear" w:color="auto" w:fill="974706"/>
      </w:tcPr>
    </w:tblStylePr>
    <w:tblStylePr w:type="firstCol">
      <w:tblPr/>
      <w:tcPr>
        <w:tcBorders>
          <w:top w:val="nil"/>
          <w:left w:val="nil"/>
          <w:bottom w:val="nil"/>
          <w:right w:val="single" w:sz="18" w:space="0" w:color="FFFFFF"/>
          <w:insideH w:val="nil"/>
          <w:insideV w:val="nil"/>
        </w:tcBorders>
        <w:shd w:val="clear" w:color="auto" w:fill="E36C0A"/>
      </w:tcPr>
    </w:tblStylePr>
    <w:tblStylePr w:type="lastCol">
      <w:tblPr/>
      <w:tcPr>
        <w:tcBorders>
          <w:top w:val="nil"/>
          <w:left w:val="nil"/>
          <w:bottom w:val="single" w:sz="18" w:space="0" w:color="FFFFFF"/>
          <w:right w:val="nil"/>
          <w:insideH w:val="nil"/>
          <w:insideV w:val="nil"/>
        </w:tcBorders>
        <w:shd w:val="clear" w:color="auto" w:fill="E36C0A"/>
      </w:tcPr>
    </w:tblStylePr>
    <w:tblStylePr w:type="band1Vert">
      <w:tblPr/>
      <w:tcPr>
        <w:tcBorders>
          <w:top w:val="nil"/>
          <w:left w:val="nil"/>
          <w:bottom w:val="nil"/>
          <w:right w:val="nil"/>
          <w:insideH w:val="nil"/>
          <w:insideV w:val="nil"/>
        </w:tcBorders>
        <w:shd w:val="clear" w:color="auto" w:fill="E36C0A"/>
      </w:tcPr>
    </w:tblStylePr>
    <w:tblStylePr w:type="band1Horz">
      <w:tblPr/>
      <w:tcPr>
        <w:tcBorders>
          <w:top w:val="nil"/>
          <w:left w:val="nil"/>
          <w:bottom w:val="nil"/>
          <w:right w:val="nil"/>
          <w:insideH w:val="nil"/>
          <w:insideV w:val="nil"/>
        </w:tcBorders>
        <w:shd w:val="clear" w:color="auto" w:fill="E36C0A"/>
      </w:tcPr>
    </w:tblStylePr>
  </w:style>
  <w:style w:type="table" w:styleId="Colou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000000"/>
      </w:tcPr>
    </w:tblStylePr>
    <w:tblStylePr w:type="firstCol">
      <w:rPr>
        <w:color w:val="FFFFFF"/>
      </w:rPr>
      <w:tblPr/>
      <w:tcPr>
        <w:tcBorders>
          <w:top w:val="nil"/>
          <w:left w:val="nil"/>
          <w:bottom w:val="nil"/>
          <w:right w:val="nil"/>
          <w:insideH w:val="single" w:sz="4" w:space="0" w:color="auto"/>
          <w:insideV w:val="nil"/>
        </w:tcBorders>
        <w:shd w:val="clear" w:color="auto" w:fill="000000"/>
      </w:tcPr>
    </w:tblStylePr>
    <w:tblStylePr w:type="lastCol">
      <w:rPr>
        <w:color w:val="FFFFFF"/>
      </w:rPr>
      <w:tblPr/>
      <w:tcPr>
        <w:tcBorders>
          <w:top w:val="nil"/>
          <w:left w:val="nil"/>
          <w:bottom w:val="nil"/>
          <w:right w:val="nil"/>
          <w:insideH w:val="nil"/>
          <w:insideV w:val="nil"/>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urfulShadingAccent1">
    <w:name w:val="Colorful Shading Accent 1"/>
    <w:basedOn w:val="TableNormal"/>
    <w:uiPriority w:val="71"/>
    <w:qFormat/>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C4C74"/>
      </w:tcPr>
    </w:tblStylePr>
    <w:tblStylePr w:type="firstCol">
      <w:rPr>
        <w:color w:val="FFFFFF"/>
      </w:rPr>
      <w:tblPr/>
      <w:tcPr>
        <w:tcBorders>
          <w:top w:val="nil"/>
          <w:left w:val="nil"/>
          <w:bottom w:val="nil"/>
          <w:right w:val="nil"/>
          <w:insideH w:val="single" w:sz="4" w:space="0" w:color="auto"/>
          <w:insideV w:val="nil"/>
        </w:tcBorders>
        <w:shd w:val="clear" w:color="auto" w:fill="2C4C74"/>
      </w:tcPr>
    </w:tblStylePr>
    <w:tblStylePr w:type="lastCol">
      <w:rPr>
        <w:color w:val="FFFFFF"/>
      </w:rPr>
      <w:tblPr/>
      <w:tcPr>
        <w:tcBorders>
          <w:top w:val="nil"/>
          <w:left w:val="nil"/>
          <w:bottom w:val="nil"/>
          <w:right w:val="nil"/>
          <w:insideH w:val="nil"/>
          <w:insideV w:val="nil"/>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urfulShadingAccent2">
    <w:name w:val="Colorful Shading Accent 2"/>
    <w:basedOn w:val="TableNormal"/>
    <w:uiPriority w:val="71"/>
    <w:qFormat/>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single" w:sz="24" w:space="0" w:color="C0504D"/>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772C2A"/>
      </w:tcPr>
    </w:tblStylePr>
    <w:tblStylePr w:type="firstCol">
      <w:rPr>
        <w:color w:val="FFFFFF"/>
      </w:rPr>
      <w:tblPr/>
      <w:tcPr>
        <w:tcBorders>
          <w:top w:val="nil"/>
          <w:left w:val="nil"/>
          <w:bottom w:val="nil"/>
          <w:right w:val="nil"/>
          <w:insideH w:val="single" w:sz="4" w:space="0" w:color="auto"/>
          <w:insideV w:val="nil"/>
        </w:tcBorders>
        <w:shd w:val="clear" w:color="auto" w:fill="772C2A"/>
      </w:tcPr>
    </w:tblStylePr>
    <w:tblStylePr w:type="lastCol">
      <w:rPr>
        <w:color w:val="FFFFFF"/>
      </w:rPr>
      <w:tblPr/>
      <w:tcPr>
        <w:tcBorders>
          <w:top w:val="nil"/>
          <w:left w:val="nil"/>
          <w:bottom w:val="nil"/>
          <w:right w:val="nil"/>
          <w:insideH w:val="nil"/>
          <w:insideV w:val="nil"/>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urfulShadingAccent3">
    <w:name w:val="Colorful Shading Accent 3"/>
    <w:basedOn w:val="TableNormal"/>
    <w:uiPriority w:val="71"/>
    <w:qFormat/>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single" w:sz="24" w:space="0" w:color="8064A2"/>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5E7530"/>
      </w:tcPr>
    </w:tblStylePr>
    <w:tblStylePr w:type="firstCol">
      <w:rPr>
        <w:color w:val="FFFFFF"/>
      </w:rPr>
      <w:tblPr/>
      <w:tcPr>
        <w:tcBorders>
          <w:top w:val="nil"/>
          <w:left w:val="nil"/>
          <w:bottom w:val="nil"/>
          <w:right w:val="nil"/>
          <w:insideH w:val="single" w:sz="4" w:space="0" w:color="auto"/>
          <w:insideV w:val="nil"/>
        </w:tcBorders>
        <w:shd w:val="clear" w:color="auto" w:fill="5E7530"/>
      </w:tcPr>
    </w:tblStylePr>
    <w:tblStylePr w:type="lastCol">
      <w:rPr>
        <w:color w:val="FFFFFF"/>
      </w:rPr>
      <w:tblPr/>
      <w:tcPr>
        <w:tcBorders>
          <w:top w:val="nil"/>
          <w:left w:val="nil"/>
          <w:bottom w:val="nil"/>
          <w:right w:val="nil"/>
          <w:insideH w:val="nil"/>
          <w:insideV w:val="nil"/>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u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single" w:sz="24" w:space="0" w:color="9BBB59"/>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4C3B62"/>
      </w:tcPr>
    </w:tblStylePr>
    <w:tblStylePr w:type="firstCol">
      <w:rPr>
        <w:color w:val="FFFFFF"/>
      </w:rPr>
      <w:tblPr/>
      <w:tcPr>
        <w:tcBorders>
          <w:top w:val="nil"/>
          <w:left w:val="nil"/>
          <w:bottom w:val="nil"/>
          <w:right w:val="nil"/>
          <w:insideH w:val="single" w:sz="4" w:space="0" w:color="auto"/>
          <w:insideV w:val="nil"/>
        </w:tcBorders>
        <w:shd w:val="clear" w:color="auto" w:fill="4C3B62"/>
      </w:tcPr>
    </w:tblStylePr>
    <w:tblStylePr w:type="lastCol">
      <w:rPr>
        <w:color w:val="FFFFFF"/>
      </w:rPr>
      <w:tblPr/>
      <w:tcPr>
        <w:tcBorders>
          <w:top w:val="nil"/>
          <w:left w:val="nil"/>
          <w:bottom w:val="nil"/>
          <w:right w:val="nil"/>
          <w:insideH w:val="nil"/>
          <w:insideV w:val="nil"/>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u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single" w:sz="24" w:space="0" w:color="F7964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276A7C"/>
      </w:tcPr>
    </w:tblStylePr>
    <w:tblStylePr w:type="firstCol">
      <w:rPr>
        <w:color w:val="FFFFFF"/>
      </w:rPr>
      <w:tblPr/>
      <w:tcPr>
        <w:tcBorders>
          <w:top w:val="nil"/>
          <w:left w:val="nil"/>
          <w:bottom w:val="nil"/>
          <w:right w:val="nil"/>
          <w:insideH w:val="single" w:sz="4" w:space="0" w:color="auto"/>
          <w:insideV w:val="nil"/>
        </w:tcBorders>
        <w:shd w:val="clear" w:color="auto" w:fill="276A7C"/>
      </w:tcPr>
    </w:tblStylePr>
    <w:tblStylePr w:type="lastCol">
      <w:rPr>
        <w:color w:val="FFFFFF"/>
      </w:rPr>
      <w:tblPr/>
      <w:tcPr>
        <w:tcBorders>
          <w:top w:val="nil"/>
          <w:left w:val="nil"/>
          <w:bottom w:val="nil"/>
          <w:right w:val="nil"/>
          <w:insideH w:val="nil"/>
          <w:insideV w:val="nil"/>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u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single" w:sz="24" w:space="0" w:color="4BACC6"/>
          <w:bottom w:val="nil"/>
          <w:right w:val="nil"/>
          <w:insideH w:val="nil"/>
          <w:insideV w:val="nil"/>
        </w:tcBorders>
        <w:shd w:val="clear" w:color="auto" w:fill="FFFFFF"/>
      </w:tcPr>
    </w:tblStylePr>
    <w:tblStylePr w:type="lastRow">
      <w:rPr>
        <w:b/>
        <w:bCs/>
        <w:color w:val="FFFFFF"/>
      </w:rPr>
      <w:tblPr/>
      <w:tcPr>
        <w:tcBorders>
          <w:top w:val="single" w:sz="6" w:space="0" w:color="FFFFFF"/>
        </w:tcBorders>
        <w:shd w:val="clear" w:color="auto" w:fill="B65608"/>
      </w:tcPr>
    </w:tblStylePr>
    <w:tblStylePr w:type="firstCol">
      <w:rPr>
        <w:color w:val="FFFFFF"/>
      </w:rPr>
      <w:tblPr/>
      <w:tcPr>
        <w:tcBorders>
          <w:top w:val="nil"/>
          <w:left w:val="nil"/>
          <w:bottom w:val="nil"/>
          <w:right w:val="nil"/>
          <w:insideH w:val="single" w:sz="4" w:space="0" w:color="auto"/>
          <w:insideV w:val="nil"/>
        </w:tcBorders>
        <w:shd w:val="clear" w:color="auto" w:fill="B65608"/>
      </w:tcPr>
    </w:tblStylePr>
    <w:tblStylePr w:type="lastCol">
      <w:rPr>
        <w:color w:val="FFFFFF"/>
      </w:rPr>
      <w:tblPr/>
      <w:tcPr>
        <w:tcBorders>
          <w:top w:val="nil"/>
          <w:left w:val="nil"/>
          <w:bottom w:val="nil"/>
          <w:right w:val="nil"/>
          <w:insideH w:val="nil"/>
          <w:insideV w:val="nil"/>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u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cPr>
    </w:tblStylePr>
    <w:tblStylePr w:type="band1Horz">
      <w:tblPr/>
      <w:tcPr>
        <w:shd w:val="clear" w:color="auto" w:fill="CCCCCC"/>
      </w:tcPr>
    </w:tblStylePr>
  </w:style>
  <w:style w:type="table" w:styleId="Colou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cPr>
    </w:tblStylePr>
    <w:tblStylePr w:type="band1Horz">
      <w:tblPr/>
      <w:tcPr>
        <w:shd w:val="clear" w:color="auto" w:fill="DBE5F1"/>
      </w:tcPr>
    </w:tblStylePr>
  </w:style>
  <w:style w:type="table" w:styleId="Colou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left w:val="single" w:sz="12" w:space="0" w:color="FFFFFF"/>
        </w:tcBorders>
        <w:shd w:val="clear" w:color="auto" w:fill="9E3A38"/>
      </w:tcPr>
    </w:tblStylePr>
    <w:tblStylePr w:type="lastRow">
      <w:rPr>
        <w:b/>
        <w:bCs/>
        <w:color w:val="9E3A38"/>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cPr>
    </w:tblStylePr>
    <w:tblStylePr w:type="band1Horz">
      <w:tblPr/>
      <w:tcPr>
        <w:shd w:val="clear" w:color="auto" w:fill="F2DBDB"/>
      </w:tcPr>
    </w:tblStylePr>
  </w:style>
  <w:style w:type="table" w:styleId="ColourfulListAccent3">
    <w:name w:val="Colorful List Accent 3"/>
    <w:basedOn w:val="TableNormal"/>
    <w:uiPriority w:val="72"/>
    <w:qFormat/>
    <w:rPr>
      <w:color w:val="000000"/>
    </w:rPr>
    <w:tblPr>
      <w:tblStyleRowBandSize w:val="1"/>
      <w:tblStyleColBandSize w:val="1"/>
    </w:tblPr>
    <w:tcPr>
      <w:shd w:val="clear" w:color="auto" w:fill="F5F8EE"/>
    </w:tcPr>
    <w:tblStylePr w:type="firstRow">
      <w:rPr>
        <w:b/>
        <w:bCs/>
        <w:color w:val="FFFFFF"/>
      </w:rPr>
      <w:tblPr/>
      <w:tcPr>
        <w:tcBorders>
          <w:left w:val="single" w:sz="12" w:space="0" w:color="FFFFFF"/>
        </w:tcBorders>
        <w:shd w:val="clear" w:color="auto" w:fill="664E82"/>
      </w:tcPr>
    </w:tblStylePr>
    <w:tblStylePr w:type="lastRow">
      <w:rPr>
        <w:b/>
        <w:bCs/>
        <w:color w:val="664E82"/>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cPr>
    </w:tblStylePr>
    <w:tblStylePr w:type="band1Horz">
      <w:tblPr/>
      <w:tcPr>
        <w:shd w:val="clear" w:color="auto" w:fill="EAF1DD"/>
      </w:tcPr>
    </w:tblStylePr>
  </w:style>
  <w:style w:type="table" w:styleId="Colou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left w:val="single" w:sz="12" w:space="0" w:color="FFFFFF"/>
        </w:tcBorders>
        <w:shd w:val="clear" w:color="auto" w:fill="7E9C40"/>
      </w:tcPr>
    </w:tblStylePr>
    <w:tblStylePr w:type="lastRow">
      <w:rPr>
        <w:b/>
        <w:bCs/>
        <w:color w:val="7E9C40"/>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cPr>
    </w:tblStylePr>
    <w:tblStylePr w:type="band1Horz">
      <w:tblPr/>
      <w:tcPr>
        <w:shd w:val="clear" w:color="auto" w:fill="E5DFEC"/>
      </w:tcPr>
    </w:tblStylePr>
  </w:style>
  <w:style w:type="table" w:styleId="Colou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left w:val="single" w:sz="12" w:space="0" w:color="FFFFFF"/>
        </w:tcBorders>
        <w:shd w:val="clear" w:color="auto" w:fill="F2730A"/>
      </w:tcPr>
    </w:tblStylePr>
    <w:tblStylePr w:type="lastRow">
      <w:rPr>
        <w:b/>
        <w:bCs/>
        <w:color w:val="F2730A"/>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cPr>
    </w:tblStylePr>
    <w:tblStylePr w:type="band1Horz">
      <w:tblPr/>
      <w:tcPr>
        <w:shd w:val="clear" w:color="auto" w:fill="DAEEF3"/>
      </w:tcPr>
    </w:tblStylePr>
  </w:style>
  <w:style w:type="table" w:styleId="Colou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left w:val="single" w:sz="12" w:space="0" w:color="FFFFFF"/>
        </w:tcBorders>
        <w:shd w:val="clear" w:color="auto" w:fill="348DA5"/>
      </w:tcPr>
    </w:tblStylePr>
    <w:tblStylePr w:type="lastRow">
      <w:rPr>
        <w:b/>
        <w:bCs/>
        <w:color w:val="348DA5"/>
      </w:rPr>
      <w:tblPr/>
      <w:tcPr>
        <w:tcBorders>
          <w:top w:val="single" w:sz="12" w:space="0" w:color="000000"/>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cPr>
    </w:tblStylePr>
    <w:tblStylePr w:type="band1Horz">
      <w:tblPr/>
      <w:tcPr>
        <w:shd w:val="clear" w:color="auto" w:fill="FDE9D9"/>
      </w:tcPr>
    </w:tblStylePr>
  </w:style>
  <w:style w:type="table" w:styleId="Colou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urfulGridAccent1">
    <w:name w:val="Colorful Grid Accent 1"/>
    <w:basedOn w:val="TableNormal"/>
    <w:uiPriority w:val="73"/>
    <w:qFormat/>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u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u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u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u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urfulGridAccent6">
    <w:name w:val="Colorful Grid Accent 6"/>
    <w:basedOn w:val="TableNormal"/>
    <w:uiPriority w:val="73"/>
    <w:qFormat/>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worldometers.info/coronaviru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3874</Words>
  <Characters>20416</Characters>
  <Application>Microsoft Office Word</Application>
  <DocSecurity>0</DocSecurity>
  <Lines>170</Lines>
  <Paragraphs>48</Paragraphs>
  <ScaleCrop>false</ScaleCrop>
  <Company/>
  <LinksUpToDate>false</LinksUpToDate>
  <CharactersWithSpaces>24242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linco</dc:creator>
  <cp:lastModifiedBy>Richard Kanjoma (1916228)</cp:lastModifiedBy>
  <cp:revision>2</cp:revision>
  <dcterms:created xsi:type="dcterms:W3CDTF">2022-01-08T16:26:00Z</dcterms:created>
  <dcterms:modified xsi:type="dcterms:W3CDTF">2022-01-08T16:26:00Z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2057-11.2.0.10382</vt:lpwstr>
  </property>
  <property fmtid="{D5CDD505-2E9C-101B-9397-08002B2CF9AE}" pid="3" name="ICV">
    <vt:lpwstr>5E1DB1E63EAC4317854831BD194D3929</vt:lpwstr>
  </property>
</Properties>
</file>