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327D2" w14:textId="77777777" w:rsidR="00B85260" w:rsidRPr="00E66711" w:rsidRDefault="00B85260" w:rsidP="00C16D6A">
      <w:pPr>
        <w:spacing w:line="360" w:lineRule="auto"/>
        <w:jc w:val="center"/>
        <w:rPr>
          <w:rFonts w:ascii="Times New Roman" w:hAnsi="Times New Roman" w:cs="Times New Roman"/>
          <w:sz w:val="24"/>
          <w:szCs w:val="24"/>
        </w:rPr>
      </w:pPr>
    </w:p>
    <w:p w14:paraId="5A2B7C74" w14:textId="77777777" w:rsidR="006337D0" w:rsidRPr="00E66711" w:rsidRDefault="006337D0" w:rsidP="00C16D6A">
      <w:pPr>
        <w:spacing w:line="360" w:lineRule="auto"/>
        <w:jc w:val="center"/>
        <w:rPr>
          <w:rFonts w:ascii="Times New Roman" w:hAnsi="Times New Roman" w:cs="Times New Roman"/>
          <w:sz w:val="24"/>
          <w:szCs w:val="24"/>
        </w:rPr>
      </w:pPr>
    </w:p>
    <w:p w14:paraId="51524DD3" w14:textId="77777777" w:rsidR="006337D0" w:rsidRPr="00E66711" w:rsidRDefault="006337D0" w:rsidP="00C16D6A">
      <w:pPr>
        <w:spacing w:line="360" w:lineRule="auto"/>
        <w:jc w:val="center"/>
        <w:rPr>
          <w:rFonts w:ascii="Times New Roman" w:hAnsi="Times New Roman" w:cs="Times New Roman"/>
          <w:sz w:val="24"/>
          <w:szCs w:val="24"/>
        </w:rPr>
      </w:pPr>
    </w:p>
    <w:p w14:paraId="5D806FC4" w14:textId="77777777" w:rsidR="006337D0" w:rsidRPr="00E66711" w:rsidRDefault="006337D0" w:rsidP="00C16D6A">
      <w:pPr>
        <w:spacing w:line="360" w:lineRule="auto"/>
        <w:jc w:val="center"/>
        <w:rPr>
          <w:rFonts w:ascii="Times New Roman" w:hAnsi="Times New Roman" w:cs="Times New Roman"/>
          <w:sz w:val="24"/>
          <w:szCs w:val="24"/>
        </w:rPr>
      </w:pPr>
    </w:p>
    <w:p w14:paraId="234CA36C" w14:textId="77777777" w:rsidR="006337D0" w:rsidRPr="00E66711" w:rsidRDefault="006337D0" w:rsidP="00C16D6A">
      <w:pPr>
        <w:spacing w:line="360" w:lineRule="auto"/>
        <w:jc w:val="center"/>
        <w:rPr>
          <w:rFonts w:ascii="Times New Roman" w:hAnsi="Times New Roman" w:cs="Times New Roman"/>
          <w:sz w:val="24"/>
          <w:szCs w:val="24"/>
        </w:rPr>
      </w:pPr>
    </w:p>
    <w:p w14:paraId="4E262B51" w14:textId="77777777" w:rsidR="006337D0" w:rsidRPr="00E66711" w:rsidRDefault="006337D0" w:rsidP="00C16D6A">
      <w:pPr>
        <w:spacing w:line="360" w:lineRule="auto"/>
        <w:jc w:val="center"/>
        <w:rPr>
          <w:rFonts w:ascii="Times New Roman" w:hAnsi="Times New Roman" w:cs="Times New Roman"/>
          <w:sz w:val="24"/>
          <w:szCs w:val="24"/>
        </w:rPr>
      </w:pPr>
    </w:p>
    <w:p w14:paraId="2958AE66" w14:textId="77777777" w:rsidR="006337D0" w:rsidRPr="00E24C22" w:rsidRDefault="006337D0" w:rsidP="00C16D6A">
      <w:pPr>
        <w:spacing w:line="360" w:lineRule="auto"/>
        <w:jc w:val="center"/>
        <w:rPr>
          <w:rFonts w:ascii="Times New Roman" w:hAnsi="Times New Roman" w:cs="Times New Roman"/>
          <w:sz w:val="40"/>
          <w:szCs w:val="40"/>
        </w:rPr>
      </w:pPr>
    </w:p>
    <w:p w14:paraId="2209CF65" w14:textId="2DBF7026" w:rsidR="006337D0" w:rsidRDefault="00000000" w:rsidP="00E24C22">
      <w:pPr>
        <w:spacing w:line="360" w:lineRule="auto"/>
        <w:jc w:val="center"/>
        <w:rPr>
          <w:rFonts w:ascii="Times New Roman" w:hAnsi="Times New Roman" w:cs="Times New Roman"/>
          <w:b/>
          <w:bCs/>
          <w:sz w:val="40"/>
          <w:szCs w:val="40"/>
        </w:rPr>
      </w:pPr>
      <w:r w:rsidRPr="00E24C22">
        <w:rPr>
          <w:rFonts w:ascii="Times New Roman" w:hAnsi="Times New Roman" w:cs="Times New Roman"/>
          <w:b/>
          <w:bCs/>
          <w:sz w:val="40"/>
          <w:szCs w:val="40"/>
        </w:rPr>
        <w:t>MANAGEMENT ECONOMICS</w:t>
      </w:r>
    </w:p>
    <w:p w14:paraId="243E4024" w14:textId="77777777" w:rsidR="00E24C22" w:rsidRPr="00E24C22" w:rsidRDefault="00E24C22" w:rsidP="00E24C22">
      <w:pPr>
        <w:spacing w:line="360" w:lineRule="auto"/>
        <w:jc w:val="center"/>
        <w:rPr>
          <w:rFonts w:ascii="Times New Roman" w:hAnsi="Times New Roman" w:cs="Times New Roman"/>
          <w:b/>
          <w:bCs/>
          <w:sz w:val="40"/>
          <w:szCs w:val="40"/>
        </w:rPr>
      </w:pPr>
    </w:p>
    <w:p w14:paraId="7B3F2E13" w14:textId="77777777" w:rsidR="00E24C22" w:rsidRDefault="00E24C22" w:rsidP="00E24C22">
      <w:pPr>
        <w:spacing w:line="360" w:lineRule="auto"/>
        <w:jc w:val="center"/>
        <w:rPr>
          <w:b/>
          <w:bCs/>
          <w:sz w:val="28"/>
          <w:szCs w:val="28"/>
        </w:rPr>
      </w:pPr>
      <w:r>
        <w:rPr>
          <w:rFonts w:ascii="Times New Roman" w:hAnsi="Times New Roman" w:cs="Times New Roman"/>
          <w:b/>
          <w:bCs/>
          <w:sz w:val="32"/>
          <w:szCs w:val="32"/>
        </w:rPr>
        <w:tab/>
      </w:r>
      <w:r>
        <w:rPr>
          <w:b/>
          <w:bCs/>
          <w:sz w:val="28"/>
          <w:szCs w:val="28"/>
        </w:rPr>
        <w:t>STUDENT NAME: MARILENA RALUCA BOTANOIU</w:t>
      </w:r>
    </w:p>
    <w:p w14:paraId="316924FD" w14:textId="7FCB1A5D" w:rsidR="00E24C22" w:rsidRDefault="00E24C22" w:rsidP="00E24C22">
      <w:pPr>
        <w:tabs>
          <w:tab w:val="left" w:pos="1065"/>
        </w:tabs>
        <w:spacing w:line="360" w:lineRule="auto"/>
        <w:jc w:val="center"/>
        <w:rPr>
          <w:rFonts w:ascii="Times New Roman" w:hAnsi="Times New Roman" w:cs="Times New Roman"/>
          <w:b/>
          <w:bCs/>
          <w:sz w:val="32"/>
          <w:szCs w:val="32"/>
        </w:rPr>
      </w:pPr>
      <w:r>
        <w:rPr>
          <w:b/>
          <w:bCs/>
          <w:sz w:val="28"/>
          <w:szCs w:val="28"/>
        </w:rPr>
        <w:t>Module code:</w:t>
      </w:r>
      <w:r>
        <w:rPr>
          <w:b/>
          <w:bCs/>
          <w:sz w:val="28"/>
          <w:szCs w:val="28"/>
        </w:rPr>
        <w:t xml:space="preserve"> LCBB5003</w:t>
      </w:r>
    </w:p>
    <w:p w14:paraId="4A382EBE" w14:textId="77777777" w:rsidR="00E24C22" w:rsidRPr="00E66711" w:rsidRDefault="00E24C22" w:rsidP="00E24C22">
      <w:pPr>
        <w:spacing w:line="360" w:lineRule="auto"/>
        <w:jc w:val="center"/>
        <w:rPr>
          <w:rFonts w:ascii="Times New Roman" w:hAnsi="Times New Roman" w:cs="Times New Roman"/>
          <w:b/>
          <w:bCs/>
          <w:sz w:val="32"/>
          <w:szCs w:val="32"/>
        </w:rPr>
      </w:pPr>
    </w:p>
    <w:p w14:paraId="6D661022" w14:textId="77777777" w:rsidR="006337D0" w:rsidRPr="00E66711" w:rsidRDefault="00000000" w:rsidP="00C16D6A">
      <w:pPr>
        <w:spacing w:line="360" w:lineRule="auto"/>
        <w:rPr>
          <w:rFonts w:ascii="Times New Roman" w:hAnsi="Times New Roman" w:cs="Times New Roman"/>
          <w:b/>
          <w:bCs/>
          <w:sz w:val="24"/>
          <w:szCs w:val="24"/>
        </w:rPr>
      </w:pPr>
      <w:r w:rsidRPr="00E66711">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IN"/>
        </w:rPr>
        <w:id w:val="-1490932588"/>
        <w:docPartObj>
          <w:docPartGallery w:val="Table of Contents"/>
          <w:docPartUnique/>
        </w:docPartObj>
      </w:sdtPr>
      <w:sdtEndPr>
        <w:rPr>
          <w:rFonts w:ascii="Times New Roman" w:hAnsi="Times New Roman" w:cs="Times New Roman"/>
          <w:b/>
          <w:bCs/>
          <w:noProof/>
          <w:sz w:val="24"/>
          <w:szCs w:val="24"/>
        </w:rPr>
      </w:sdtEndPr>
      <w:sdtContent>
        <w:p w14:paraId="7F85DC43" w14:textId="77777777" w:rsidR="00E66711" w:rsidRPr="00E66711" w:rsidRDefault="00000000" w:rsidP="00E66711">
          <w:pPr>
            <w:pStyle w:val="TOCHeading"/>
            <w:spacing w:line="360" w:lineRule="auto"/>
            <w:jc w:val="center"/>
            <w:rPr>
              <w:rFonts w:ascii="Times New Roman" w:hAnsi="Times New Roman" w:cs="Times New Roman"/>
              <w:b/>
              <w:bCs/>
              <w:color w:val="000000" w:themeColor="text1"/>
            </w:rPr>
          </w:pPr>
          <w:r w:rsidRPr="00E66711">
            <w:rPr>
              <w:rFonts w:ascii="Times New Roman" w:hAnsi="Times New Roman" w:cs="Times New Roman"/>
              <w:b/>
              <w:bCs/>
              <w:color w:val="000000" w:themeColor="text1"/>
            </w:rPr>
            <w:t>Table of Contents</w:t>
          </w:r>
        </w:p>
        <w:p w14:paraId="4D5FF68B" w14:textId="77777777" w:rsidR="00E66711" w:rsidRPr="00E66711" w:rsidRDefault="00000000" w:rsidP="00E66711">
          <w:pPr>
            <w:pStyle w:val="TOC1"/>
            <w:rPr>
              <w:rFonts w:eastAsiaTheme="minorEastAsia"/>
              <w:b w:val="0"/>
              <w:bCs w:val="0"/>
              <w:lang w:val="en-US"/>
            </w:rPr>
          </w:pPr>
          <w:r w:rsidRPr="00E66711">
            <w:fldChar w:fldCharType="begin"/>
          </w:r>
          <w:r w:rsidRPr="00E66711">
            <w:instrText xml:space="preserve"> TOC \o "1-3" \h \z \u </w:instrText>
          </w:r>
          <w:r w:rsidRPr="00E66711">
            <w:fldChar w:fldCharType="separate"/>
          </w:r>
          <w:hyperlink w:anchor="_Toc110689166" w:history="1">
            <w:r w:rsidRPr="00E66711">
              <w:rPr>
                <w:rStyle w:val="Hyperlink"/>
              </w:rPr>
              <w:t>Introduction</w:t>
            </w:r>
            <w:r w:rsidRPr="00E66711">
              <w:rPr>
                <w:webHidden/>
              </w:rPr>
              <w:tab/>
            </w:r>
            <w:r w:rsidRPr="00E66711">
              <w:rPr>
                <w:webHidden/>
              </w:rPr>
              <w:fldChar w:fldCharType="begin"/>
            </w:r>
            <w:r w:rsidRPr="00E66711">
              <w:rPr>
                <w:webHidden/>
              </w:rPr>
              <w:instrText xml:space="preserve"> PAGEREF _Toc110689166 \h </w:instrText>
            </w:r>
            <w:r w:rsidRPr="00E66711">
              <w:rPr>
                <w:webHidden/>
              </w:rPr>
            </w:r>
            <w:r w:rsidRPr="00E66711">
              <w:rPr>
                <w:webHidden/>
              </w:rPr>
              <w:fldChar w:fldCharType="separate"/>
            </w:r>
            <w:r w:rsidRPr="00E66711">
              <w:rPr>
                <w:webHidden/>
              </w:rPr>
              <w:t>3</w:t>
            </w:r>
            <w:r w:rsidRPr="00E66711">
              <w:rPr>
                <w:webHidden/>
              </w:rPr>
              <w:fldChar w:fldCharType="end"/>
            </w:r>
          </w:hyperlink>
        </w:p>
        <w:p w14:paraId="7582043D" w14:textId="77777777" w:rsidR="00E66711" w:rsidRPr="00E66711" w:rsidRDefault="00000000" w:rsidP="00E66711">
          <w:pPr>
            <w:pStyle w:val="TOC1"/>
            <w:rPr>
              <w:rFonts w:eastAsiaTheme="minorEastAsia"/>
              <w:b w:val="0"/>
              <w:bCs w:val="0"/>
              <w:lang w:val="en-US"/>
            </w:rPr>
          </w:pPr>
          <w:hyperlink w:anchor="_Toc110689167" w:history="1">
            <w:r w:rsidRPr="00E66711">
              <w:rPr>
                <w:rStyle w:val="Hyperlink"/>
              </w:rPr>
              <w:t>Name and details of the chosen product</w:t>
            </w:r>
            <w:r w:rsidRPr="00E66711">
              <w:rPr>
                <w:webHidden/>
              </w:rPr>
              <w:tab/>
            </w:r>
            <w:r w:rsidRPr="00E66711">
              <w:rPr>
                <w:webHidden/>
              </w:rPr>
              <w:fldChar w:fldCharType="begin"/>
            </w:r>
            <w:r w:rsidRPr="00E66711">
              <w:rPr>
                <w:webHidden/>
              </w:rPr>
              <w:instrText xml:space="preserve"> PAGEREF _Toc110689167 \h </w:instrText>
            </w:r>
            <w:r w:rsidRPr="00E66711">
              <w:rPr>
                <w:webHidden/>
              </w:rPr>
            </w:r>
            <w:r w:rsidRPr="00E66711">
              <w:rPr>
                <w:webHidden/>
              </w:rPr>
              <w:fldChar w:fldCharType="separate"/>
            </w:r>
            <w:r w:rsidRPr="00E66711">
              <w:rPr>
                <w:webHidden/>
              </w:rPr>
              <w:t>3</w:t>
            </w:r>
            <w:r w:rsidRPr="00E66711">
              <w:rPr>
                <w:webHidden/>
              </w:rPr>
              <w:fldChar w:fldCharType="end"/>
            </w:r>
          </w:hyperlink>
        </w:p>
        <w:p w14:paraId="17E99EE2" w14:textId="77777777" w:rsidR="00E66711" w:rsidRPr="00E66711" w:rsidRDefault="00000000" w:rsidP="00E66711">
          <w:pPr>
            <w:pStyle w:val="TOC1"/>
            <w:rPr>
              <w:rFonts w:eastAsiaTheme="minorEastAsia"/>
              <w:b w:val="0"/>
              <w:bCs w:val="0"/>
              <w:lang w:val="en-US"/>
            </w:rPr>
          </w:pPr>
          <w:hyperlink w:anchor="_Toc110689168" w:history="1">
            <w:r w:rsidRPr="00E66711">
              <w:rPr>
                <w:rStyle w:val="Hyperlink"/>
              </w:rPr>
              <w:t>Identification of demand-supply equilibrium and factors of demand</w:t>
            </w:r>
            <w:r w:rsidRPr="00E66711">
              <w:rPr>
                <w:webHidden/>
              </w:rPr>
              <w:tab/>
            </w:r>
            <w:r w:rsidRPr="00E66711">
              <w:rPr>
                <w:webHidden/>
              </w:rPr>
              <w:fldChar w:fldCharType="begin"/>
            </w:r>
            <w:r w:rsidRPr="00E66711">
              <w:rPr>
                <w:webHidden/>
              </w:rPr>
              <w:instrText xml:space="preserve"> PAGEREF _Toc110689168 \h </w:instrText>
            </w:r>
            <w:r w:rsidRPr="00E66711">
              <w:rPr>
                <w:webHidden/>
              </w:rPr>
            </w:r>
            <w:r w:rsidRPr="00E66711">
              <w:rPr>
                <w:webHidden/>
              </w:rPr>
              <w:fldChar w:fldCharType="separate"/>
            </w:r>
            <w:r w:rsidRPr="00E66711">
              <w:rPr>
                <w:webHidden/>
              </w:rPr>
              <w:t>4</w:t>
            </w:r>
            <w:r w:rsidRPr="00E66711">
              <w:rPr>
                <w:webHidden/>
              </w:rPr>
              <w:fldChar w:fldCharType="end"/>
            </w:r>
          </w:hyperlink>
        </w:p>
        <w:p w14:paraId="78810E5A" w14:textId="77777777" w:rsidR="00E66711" w:rsidRPr="00E66711" w:rsidRDefault="00000000" w:rsidP="00E66711">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69" w:history="1">
            <w:r w:rsidRPr="00E66711">
              <w:rPr>
                <w:rStyle w:val="Hyperlink"/>
                <w:rFonts w:ascii="Times New Roman" w:hAnsi="Times New Roman" w:cs="Times New Roman"/>
                <w:noProof/>
                <w:sz w:val="24"/>
                <w:szCs w:val="24"/>
              </w:rPr>
              <w:t>Demand-supply equilibrium identification</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_Toc110689169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4</w:t>
            </w:r>
            <w:r w:rsidRPr="00E66711">
              <w:rPr>
                <w:rFonts w:ascii="Times New Roman" w:hAnsi="Times New Roman" w:cs="Times New Roman"/>
                <w:noProof/>
                <w:webHidden/>
                <w:sz w:val="24"/>
                <w:szCs w:val="24"/>
              </w:rPr>
              <w:fldChar w:fldCharType="end"/>
            </w:r>
          </w:hyperlink>
        </w:p>
        <w:p w14:paraId="0A109320" w14:textId="77777777" w:rsidR="00E66711" w:rsidRPr="00E66711" w:rsidRDefault="00000000" w:rsidP="00E66711">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0" w:history="1">
            <w:r w:rsidRPr="00E66711">
              <w:rPr>
                <w:rStyle w:val="Hyperlink"/>
                <w:rFonts w:ascii="Times New Roman" w:hAnsi="Times New Roman" w:cs="Times New Roman"/>
                <w:noProof/>
                <w:sz w:val="24"/>
                <w:szCs w:val="24"/>
              </w:rPr>
              <w:t>Factors affecting the demand for Coca-Cola's soft drinks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_Toc110689170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5</w:t>
            </w:r>
            <w:r w:rsidRPr="00E66711">
              <w:rPr>
                <w:rFonts w:ascii="Times New Roman" w:hAnsi="Times New Roman" w:cs="Times New Roman"/>
                <w:noProof/>
                <w:webHidden/>
                <w:sz w:val="24"/>
                <w:szCs w:val="24"/>
              </w:rPr>
              <w:fldChar w:fldCharType="end"/>
            </w:r>
          </w:hyperlink>
        </w:p>
        <w:p w14:paraId="38E8F2FD"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1" w:history="1">
            <w:r w:rsidRPr="00E66711">
              <w:rPr>
                <w:rStyle w:val="Hyperlink"/>
                <w:rFonts w:ascii="Times New Roman" w:hAnsi="Times New Roman" w:cs="Times New Roman"/>
                <w:noProof/>
                <w:sz w:val="24"/>
                <w:szCs w:val="24"/>
              </w:rPr>
              <w:t>Price of the substitutes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_Toc110689171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5</w:t>
            </w:r>
            <w:r w:rsidRPr="00E66711">
              <w:rPr>
                <w:rFonts w:ascii="Times New Roman" w:hAnsi="Times New Roman" w:cs="Times New Roman"/>
                <w:noProof/>
                <w:webHidden/>
                <w:sz w:val="24"/>
                <w:szCs w:val="24"/>
              </w:rPr>
              <w:fldChar w:fldCharType="end"/>
            </w:r>
          </w:hyperlink>
        </w:p>
        <w:p w14:paraId="5BBEAEDF"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2" w:history="1">
            <w:r w:rsidRPr="00E66711">
              <w:rPr>
                <w:rStyle w:val="Hyperlink"/>
                <w:rFonts w:ascii="Times New Roman" w:hAnsi="Times New Roman" w:cs="Times New Roman"/>
                <w:noProof/>
                <w:sz w:val="24"/>
                <w:szCs w:val="24"/>
              </w:rPr>
              <w:t>Availability of complements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_Toc110689172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6</w:t>
            </w:r>
            <w:r w:rsidRPr="00E66711">
              <w:rPr>
                <w:rFonts w:ascii="Times New Roman" w:hAnsi="Times New Roman" w:cs="Times New Roman"/>
                <w:noProof/>
                <w:webHidden/>
                <w:sz w:val="24"/>
                <w:szCs w:val="24"/>
              </w:rPr>
              <w:fldChar w:fldCharType="end"/>
            </w:r>
          </w:hyperlink>
        </w:p>
        <w:p w14:paraId="3D478E7C"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3" w:history="1">
            <w:r w:rsidRPr="00E66711">
              <w:rPr>
                <w:rStyle w:val="Hyperlink"/>
                <w:rFonts w:ascii="Times New Roman" w:hAnsi="Times New Roman" w:cs="Times New Roman"/>
                <w:noProof/>
                <w:sz w:val="24"/>
                <w:szCs w:val="24"/>
              </w:rPr>
              <w:t>Consumers’ income</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_Toc110689173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7</w:t>
            </w:r>
            <w:r w:rsidRPr="00E66711">
              <w:rPr>
                <w:rFonts w:ascii="Times New Roman" w:hAnsi="Times New Roman" w:cs="Times New Roman"/>
                <w:noProof/>
                <w:webHidden/>
                <w:sz w:val="24"/>
                <w:szCs w:val="24"/>
              </w:rPr>
              <w:fldChar w:fldCharType="end"/>
            </w:r>
          </w:hyperlink>
        </w:p>
        <w:p w14:paraId="7D31ECFB"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4" w:history="1">
            <w:r w:rsidRPr="00E66711">
              <w:rPr>
                <w:rStyle w:val="Hyperlink"/>
                <w:rFonts w:ascii="Times New Roman" w:hAnsi="Times New Roman" w:cs="Times New Roman"/>
                <w:noProof/>
                <w:sz w:val="24"/>
                <w:szCs w:val="24"/>
              </w:rPr>
              <w:t>Consumers’ tastes and preferences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_Toc110689174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9</w:t>
            </w:r>
            <w:r w:rsidRPr="00E66711">
              <w:rPr>
                <w:rFonts w:ascii="Times New Roman" w:hAnsi="Times New Roman" w:cs="Times New Roman"/>
                <w:noProof/>
                <w:webHidden/>
                <w:sz w:val="24"/>
                <w:szCs w:val="24"/>
              </w:rPr>
              <w:fldChar w:fldCharType="end"/>
            </w:r>
          </w:hyperlink>
        </w:p>
        <w:p w14:paraId="7F5D5363"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5" w:history="1">
            <w:r w:rsidRPr="00E66711">
              <w:rPr>
                <w:rStyle w:val="Hyperlink"/>
                <w:rFonts w:ascii="Times New Roman" w:hAnsi="Times New Roman" w:cs="Times New Roman"/>
                <w:noProof/>
                <w:sz w:val="24"/>
                <w:szCs w:val="24"/>
              </w:rPr>
              <w:t>Future price expectation of the consumers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_Toc110689175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10</w:t>
            </w:r>
            <w:r w:rsidRPr="00E66711">
              <w:rPr>
                <w:rFonts w:ascii="Times New Roman" w:hAnsi="Times New Roman" w:cs="Times New Roman"/>
                <w:noProof/>
                <w:webHidden/>
                <w:sz w:val="24"/>
                <w:szCs w:val="24"/>
              </w:rPr>
              <w:fldChar w:fldCharType="end"/>
            </w:r>
          </w:hyperlink>
        </w:p>
        <w:p w14:paraId="3A55070F" w14:textId="77777777" w:rsidR="00E66711" w:rsidRPr="00E66711" w:rsidRDefault="00000000" w:rsidP="00E66711">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6" w:history="1">
            <w:r w:rsidRPr="00E66711">
              <w:rPr>
                <w:rStyle w:val="Hyperlink"/>
                <w:rFonts w:ascii="Times New Roman" w:hAnsi="Times New Roman" w:cs="Times New Roman"/>
                <w:noProof/>
                <w:sz w:val="24"/>
                <w:szCs w:val="24"/>
              </w:rPr>
              <w:t>Number of consumers</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_Toc110689176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10</w:t>
            </w:r>
            <w:r w:rsidRPr="00E66711">
              <w:rPr>
                <w:rFonts w:ascii="Times New Roman" w:hAnsi="Times New Roman" w:cs="Times New Roman"/>
                <w:noProof/>
                <w:webHidden/>
                <w:sz w:val="24"/>
                <w:szCs w:val="24"/>
              </w:rPr>
              <w:fldChar w:fldCharType="end"/>
            </w:r>
          </w:hyperlink>
        </w:p>
        <w:p w14:paraId="6AFC9B4B" w14:textId="77777777" w:rsidR="00E66711" w:rsidRPr="00E66711" w:rsidRDefault="00000000" w:rsidP="00E66711">
          <w:pPr>
            <w:pStyle w:val="TOC1"/>
            <w:rPr>
              <w:rFonts w:eastAsiaTheme="minorEastAsia"/>
              <w:b w:val="0"/>
              <w:bCs w:val="0"/>
              <w:lang w:val="en-US"/>
            </w:rPr>
          </w:pPr>
          <w:hyperlink w:anchor="_Toc110689177" w:history="1">
            <w:r w:rsidRPr="00E66711">
              <w:rPr>
                <w:rStyle w:val="Hyperlink"/>
              </w:rPr>
              <w:t>Impact of substitution and income effects and pricing policy of the chosen business</w:t>
            </w:r>
            <w:r w:rsidRPr="00E66711">
              <w:rPr>
                <w:webHidden/>
              </w:rPr>
              <w:tab/>
            </w:r>
            <w:r w:rsidRPr="00E66711">
              <w:rPr>
                <w:webHidden/>
              </w:rPr>
              <w:fldChar w:fldCharType="begin"/>
            </w:r>
            <w:r w:rsidRPr="00E66711">
              <w:rPr>
                <w:webHidden/>
              </w:rPr>
              <w:instrText xml:space="preserve"> PAGEREF _Toc110689177 \h </w:instrText>
            </w:r>
            <w:r w:rsidRPr="00E66711">
              <w:rPr>
                <w:webHidden/>
              </w:rPr>
            </w:r>
            <w:r w:rsidRPr="00E66711">
              <w:rPr>
                <w:webHidden/>
              </w:rPr>
              <w:fldChar w:fldCharType="separate"/>
            </w:r>
            <w:r w:rsidRPr="00E66711">
              <w:rPr>
                <w:webHidden/>
              </w:rPr>
              <w:t>11</w:t>
            </w:r>
            <w:r w:rsidRPr="00E66711">
              <w:rPr>
                <w:webHidden/>
              </w:rPr>
              <w:fldChar w:fldCharType="end"/>
            </w:r>
          </w:hyperlink>
        </w:p>
        <w:p w14:paraId="77DE8C12" w14:textId="77777777" w:rsidR="00E66711" w:rsidRPr="00E66711" w:rsidRDefault="00000000" w:rsidP="00E66711">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8" w:history="1">
            <w:r w:rsidRPr="00E66711">
              <w:rPr>
                <w:rStyle w:val="Hyperlink"/>
                <w:rFonts w:ascii="Times New Roman" w:hAnsi="Times New Roman" w:cs="Times New Roman"/>
                <w:noProof/>
                <w:sz w:val="24"/>
                <w:szCs w:val="24"/>
              </w:rPr>
              <w:t>Substitution effect on the price elasticity of demand</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_Toc110689178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11</w:t>
            </w:r>
            <w:r w:rsidRPr="00E66711">
              <w:rPr>
                <w:rFonts w:ascii="Times New Roman" w:hAnsi="Times New Roman" w:cs="Times New Roman"/>
                <w:noProof/>
                <w:webHidden/>
                <w:sz w:val="24"/>
                <w:szCs w:val="24"/>
              </w:rPr>
              <w:fldChar w:fldCharType="end"/>
            </w:r>
          </w:hyperlink>
        </w:p>
        <w:p w14:paraId="2FB08A3F" w14:textId="77777777" w:rsidR="00E66711" w:rsidRPr="00E66711" w:rsidRDefault="00000000" w:rsidP="00E66711">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79" w:history="1">
            <w:r w:rsidRPr="00E66711">
              <w:rPr>
                <w:rStyle w:val="Hyperlink"/>
                <w:rFonts w:ascii="Times New Roman" w:hAnsi="Times New Roman" w:cs="Times New Roman"/>
                <w:noProof/>
                <w:sz w:val="24"/>
                <w:szCs w:val="24"/>
              </w:rPr>
              <w:t>Income effect on the price elasticity of demand</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_Toc110689179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12</w:t>
            </w:r>
            <w:r w:rsidRPr="00E66711">
              <w:rPr>
                <w:rFonts w:ascii="Times New Roman" w:hAnsi="Times New Roman" w:cs="Times New Roman"/>
                <w:noProof/>
                <w:webHidden/>
                <w:sz w:val="24"/>
                <w:szCs w:val="24"/>
              </w:rPr>
              <w:fldChar w:fldCharType="end"/>
            </w:r>
          </w:hyperlink>
        </w:p>
        <w:p w14:paraId="22B46888" w14:textId="77777777" w:rsidR="00E66711" w:rsidRPr="00E66711" w:rsidRDefault="00000000" w:rsidP="00E66711">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10689180" w:history="1">
            <w:r w:rsidRPr="00E66711">
              <w:rPr>
                <w:rStyle w:val="Hyperlink"/>
                <w:rFonts w:ascii="Times New Roman" w:hAnsi="Times New Roman" w:cs="Times New Roman"/>
                <w:noProof/>
                <w:sz w:val="24"/>
                <w:szCs w:val="24"/>
              </w:rPr>
              <w:t>The pricing policy of Coca-Cola</w:t>
            </w:r>
            <w:r w:rsidRPr="00E66711">
              <w:rPr>
                <w:rFonts w:ascii="Times New Roman" w:hAnsi="Times New Roman" w:cs="Times New Roman"/>
                <w:noProof/>
                <w:webHidden/>
                <w:sz w:val="24"/>
                <w:szCs w:val="24"/>
              </w:rPr>
              <w:tab/>
            </w:r>
            <w:r w:rsidRPr="00E66711">
              <w:rPr>
                <w:rFonts w:ascii="Times New Roman" w:hAnsi="Times New Roman" w:cs="Times New Roman"/>
                <w:noProof/>
                <w:webHidden/>
                <w:sz w:val="24"/>
                <w:szCs w:val="24"/>
              </w:rPr>
              <w:fldChar w:fldCharType="begin"/>
            </w:r>
            <w:r w:rsidRPr="00E66711">
              <w:rPr>
                <w:rFonts w:ascii="Times New Roman" w:hAnsi="Times New Roman" w:cs="Times New Roman"/>
                <w:noProof/>
                <w:webHidden/>
                <w:sz w:val="24"/>
                <w:szCs w:val="24"/>
              </w:rPr>
              <w:instrText xml:space="preserve"> PAGEREF _Toc110689180 \h </w:instrText>
            </w:r>
            <w:r w:rsidRPr="00E66711">
              <w:rPr>
                <w:rFonts w:ascii="Times New Roman" w:hAnsi="Times New Roman" w:cs="Times New Roman"/>
                <w:noProof/>
                <w:webHidden/>
                <w:sz w:val="24"/>
                <w:szCs w:val="24"/>
              </w:rPr>
            </w:r>
            <w:r w:rsidRPr="00E66711">
              <w:rPr>
                <w:rFonts w:ascii="Times New Roman" w:hAnsi="Times New Roman" w:cs="Times New Roman"/>
                <w:noProof/>
                <w:webHidden/>
                <w:sz w:val="24"/>
                <w:szCs w:val="24"/>
              </w:rPr>
              <w:fldChar w:fldCharType="separate"/>
            </w:r>
            <w:r w:rsidRPr="00E66711">
              <w:rPr>
                <w:rFonts w:ascii="Times New Roman" w:hAnsi="Times New Roman" w:cs="Times New Roman"/>
                <w:noProof/>
                <w:webHidden/>
                <w:sz w:val="24"/>
                <w:szCs w:val="24"/>
              </w:rPr>
              <w:t>13</w:t>
            </w:r>
            <w:r w:rsidRPr="00E66711">
              <w:rPr>
                <w:rFonts w:ascii="Times New Roman" w:hAnsi="Times New Roman" w:cs="Times New Roman"/>
                <w:noProof/>
                <w:webHidden/>
                <w:sz w:val="24"/>
                <w:szCs w:val="24"/>
              </w:rPr>
              <w:fldChar w:fldCharType="end"/>
            </w:r>
          </w:hyperlink>
        </w:p>
        <w:p w14:paraId="7E1AF47B" w14:textId="77777777" w:rsidR="00E66711" w:rsidRPr="00E66711" w:rsidRDefault="00000000" w:rsidP="00E66711">
          <w:pPr>
            <w:pStyle w:val="TOC1"/>
            <w:rPr>
              <w:rFonts w:eastAsiaTheme="minorEastAsia"/>
              <w:b w:val="0"/>
              <w:bCs w:val="0"/>
              <w:lang w:val="en-US"/>
            </w:rPr>
          </w:pPr>
          <w:hyperlink w:anchor="_Toc110689181" w:history="1">
            <w:r w:rsidRPr="00E66711">
              <w:rPr>
                <w:rStyle w:val="Hyperlink"/>
              </w:rPr>
              <w:t>Conclusion</w:t>
            </w:r>
            <w:r w:rsidRPr="00E66711">
              <w:rPr>
                <w:webHidden/>
              </w:rPr>
              <w:tab/>
            </w:r>
            <w:r w:rsidRPr="00E66711">
              <w:rPr>
                <w:webHidden/>
              </w:rPr>
              <w:fldChar w:fldCharType="begin"/>
            </w:r>
            <w:r w:rsidRPr="00E66711">
              <w:rPr>
                <w:webHidden/>
              </w:rPr>
              <w:instrText xml:space="preserve"> PAGEREF _Toc110689181 \h </w:instrText>
            </w:r>
            <w:r w:rsidRPr="00E66711">
              <w:rPr>
                <w:webHidden/>
              </w:rPr>
            </w:r>
            <w:r w:rsidRPr="00E66711">
              <w:rPr>
                <w:webHidden/>
              </w:rPr>
              <w:fldChar w:fldCharType="separate"/>
            </w:r>
            <w:r w:rsidRPr="00E66711">
              <w:rPr>
                <w:webHidden/>
              </w:rPr>
              <w:t>14</w:t>
            </w:r>
            <w:r w:rsidRPr="00E66711">
              <w:rPr>
                <w:webHidden/>
              </w:rPr>
              <w:fldChar w:fldCharType="end"/>
            </w:r>
          </w:hyperlink>
        </w:p>
        <w:p w14:paraId="6B221309" w14:textId="77777777" w:rsidR="00E66711" w:rsidRPr="00E66711" w:rsidRDefault="00000000" w:rsidP="00E66711">
          <w:pPr>
            <w:pStyle w:val="TOC1"/>
            <w:rPr>
              <w:rFonts w:eastAsiaTheme="minorEastAsia"/>
              <w:b w:val="0"/>
              <w:bCs w:val="0"/>
              <w:lang w:val="en-US"/>
            </w:rPr>
          </w:pPr>
          <w:hyperlink w:anchor="_Toc110689182" w:history="1">
            <w:r w:rsidRPr="00E66711">
              <w:rPr>
                <w:rStyle w:val="Hyperlink"/>
              </w:rPr>
              <w:t>Reference list</w:t>
            </w:r>
            <w:r w:rsidRPr="00E66711">
              <w:rPr>
                <w:webHidden/>
              </w:rPr>
              <w:tab/>
            </w:r>
            <w:r w:rsidRPr="00E66711">
              <w:rPr>
                <w:webHidden/>
              </w:rPr>
              <w:fldChar w:fldCharType="begin"/>
            </w:r>
            <w:r w:rsidRPr="00E66711">
              <w:rPr>
                <w:webHidden/>
              </w:rPr>
              <w:instrText xml:space="preserve"> PAGEREF _Toc110689182 \h </w:instrText>
            </w:r>
            <w:r w:rsidRPr="00E66711">
              <w:rPr>
                <w:webHidden/>
              </w:rPr>
            </w:r>
            <w:r w:rsidRPr="00E66711">
              <w:rPr>
                <w:webHidden/>
              </w:rPr>
              <w:fldChar w:fldCharType="separate"/>
            </w:r>
            <w:r w:rsidRPr="00E66711">
              <w:rPr>
                <w:webHidden/>
              </w:rPr>
              <w:t>16</w:t>
            </w:r>
            <w:r w:rsidRPr="00E66711">
              <w:rPr>
                <w:webHidden/>
              </w:rPr>
              <w:fldChar w:fldCharType="end"/>
            </w:r>
          </w:hyperlink>
        </w:p>
        <w:p w14:paraId="15411FF5" w14:textId="77777777" w:rsidR="00E66711" w:rsidRPr="00E66711" w:rsidRDefault="00000000" w:rsidP="00E66711">
          <w:pPr>
            <w:spacing w:line="360" w:lineRule="auto"/>
            <w:jc w:val="both"/>
            <w:rPr>
              <w:rFonts w:ascii="Times New Roman" w:hAnsi="Times New Roman" w:cs="Times New Roman"/>
              <w:sz w:val="24"/>
              <w:szCs w:val="24"/>
            </w:rPr>
          </w:pPr>
          <w:r w:rsidRPr="00E66711">
            <w:rPr>
              <w:rFonts w:ascii="Times New Roman" w:hAnsi="Times New Roman" w:cs="Times New Roman"/>
              <w:b/>
              <w:bCs/>
              <w:noProof/>
              <w:sz w:val="24"/>
              <w:szCs w:val="24"/>
            </w:rPr>
            <w:fldChar w:fldCharType="end"/>
          </w:r>
        </w:p>
      </w:sdtContent>
    </w:sdt>
    <w:p w14:paraId="7E73ABD4" w14:textId="77777777" w:rsidR="006337D0" w:rsidRPr="00E66711" w:rsidRDefault="00000000" w:rsidP="00C16D6A">
      <w:pPr>
        <w:spacing w:line="360" w:lineRule="auto"/>
        <w:rPr>
          <w:rFonts w:ascii="Times New Roman" w:hAnsi="Times New Roman" w:cs="Times New Roman"/>
          <w:b/>
          <w:bCs/>
          <w:sz w:val="24"/>
          <w:szCs w:val="24"/>
        </w:rPr>
      </w:pPr>
      <w:r w:rsidRPr="00E66711">
        <w:rPr>
          <w:rFonts w:ascii="Times New Roman" w:hAnsi="Times New Roman" w:cs="Times New Roman"/>
          <w:b/>
          <w:bCs/>
          <w:sz w:val="24"/>
          <w:szCs w:val="24"/>
        </w:rPr>
        <w:br w:type="page"/>
      </w:r>
    </w:p>
    <w:p w14:paraId="3693DC34" w14:textId="77777777" w:rsidR="006337D0" w:rsidRPr="00E66711" w:rsidRDefault="00000000" w:rsidP="00C16D6A">
      <w:pPr>
        <w:pStyle w:val="Heading1"/>
        <w:spacing w:line="360" w:lineRule="auto"/>
        <w:rPr>
          <w:rFonts w:cs="Times New Roman"/>
          <w:szCs w:val="24"/>
        </w:rPr>
      </w:pPr>
      <w:bookmarkStart w:id="0" w:name="_Toc110686851"/>
      <w:bookmarkStart w:id="1" w:name="_Toc110689166"/>
      <w:r w:rsidRPr="00E66711">
        <w:rPr>
          <w:rFonts w:cs="Times New Roman"/>
          <w:szCs w:val="24"/>
        </w:rPr>
        <w:lastRenderedPageBreak/>
        <w:t>Introduction</w:t>
      </w:r>
      <w:bookmarkEnd w:id="0"/>
      <w:bookmarkEnd w:id="1"/>
    </w:p>
    <w:p w14:paraId="617377DA" w14:textId="77777777" w:rsidR="00A45A32"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The motive of this assessment is to </w:t>
      </w:r>
      <w:r w:rsidR="003D23CC" w:rsidRPr="00E66711">
        <w:rPr>
          <w:rFonts w:ascii="Times New Roman" w:hAnsi="Times New Roman" w:cs="Times New Roman"/>
          <w:sz w:val="24"/>
          <w:szCs w:val="24"/>
        </w:rPr>
        <w:t xml:space="preserve">study the details of Coca-Cola's soft drinks and the demand-supply equilibrium of Coca-Cola in the Soft drinks market, the factors that affected the demand for soft drinks the Coca-Cola, and the impact of substitution and income effect on the price elasticities. </w:t>
      </w:r>
    </w:p>
    <w:p w14:paraId="25C9D28B" w14:textId="77777777" w:rsidR="009440E9"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Demand for a product refers to a certain quantity of that product that the consumer is willing to purchase in exchange for a certain price that he is willing to pay. Several factors can affect the demand for a good and the price elasticity of demand. The interaction point of demand and supply curves gives the market equilibrium point. Income and substitution effects too can impact the price elasticity of a product.  </w:t>
      </w:r>
    </w:p>
    <w:p w14:paraId="4A9EEAFF" w14:textId="77777777" w:rsidR="00A45A32"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Now all these aspects will be analyzed in this assessment for a certain company's product. </w:t>
      </w:r>
      <w:r w:rsidR="00ED3EDC" w:rsidRPr="00E66711">
        <w:rPr>
          <w:rFonts w:ascii="Times New Roman" w:hAnsi="Times New Roman" w:cs="Times New Roman"/>
          <w:sz w:val="24"/>
          <w:szCs w:val="24"/>
        </w:rPr>
        <w:t xml:space="preserve">   </w:t>
      </w:r>
    </w:p>
    <w:p w14:paraId="4DAA23EF" w14:textId="77777777" w:rsidR="006337D0" w:rsidRPr="00E66711" w:rsidRDefault="00000000" w:rsidP="00C16D6A">
      <w:pPr>
        <w:pStyle w:val="Heading1"/>
        <w:spacing w:line="360" w:lineRule="auto"/>
        <w:rPr>
          <w:rFonts w:cs="Times New Roman"/>
          <w:szCs w:val="24"/>
        </w:rPr>
      </w:pPr>
      <w:bookmarkStart w:id="2" w:name="_Toc110686852"/>
      <w:bookmarkStart w:id="3" w:name="_Toc110689167"/>
      <w:r w:rsidRPr="00E66711">
        <w:rPr>
          <w:rFonts w:cs="Times New Roman"/>
          <w:szCs w:val="24"/>
        </w:rPr>
        <w:t>Name and details of the chosen product</w:t>
      </w:r>
      <w:bookmarkEnd w:id="2"/>
      <w:bookmarkEnd w:id="3"/>
      <w:r w:rsidRPr="00E66711">
        <w:rPr>
          <w:rFonts w:cs="Times New Roman"/>
          <w:szCs w:val="24"/>
        </w:rPr>
        <w:t xml:space="preserve"> </w:t>
      </w:r>
    </w:p>
    <w:p w14:paraId="133165DD" w14:textId="77777777" w:rsidR="00CE0B86"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The chosen product for this assessment is the soft drink Coca-Cola. </w:t>
      </w:r>
      <w:r w:rsidR="00AC1164" w:rsidRPr="00E66711">
        <w:rPr>
          <w:rFonts w:ascii="Times New Roman" w:hAnsi="Times New Roman" w:cs="Times New Roman"/>
          <w:sz w:val="24"/>
          <w:szCs w:val="24"/>
        </w:rPr>
        <w:t>This is a</w:t>
      </w:r>
      <w:r w:rsidR="00CA0C65" w:rsidRPr="00E66711">
        <w:rPr>
          <w:rFonts w:ascii="Times New Roman" w:hAnsi="Times New Roman" w:cs="Times New Roman"/>
          <w:sz w:val="24"/>
          <w:szCs w:val="24"/>
        </w:rPr>
        <w:t xml:space="preserve"> US-based beverage </w:t>
      </w:r>
      <w:r w:rsidR="00AE37E9" w:rsidRPr="00E66711">
        <w:rPr>
          <w:rFonts w:ascii="Times New Roman" w:hAnsi="Times New Roman" w:cs="Times New Roman"/>
          <w:sz w:val="24"/>
          <w:szCs w:val="24"/>
        </w:rPr>
        <w:t xml:space="preserve">company that operates on a global basis. This Multinational company is famous for producing quality non-alcoholic soft drinks that can be consumed by teenagers, youth, and 50+ persons as well. The headquarter of the company is located </w:t>
      </w:r>
      <w:r w:rsidR="007742B5" w:rsidRPr="00E66711">
        <w:rPr>
          <w:rFonts w:ascii="Times New Roman" w:hAnsi="Times New Roman" w:cs="Times New Roman"/>
          <w:sz w:val="24"/>
          <w:szCs w:val="24"/>
        </w:rPr>
        <w:t xml:space="preserve">in Atlanta of Georgia, USA. In 2020, the company was said to have earned a net income of around 6430 pounds which was a bit less than in 2019 because of several issues and the number of employees too was reduced by around 6000 </w:t>
      </w:r>
      <w:r w:rsidR="00BD6B9F" w:rsidRPr="00E66711">
        <w:rPr>
          <w:rFonts w:ascii="Times New Roman" w:hAnsi="Times New Roman" w:cs="Times New Roman"/>
          <w:sz w:val="24"/>
          <w:szCs w:val="24"/>
        </w:rPr>
        <w:t>to become</w:t>
      </w:r>
      <w:r w:rsidR="00323FEA" w:rsidRPr="00E66711">
        <w:rPr>
          <w:rFonts w:ascii="Times New Roman" w:hAnsi="Times New Roman" w:cs="Times New Roman"/>
          <w:sz w:val="24"/>
          <w:szCs w:val="24"/>
        </w:rPr>
        <w:t xml:space="preserve"> 79000 approximately (</w:t>
      </w:r>
      <w:r w:rsidR="003A1774" w:rsidRPr="00E66711">
        <w:rPr>
          <w:rFonts w:ascii="Times New Roman" w:hAnsi="Times New Roman" w:cs="Times New Roman"/>
          <w:color w:val="000000" w:themeColor="text1"/>
          <w:sz w:val="24"/>
          <w:szCs w:val="24"/>
        </w:rPr>
        <w:t>Statista, 2022</w:t>
      </w:r>
      <w:r w:rsidR="00323FEA" w:rsidRPr="00E66711">
        <w:rPr>
          <w:rFonts w:ascii="Times New Roman" w:hAnsi="Times New Roman" w:cs="Times New Roman"/>
          <w:sz w:val="24"/>
          <w:szCs w:val="24"/>
        </w:rPr>
        <w:t>)</w:t>
      </w:r>
      <w:r w:rsidR="00BD6B9F" w:rsidRPr="00E66711">
        <w:rPr>
          <w:rFonts w:ascii="Times New Roman" w:hAnsi="Times New Roman" w:cs="Times New Roman"/>
          <w:sz w:val="24"/>
          <w:szCs w:val="24"/>
        </w:rPr>
        <w:t>.</w:t>
      </w:r>
      <w:r w:rsidR="00323FEA" w:rsidRPr="00E66711">
        <w:rPr>
          <w:rFonts w:ascii="Times New Roman" w:hAnsi="Times New Roman" w:cs="Times New Roman"/>
          <w:sz w:val="24"/>
          <w:szCs w:val="24"/>
        </w:rPr>
        <w:t xml:space="preserve"> </w:t>
      </w:r>
      <w:r w:rsidR="00BD6B9F" w:rsidRPr="00E66711">
        <w:rPr>
          <w:rFonts w:ascii="Times New Roman" w:hAnsi="Times New Roman" w:cs="Times New Roman"/>
          <w:sz w:val="24"/>
          <w:szCs w:val="24"/>
        </w:rPr>
        <w:t xml:space="preserve"> The company is also said to have around 300 brands of products in 200 different countries. Some of these brands include Fanta, Sprite, tab, etc. soft drinks, healthy beverages such as Powerade, Nestea, Fruitopia, etc. The tab is</w:t>
      </w:r>
      <w:r w:rsidRPr="00E66711">
        <w:rPr>
          <w:rFonts w:ascii="Times New Roman" w:hAnsi="Times New Roman" w:cs="Times New Roman"/>
          <w:sz w:val="24"/>
          <w:szCs w:val="24"/>
        </w:rPr>
        <w:t xml:space="preserve"> a soft drink made of saccharin rather than sugar. In 2021, the company is said to have released vegan-friendly hard drinks by using Topo Chico, a sparkling mineral water brand from Mexico, in the UK and US. </w:t>
      </w:r>
    </w:p>
    <w:p w14:paraId="691D812F" w14:textId="77777777" w:rsidR="009440E9"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In the UK, the company has introduced various sugar and non-sugar soft drinks</w:t>
      </w:r>
      <w:r w:rsidR="00585AFB" w:rsidRPr="00E66711">
        <w:rPr>
          <w:rFonts w:ascii="Times New Roman" w:hAnsi="Times New Roman" w:cs="Times New Roman"/>
          <w:sz w:val="24"/>
          <w:szCs w:val="24"/>
        </w:rPr>
        <w:t>. Coca-Cola's soft drink of its own named one used to be a sugar drink in earlier days but now there is a non-sugar item as well. diet coke, Glaceau SmartWater, and GLACEAU Vitaminwater are some of the healthy beverages of the company. Fanta, Litt,</w:t>
      </w:r>
      <w:r w:rsidR="00323FEA" w:rsidRPr="00E66711">
        <w:rPr>
          <w:rFonts w:ascii="Times New Roman" w:hAnsi="Times New Roman" w:cs="Times New Roman"/>
          <w:sz w:val="24"/>
          <w:szCs w:val="24"/>
        </w:rPr>
        <w:t xml:space="preserve"> Appletiser, etc. are some of the fruit beverages. Fuze tea and Costa Coffee are two of the tea and coffee liquors of the Coca-Cola company that can be seen in the UK markets (</w:t>
      </w:r>
      <w:r w:rsidR="003A1774" w:rsidRPr="00E66711">
        <w:rPr>
          <w:rFonts w:ascii="Times New Roman" w:hAnsi="Times New Roman" w:cs="Times New Roman"/>
          <w:color w:val="000000" w:themeColor="text1"/>
          <w:sz w:val="24"/>
          <w:szCs w:val="24"/>
        </w:rPr>
        <w:t>Coca-Cola, 2022</w:t>
      </w:r>
      <w:r w:rsidR="00323FEA" w:rsidRPr="00E66711">
        <w:rPr>
          <w:rFonts w:ascii="Times New Roman" w:hAnsi="Times New Roman" w:cs="Times New Roman"/>
          <w:sz w:val="24"/>
          <w:szCs w:val="24"/>
        </w:rPr>
        <w:t xml:space="preserve">). </w:t>
      </w:r>
      <w:r w:rsidR="00971273" w:rsidRPr="00E66711">
        <w:rPr>
          <w:rFonts w:ascii="Times New Roman" w:hAnsi="Times New Roman" w:cs="Times New Roman"/>
          <w:sz w:val="24"/>
          <w:szCs w:val="24"/>
        </w:rPr>
        <w:t xml:space="preserve">Some of these items like Fanta, Sprite, DietCoke, etc. are of different flavors that can be availed by the consumers of the UK. </w:t>
      </w:r>
      <w:r w:rsidR="0035151A" w:rsidRPr="00E66711">
        <w:rPr>
          <w:rFonts w:ascii="Times New Roman" w:hAnsi="Times New Roman" w:cs="Times New Roman"/>
          <w:sz w:val="24"/>
          <w:szCs w:val="24"/>
        </w:rPr>
        <w:t xml:space="preserve">Coca-Cola is a multinational brand and has come across several demand-related </w:t>
      </w:r>
      <w:r w:rsidR="0035151A" w:rsidRPr="00E66711">
        <w:rPr>
          <w:rFonts w:ascii="Times New Roman" w:hAnsi="Times New Roman" w:cs="Times New Roman"/>
          <w:sz w:val="24"/>
          <w:szCs w:val="24"/>
        </w:rPr>
        <w:lastRenderedPageBreak/>
        <w:t xml:space="preserve">aspects in the UK and other countries. The reason behind choosing this brand is the multidimensional operations of this company.  </w:t>
      </w:r>
      <w:r w:rsidR="00323FEA" w:rsidRPr="00E66711">
        <w:rPr>
          <w:rFonts w:ascii="Times New Roman" w:hAnsi="Times New Roman" w:cs="Times New Roman"/>
          <w:sz w:val="24"/>
          <w:szCs w:val="24"/>
        </w:rPr>
        <w:t xml:space="preserve">    </w:t>
      </w:r>
      <w:r w:rsidR="00585AFB" w:rsidRPr="00E66711">
        <w:rPr>
          <w:rFonts w:ascii="Times New Roman" w:hAnsi="Times New Roman" w:cs="Times New Roman"/>
          <w:sz w:val="24"/>
          <w:szCs w:val="24"/>
        </w:rPr>
        <w:t xml:space="preserve">    </w:t>
      </w:r>
    </w:p>
    <w:p w14:paraId="2BF1E73B" w14:textId="77777777" w:rsidR="006337D0" w:rsidRPr="00E66711" w:rsidRDefault="00000000" w:rsidP="00C16D6A">
      <w:pPr>
        <w:pStyle w:val="Heading1"/>
        <w:spacing w:line="360" w:lineRule="auto"/>
        <w:rPr>
          <w:rFonts w:cs="Times New Roman"/>
          <w:szCs w:val="24"/>
        </w:rPr>
      </w:pPr>
      <w:bookmarkStart w:id="4" w:name="_Toc110686853"/>
      <w:bookmarkStart w:id="5" w:name="_Toc110689168"/>
      <w:r w:rsidRPr="00E66711">
        <w:rPr>
          <w:rFonts w:cs="Times New Roman"/>
          <w:szCs w:val="24"/>
        </w:rPr>
        <w:t>Identification of demand-supply equilibrium and factors of demand</w:t>
      </w:r>
      <w:bookmarkEnd w:id="4"/>
      <w:bookmarkEnd w:id="5"/>
    </w:p>
    <w:p w14:paraId="7A407F46" w14:textId="77777777" w:rsidR="002401BE" w:rsidRPr="00E66711" w:rsidRDefault="00000000" w:rsidP="00C16D6A">
      <w:pPr>
        <w:pStyle w:val="Heading2"/>
        <w:spacing w:line="360" w:lineRule="auto"/>
        <w:rPr>
          <w:rFonts w:cs="Times New Roman"/>
          <w:szCs w:val="24"/>
        </w:rPr>
      </w:pPr>
      <w:bookmarkStart w:id="6" w:name="_Toc110686854"/>
      <w:bookmarkStart w:id="7" w:name="_Toc110689169"/>
      <w:r w:rsidRPr="00E66711">
        <w:rPr>
          <w:rFonts w:cs="Times New Roman"/>
          <w:szCs w:val="24"/>
        </w:rPr>
        <w:t>Demand-supply equilibrium identification</w:t>
      </w:r>
      <w:bookmarkEnd w:id="6"/>
      <w:bookmarkEnd w:id="7"/>
    </w:p>
    <w:p w14:paraId="175F8D27" w14:textId="77777777" w:rsidR="00696425"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 demand curve of a product shows the quantity demanded by a consumer at a given price. While the supply curve shows how much quantity a supplier wants to sell at that particular price. The interaction of these demand and supply curves represents the equilibrium state from which neither the consumer nor the supplier wants to move</w:t>
      </w:r>
      <w:r w:rsidR="00232ACA" w:rsidRPr="00E66711">
        <w:rPr>
          <w:rFonts w:ascii="Times New Roman" w:hAnsi="Times New Roman" w:cs="Times New Roman"/>
          <w:sz w:val="24"/>
          <w:szCs w:val="24"/>
        </w:rPr>
        <w:t xml:space="preserve"> (</w:t>
      </w:r>
      <w:r w:rsidR="00232ACA" w:rsidRPr="00E66711">
        <w:rPr>
          <w:rFonts w:ascii="Times New Roman" w:hAnsi="Times New Roman" w:cs="Times New Roman"/>
          <w:color w:val="222222"/>
          <w:sz w:val="24"/>
          <w:szCs w:val="24"/>
          <w:shd w:val="clear" w:color="auto" w:fill="FFFFFF"/>
        </w:rPr>
        <w:t xml:space="preserve">Henry </w:t>
      </w:r>
      <w:r w:rsidR="00232ACA" w:rsidRPr="00E66711">
        <w:rPr>
          <w:rFonts w:ascii="Times New Roman" w:hAnsi="Times New Roman" w:cs="Times New Roman"/>
          <w:i/>
          <w:iCs/>
          <w:color w:val="222222"/>
          <w:sz w:val="24"/>
          <w:szCs w:val="24"/>
          <w:shd w:val="clear" w:color="auto" w:fill="FFFFFF"/>
        </w:rPr>
        <w:t>et al</w:t>
      </w:r>
      <w:r w:rsidR="00232ACA" w:rsidRPr="00E66711">
        <w:rPr>
          <w:rFonts w:ascii="Times New Roman" w:hAnsi="Times New Roman" w:cs="Times New Roman"/>
          <w:color w:val="222222"/>
          <w:sz w:val="24"/>
          <w:szCs w:val="24"/>
          <w:shd w:val="clear" w:color="auto" w:fill="FFFFFF"/>
        </w:rPr>
        <w:t>, 2022)</w:t>
      </w:r>
      <w:r w:rsidRPr="00E66711">
        <w:rPr>
          <w:rFonts w:ascii="Times New Roman" w:hAnsi="Times New Roman" w:cs="Times New Roman"/>
          <w:sz w:val="24"/>
          <w:szCs w:val="24"/>
        </w:rPr>
        <w:t>. The equilibrium gives an equilibrium price that both parties agree to pay and receive and the exchange of a particular quantity of the product takes place between the two which is said to be the equilibrium quantity.</w:t>
      </w:r>
    </w:p>
    <w:p w14:paraId="47B6DA39" w14:textId="77777777" w:rsidR="00696425"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In this assessment, as the respective data regarding the quantity demanded and quantity supplied at respective prices have not </w:t>
      </w:r>
      <w:r w:rsidR="00D82A5F" w:rsidRPr="00E66711">
        <w:rPr>
          <w:rFonts w:ascii="Times New Roman" w:hAnsi="Times New Roman" w:cs="Times New Roman"/>
          <w:sz w:val="24"/>
          <w:szCs w:val="24"/>
        </w:rPr>
        <w:t>been</w:t>
      </w:r>
      <w:r w:rsidRPr="00E66711">
        <w:rPr>
          <w:rFonts w:ascii="Times New Roman" w:hAnsi="Times New Roman" w:cs="Times New Roman"/>
          <w:sz w:val="24"/>
          <w:szCs w:val="24"/>
        </w:rPr>
        <w:t xml:space="preserve"> collected because of a lack of resources, the reporter has taken random values to implement this thesis.</w:t>
      </w:r>
    </w:p>
    <w:tbl>
      <w:tblPr>
        <w:tblW w:w="746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1"/>
        <w:gridCol w:w="2968"/>
        <w:gridCol w:w="1153"/>
      </w:tblGrid>
      <w:tr w:rsidR="00D65DB8" w14:paraId="12D4E3F0" w14:textId="77777777" w:rsidTr="00D82A5F">
        <w:trPr>
          <w:trHeight w:val="303"/>
          <w:jc w:val="center"/>
        </w:trPr>
        <w:tc>
          <w:tcPr>
            <w:tcW w:w="7462" w:type="dxa"/>
            <w:gridSpan w:val="3"/>
            <w:shd w:val="clear" w:color="auto" w:fill="auto"/>
            <w:noWrap/>
            <w:vAlign w:val="bottom"/>
            <w:hideMark/>
          </w:tcPr>
          <w:p w14:paraId="4CDE9A5E" w14:textId="77777777" w:rsidR="00D82A5F" w:rsidRPr="00E66711" w:rsidRDefault="00000000" w:rsidP="00C16D6A">
            <w:pPr>
              <w:spacing w:after="0" w:line="360" w:lineRule="auto"/>
              <w:jc w:val="center"/>
              <w:rPr>
                <w:rFonts w:ascii="Times New Roman" w:eastAsia="Times New Roman" w:hAnsi="Times New Roman" w:cs="Times New Roman"/>
                <w:b/>
                <w:bCs/>
                <w:color w:val="000000"/>
                <w:sz w:val="24"/>
                <w:szCs w:val="24"/>
                <w:lang w:eastAsia="en-IN"/>
              </w:rPr>
            </w:pPr>
            <w:r w:rsidRPr="00E66711">
              <w:rPr>
                <w:rFonts w:ascii="Times New Roman" w:eastAsia="Times New Roman" w:hAnsi="Times New Roman" w:cs="Times New Roman"/>
                <w:b/>
                <w:bCs/>
                <w:color w:val="000000"/>
                <w:sz w:val="24"/>
                <w:szCs w:val="24"/>
                <w:lang w:eastAsia="en-IN"/>
              </w:rPr>
              <w:t>Market equilibrium of Coca-Cola</w:t>
            </w:r>
          </w:p>
        </w:tc>
      </w:tr>
      <w:tr w:rsidR="00D65DB8" w14:paraId="498378D8" w14:textId="77777777" w:rsidTr="00D82A5F">
        <w:trPr>
          <w:trHeight w:val="303"/>
          <w:jc w:val="center"/>
        </w:trPr>
        <w:tc>
          <w:tcPr>
            <w:tcW w:w="3341" w:type="dxa"/>
            <w:shd w:val="clear" w:color="auto" w:fill="auto"/>
            <w:noWrap/>
            <w:vAlign w:val="bottom"/>
            <w:hideMark/>
          </w:tcPr>
          <w:p w14:paraId="0C393539"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Quantity demanded</w:t>
            </w:r>
          </w:p>
        </w:tc>
        <w:tc>
          <w:tcPr>
            <w:tcW w:w="2968" w:type="dxa"/>
            <w:shd w:val="clear" w:color="auto" w:fill="auto"/>
            <w:noWrap/>
            <w:vAlign w:val="bottom"/>
            <w:hideMark/>
          </w:tcPr>
          <w:p w14:paraId="09BB86AE"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Quantity supplied</w:t>
            </w:r>
          </w:p>
        </w:tc>
        <w:tc>
          <w:tcPr>
            <w:tcW w:w="1152" w:type="dxa"/>
            <w:shd w:val="clear" w:color="auto" w:fill="auto"/>
            <w:noWrap/>
            <w:vAlign w:val="bottom"/>
            <w:hideMark/>
          </w:tcPr>
          <w:p w14:paraId="7A2A72CF"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Price</w:t>
            </w:r>
          </w:p>
        </w:tc>
      </w:tr>
      <w:tr w:rsidR="00D65DB8" w14:paraId="154B0390" w14:textId="77777777" w:rsidTr="00D82A5F">
        <w:trPr>
          <w:trHeight w:val="303"/>
          <w:jc w:val="center"/>
        </w:trPr>
        <w:tc>
          <w:tcPr>
            <w:tcW w:w="3341" w:type="dxa"/>
            <w:shd w:val="clear" w:color="auto" w:fill="auto"/>
            <w:noWrap/>
            <w:vAlign w:val="bottom"/>
            <w:hideMark/>
          </w:tcPr>
          <w:p w14:paraId="53BFC3DE"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1750</w:t>
            </w:r>
          </w:p>
        </w:tc>
        <w:tc>
          <w:tcPr>
            <w:tcW w:w="2968" w:type="dxa"/>
            <w:shd w:val="clear" w:color="auto" w:fill="auto"/>
            <w:noWrap/>
            <w:vAlign w:val="bottom"/>
            <w:hideMark/>
          </w:tcPr>
          <w:p w14:paraId="7ECA0DD6"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500</w:t>
            </w:r>
          </w:p>
        </w:tc>
        <w:tc>
          <w:tcPr>
            <w:tcW w:w="1152" w:type="dxa"/>
            <w:shd w:val="clear" w:color="auto" w:fill="auto"/>
            <w:noWrap/>
            <w:vAlign w:val="bottom"/>
            <w:hideMark/>
          </w:tcPr>
          <w:p w14:paraId="2881C40E"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0.5</w:t>
            </w:r>
          </w:p>
        </w:tc>
      </w:tr>
      <w:tr w:rsidR="00D65DB8" w14:paraId="12EE3AE5" w14:textId="77777777" w:rsidTr="00D82A5F">
        <w:trPr>
          <w:trHeight w:val="303"/>
          <w:jc w:val="center"/>
        </w:trPr>
        <w:tc>
          <w:tcPr>
            <w:tcW w:w="3341" w:type="dxa"/>
            <w:shd w:val="clear" w:color="auto" w:fill="auto"/>
            <w:noWrap/>
            <w:vAlign w:val="bottom"/>
            <w:hideMark/>
          </w:tcPr>
          <w:p w14:paraId="79D460CF"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1500</w:t>
            </w:r>
          </w:p>
        </w:tc>
        <w:tc>
          <w:tcPr>
            <w:tcW w:w="2968" w:type="dxa"/>
            <w:shd w:val="clear" w:color="auto" w:fill="auto"/>
            <w:noWrap/>
            <w:vAlign w:val="bottom"/>
            <w:hideMark/>
          </w:tcPr>
          <w:p w14:paraId="6392D990"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750</w:t>
            </w:r>
          </w:p>
        </w:tc>
        <w:tc>
          <w:tcPr>
            <w:tcW w:w="1152" w:type="dxa"/>
            <w:shd w:val="clear" w:color="auto" w:fill="auto"/>
            <w:noWrap/>
            <w:vAlign w:val="bottom"/>
            <w:hideMark/>
          </w:tcPr>
          <w:p w14:paraId="13B1469A"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w:t>
            </w:r>
          </w:p>
        </w:tc>
      </w:tr>
      <w:tr w:rsidR="00D65DB8" w14:paraId="53A9C9E1" w14:textId="77777777" w:rsidTr="00D82A5F">
        <w:trPr>
          <w:trHeight w:val="303"/>
          <w:jc w:val="center"/>
        </w:trPr>
        <w:tc>
          <w:tcPr>
            <w:tcW w:w="3341" w:type="dxa"/>
            <w:shd w:val="clear" w:color="auto" w:fill="auto"/>
            <w:noWrap/>
            <w:vAlign w:val="bottom"/>
            <w:hideMark/>
          </w:tcPr>
          <w:p w14:paraId="58561877"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1000</w:t>
            </w:r>
          </w:p>
        </w:tc>
        <w:tc>
          <w:tcPr>
            <w:tcW w:w="2968" w:type="dxa"/>
            <w:shd w:val="clear" w:color="auto" w:fill="auto"/>
            <w:noWrap/>
            <w:vAlign w:val="bottom"/>
            <w:hideMark/>
          </w:tcPr>
          <w:p w14:paraId="79F56CB0"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1000</w:t>
            </w:r>
          </w:p>
        </w:tc>
        <w:tc>
          <w:tcPr>
            <w:tcW w:w="1152" w:type="dxa"/>
            <w:shd w:val="clear" w:color="auto" w:fill="auto"/>
            <w:noWrap/>
            <w:vAlign w:val="bottom"/>
            <w:hideMark/>
          </w:tcPr>
          <w:p w14:paraId="57578583"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1.5</w:t>
            </w:r>
          </w:p>
        </w:tc>
      </w:tr>
      <w:tr w:rsidR="00D65DB8" w14:paraId="7297DBF4" w14:textId="77777777" w:rsidTr="00D82A5F">
        <w:trPr>
          <w:trHeight w:val="303"/>
          <w:jc w:val="center"/>
        </w:trPr>
        <w:tc>
          <w:tcPr>
            <w:tcW w:w="3341" w:type="dxa"/>
            <w:shd w:val="clear" w:color="auto" w:fill="auto"/>
            <w:noWrap/>
            <w:vAlign w:val="bottom"/>
            <w:hideMark/>
          </w:tcPr>
          <w:p w14:paraId="33B2AE08"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900</w:t>
            </w:r>
          </w:p>
        </w:tc>
        <w:tc>
          <w:tcPr>
            <w:tcW w:w="2968" w:type="dxa"/>
            <w:shd w:val="clear" w:color="auto" w:fill="auto"/>
            <w:noWrap/>
            <w:vAlign w:val="bottom"/>
            <w:hideMark/>
          </w:tcPr>
          <w:p w14:paraId="68CB34F5"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1250</w:t>
            </w:r>
          </w:p>
        </w:tc>
        <w:tc>
          <w:tcPr>
            <w:tcW w:w="1152" w:type="dxa"/>
            <w:shd w:val="clear" w:color="auto" w:fill="auto"/>
            <w:noWrap/>
            <w:vAlign w:val="bottom"/>
            <w:hideMark/>
          </w:tcPr>
          <w:p w14:paraId="56BB82DA"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1.75</w:t>
            </w:r>
          </w:p>
        </w:tc>
      </w:tr>
      <w:tr w:rsidR="00D65DB8" w14:paraId="7838A07A" w14:textId="77777777" w:rsidTr="00D82A5F">
        <w:trPr>
          <w:trHeight w:val="303"/>
          <w:jc w:val="center"/>
        </w:trPr>
        <w:tc>
          <w:tcPr>
            <w:tcW w:w="3341" w:type="dxa"/>
            <w:shd w:val="clear" w:color="auto" w:fill="auto"/>
            <w:noWrap/>
            <w:vAlign w:val="bottom"/>
            <w:hideMark/>
          </w:tcPr>
          <w:p w14:paraId="46DE1C06"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700</w:t>
            </w:r>
          </w:p>
        </w:tc>
        <w:tc>
          <w:tcPr>
            <w:tcW w:w="2968" w:type="dxa"/>
            <w:shd w:val="clear" w:color="auto" w:fill="auto"/>
            <w:noWrap/>
            <w:vAlign w:val="bottom"/>
            <w:hideMark/>
          </w:tcPr>
          <w:p w14:paraId="51E5D9BC"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1500</w:t>
            </w:r>
          </w:p>
        </w:tc>
        <w:tc>
          <w:tcPr>
            <w:tcW w:w="1152" w:type="dxa"/>
            <w:shd w:val="clear" w:color="auto" w:fill="auto"/>
            <w:noWrap/>
            <w:vAlign w:val="bottom"/>
            <w:hideMark/>
          </w:tcPr>
          <w:p w14:paraId="79DEED0A"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w:t>
            </w:r>
          </w:p>
        </w:tc>
      </w:tr>
      <w:tr w:rsidR="00D65DB8" w14:paraId="376FB924" w14:textId="77777777" w:rsidTr="00D82A5F">
        <w:trPr>
          <w:trHeight w:val="303"/>
          <w:jc w:val="center"/>
        </w:trPr>
        <w:tc>
          <w:tcPr>
            <w:tcW w:w="3341" w:type="dxa"/>
            <w:shd w:val="clear" w:color="auto" w:fill="auto"/>
            <w:noWrap/>
            <w:vAlign w:val="bottom"/>
            <w:hideMark/>
          </w:tcPr>
          <w:p w14:paraId="2F714E4D"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500</w:t>
            </w:r>
          </w:p>
        </w:tc>
        <w:tc>
          <w:tcPr>
            <w:tcW w:w="2968" w:type="dxa"/>
            <w:shd w:val="clear" w:color="auto" w:fill="auto"/>
            <w:noWrap/>
            <w:vAlign w:val="bottom"/>
            <w:hideMark/>
          </w:tcPr>
          <w:p w14:paraId="28D59BB1"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1750</w:t>
            </w:r>
          </w:p>
        </w:tc>
        <w:tc>
          <w:tcPr>
            <w:tcW w:w="1152" w:type="dxa"/>
            <w:shd w:val="clear" w:color="auto" w:fill="auto"/>
            <w:noWrap/>
            <w:vAlign w:val="bottom"/>
            <w:hideMark/>
          </w:tcPr>
          <w:p w14:paraId="25C2A63A" w14:textId="77777777" w:rsidR="00D82A5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2.5</w:t>
            </w:r>
          </w:p>
        </w:tc>
      </w:tr>
    </w:tbl>
    <w:p w14:paraId="541E6B26" w14:textId="77777777" w:rsidR="00D82A5F"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1: Demand-supply equilibrium dataset</w:t>
      </w:r>
    </w:p>
    <w:p w14:paraId="2E017F2D" w14:textId="77777777" w:rsidR="002819F6"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0A78AA2E" w14:textId="77777777" w:rsidR="00385C07"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This dataset gives the demand-supply equilibrium diagram below-</w:t>
      </w:r>
    </w:p>
    <w:p w14:paraId="52256F77" w14:textId="77777777" w:rsidR="00385C07"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lastRenderedPageBreak/>
        <w:drawing>
          <wp:inline distT="0" distB="0" distL="0" distR="0" wp14:anchorId="7BA3472D" wp14:editId="41EE8474">
            <wp:extent cx="5417820" cy="2743200"/>
            <wp:effectExtent l="0" t="0" r="11430" b="0"/>
            <wp:docPr id="1" name="Chart 1">
              <a:extLst xmlns:a="http://schemas.openxmlformats.org/drawingml/2006/main">
                <a:ext uri="{FF2B5EF4-FFF2-40B4-BE49-F238E27FC236}">
                  <a16:creationId xmlns:a16="http://schemas.microsoft.com/office/drawing/2014/main" id="{9B0BAFBF-28A1-063D-AE11-0942A790C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1321063" w14:textId="77777777" w:rsidR="00696425"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1: Demand-Supply equilibrium of Coca-Cola</w:t>
      </w:r>
    </w:p>
    <w:p w14:paraId="78AB4582" w14:textId="77777777" w:rsidR="00385C07"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5D96781F" w14:textId="77777777" w:rsidR="00072A69"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From this diagram, one can state that the equilibrium quantity of Coca-Cola is 1000, and the equilibrium price is 1.5 GBP. The red-colored upward sloping line is the supply curve and the demand curve is blue-colored and negatively sloped as usual. </w:t>
      </w:r>
    </w:p>
    <w:p w14:paraId="708B3837" w14:textId="77777777" w:rsidR="00072A69" w:rsidRPr="00E66711" w:rsidRDefault="00000000" w:rsidP="00C16D6A">
      <w:pPr>
        <w:pStyle w:val="Heading2"/>
        <w:spacing w:line="360" w:lineRule="auto"/>
        <w:rPr>
          <w:rFonts w:cs="Times New Roman"/>
          <w:szCs w:val="24"/>
        </w:rPr>
      </w:pPr>
      <w:bookmarkStart w:id="8" w:name="_Toc110686855"/>
      <w:bookmarkStart w:id="9" w:name="_Toc110689170"/>
      <w:r w:rsidRPr="00E66711">
        <w:rPr>
          <w:rFonts w:cs="Times New Roman"/>
          <w:szCs w:val="24"/>
        </w:rPr>
        <w:t>Factors affecting the demand for Coca-Cola's soft drinks</w:t>
      </w:r>
      <w:bookmarkEnd w:id="8"/>
      <w:bookmarkEnd w:id="9"/>
    </w:p>
    <w:p w14:paraId="27F898F5" w14:textId="77777777" w:rsidR="0035151A" w:rsidRPr="00E66711" w:rsidRDefault="00000000" w:rsidP="00C16D6A">
      <w:pPr>
        <w:pStyle w:val="Heading3"/>
        <w:spacing w:line="360" w:lineRule="auto"/>
        <w:rPr>
          <w:rFonts w:cs="Times New Roman"/>
        </w:rPr>
      </w:pPr>
      <w:bookmarkStart w:id="10" w:name="_Toc110686856"/>
      <w:bookmarkStart w:id="11" w:name="_Toc110689171"/>
      <w:r w:rsidRPr="00E66711">
        <w:rPr>
          <w:rFonts w:cs="Times New Roman"/>
        </w:rPr>
        <w:t>Price of the substitutes</w:t>
      </w:r>
      <w:bookmarkEnd w:id="10"/>
      <w:bookmarkEnd w:id="11"/>
    </w:p>
    <w:p w14:paraId="0710B5F7" w14:textId="77777777" w:rsidR="0035151A"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There are several substitutes in the UK market for Coca-Cola’s soft drink</w:t>
      </w:r>
      <w:r w:rsidR="00035494" w:rsidRPr="00E66711">
        <w:rPr>
          <w:rFonts w:ascii="Times New Roman" w:hAnsi="Times New Roman" w:cs="Times New Roman"/>
          <w:sz w:val="24"/>
          <w:szCs w:val="24"/>
        </w:rPr>
        <w:t xml:space="preserve">s such as Pepsi Co., Nestle, Red Bull, etc. So, if Coca-Cola's price of soft drinks increases, the households of the UK will shift to Pepsi which is said to be the biggest competitor of Coca-Cola in terms of beverages. So, naturally, the demand for Coca-Cola's soft drinks will drop. </w:t>
      </w:r>
    </w:p>
    <w:tbl>
      <w:tblPr>
        <w:tblW w:w="71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5"/>
        <w:gridCol w:w="4636"/>
        <w:gridCol w:w="478"/>
      </w:tblGrid>
      <w:tr w:rsidR="00D65DB8" w14:paraId="4A217A05" w14:textId="77777777" w:rsidTr="00CF1290">
        <w:trPr>
          <w:trHeight w:val="320"/>
          <w:jc w:val="center"/>
        </w:trPr>
        <w:tc>
          <w:tcPr>
            <w:tcW w:w="7119" w:type="dxa"/>
            <w:gridSpan w:val="3"/>
            <w:shd w:val="clear" w:color="auto" w:fill="auto"/>
            <w:noWrap/>
            <w:vAlign w:val="bottom"/>
            <w:hideMark/>
          </w:tcPr>
          <w:p w14:paraId="272178BC"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Annual revenue of Coca-Cola</w:t>
            </w:r>
          </w:p>
        </w:tc>
      </w:tr>
      <w:tr w:rsidR="00D65DB8" w14:paraId="4F7109E1" w14:textId="77777777" w:rsidTr="00CF1290">
        <w:trPr>
          <w:trHeight w:val="320"/>
          <w:jc w:val="center"/>
        </w:trPr>
        <w:tc>
          <w:tcPr>
            <w:tcW w:w="2005" w:type="dxa"/>
            <w:shd w:val="clear" w:color="auto" w:fill="auto"/>
            <w:noWrap/>
            <w:vAlign w:val="bottom"/>
            <w:hideMark/>
          </w:tcPr>
          <w:p w14:paraId="0152F4BA"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Year</w:t>
            </w:r>
          </w:p>
        </w:tc>
        <w:tc>
          <w:tcPr>
            <w:tcW w:w="4636" w:type="dxa"/>
            <w:shd w:val="clear" w:color="auto" w:fill="auto"/>
            <w:noWrap/>
            <w:vAlign w:val="bottom"/>
            <w:hideMark/>
          </w:tcPr>
          <w:p w14:paraId="66832E0D"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Revenue in million (£)</w:t>
            </w:r>
          </w:p>
        </w:tc>
        <w:tc>
          <w:tcPr>
            <w:tcW w:w="477" w:type="dxa"/>
            <w:shd w:val="clear" w:color="auto" w:fill="auto"/>
            <w:noWrap/>
            <w:vAlign w:val="bottom"/>
            <w:hideMark/>
          </w:tcPr>
          <w:p w14:paraId="518AA88D" w14:textId="77777777" w:rsidR="00CF1290" w:rsidRPr="00E66711" w:rsidRDefault="00CF1290" w:rsidP="00C16D6A">
            <w:pPr>
              <w:spacing w:after="0" w:line="360" w:lineRule="auto"/>
              <w:rPr>
                <w:rFonts w:ascii="Times New Roman" w:eastAsia="Times New Roman" w:hAnsi="Times New Roman" w:cs="Times New Roman"/>
                <w:color w:val="000000"/>
                <w:sz w:val="24"/>
                <w:szCs w:val="24"/>
                <w:lang w:eastAsia="en-IN"/>
              </w:rPr>
            </w:pPr>
          </w:p>
        </w:tc>
      </w:tr>
      <w:tr w:rsidR="00D65DB8" w14:paraId="38FFCD6A" w14:textId="77777777" w:rsidTr="00CF1290">
        <w:trPr>
          <w:trHeight w:val="320"/>
          <w:jc w:val="center"/>
        </w:trPr>
        <w:tc>
          <w:tcPr>
            <w:tcW w:w="2005" w:type="dxa"/>
            <w:shd w:val="clear" w:color="auto" w:fill="auto"/>
            <w:noWrap/>
            <w:vAlign w:val="bottom"/>
            <w:hideMark/>
          </w:tcPr>
          <w:p w14:paraId="3E94E2B7"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2021</w:t>
            </w:r>
          </w:p>
        </w:tc>
        <w:tc>
          <w:tcPr>
            <w:tcW w:w="4636" w:type="dxa"/>
            <w:shd w:val="clear" w:color="auto" w:fill="auto"/>
            <w:noWrap/>
            <w:vAlign w:val="bottom"/>
            <w:hideMark/>
          </w:tcPr>
          <w:p w14:paraId="70CA687C"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32,005.18</w:t>
            </w:r>
          </w:p>
        </w:tc>
        <w:tc>
          <w:tcPr>
            <w:tcW w:w="477" w:type="dxa"/>
            <w:shd w:val="clear" w:color="auto" w:fill="auto"/>
            <w:noWrap/>
            <w:vAlign w:val="bottom"/>
            <w:hideMark/>
          </w:tcPr>
          <w:p w14:paraId="20174D5E" w14:textId="77777777" w:rsidR="00CF1290" w:rsidRPr="00E66711" w:rsidRDefault="00CF1290" w:rsidP="00C16D6A">
            <w:pPr>
              <w:spacing w:after="0" w:line="360" w:lineRule="auto"/>
              <w:jc w:val="right"/>
              <w:rPr>
                <w:rFonts w:ascii="Times New Roman" w:eastAsia="Times New Roman" w:hAnsi="Times New Roman" w:cs="Times New Roman"/>
                <w:color w:val="000000"/>
                <w:sz w:val="24"/>
                <w:szCs w:val="24"/>
                <w:lang w:eastAsia="en-IN"/>
              </w:rPr>
            </w:pPr>
          </w:p>
        </w:tc>
      </w:tr>
      <w:tr w:rsidR="00D65DB8" w14:paraId="6EE9B875" w14:textId="77777777" w:rsidTr="00CF1290">
        <w:trPr>
          <w:trHeight w:val="320"/>
          <w:jc w:val="center"/>
        </w:trPr>
        <w:tc>
          <w:tcPr>
            <w:tcW w:w="2005" w:type="dxa"/>
            <w:shd w:val="clear" w:color="auto" w:fill="auto"/>
            <w:noWrap/>
            <w:vAlign w:val="bottom"/>
            <w:hideMark/>
          </w:tcPr>
          <w:p w14:paraId="4878332C"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2020</w:t>
            </w:r>
          </w:p>
        </w:tc>
        <w:tc>
          <w:tcPr>
            <w:tcW w:w="4636" w:type="dxa"/>
            <w:shd w:val="clear" w:color="auto" w:fill="auto"/>
            <w:noWrap/>
            <w:vAlign w:val="bottom"/>
            <w:hideMark/>
          </w:tcPr>
          <w:p w14:paraId="46500CC1"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27,332.29</w:t>
            </w:r>
          </w:p>
        </w:tc>
        <w:tc>
          <w:tcPr>
            <w:tcW w:w="477" w:type="dxa"/>
            <w:shd w:val="clear" w:color="auto" w:fill="auto"/>
            <w:noWrap/>
            <w:vAlign w:val="bottom"/>
            <w:hideMark/>
          </w:tcPr>
          <w:p w14:paraId="080625ED" w14:textId="77777777" w:rsidR="00CF1290" w:rsidRPr="00E66711" w:rsidRDefault="00CF1290" w:rsidP="00C16D6A">
            <w:pPr>
              <w:spacing w:after="0" w:line="360" w:lineRule="auto"/>
              <w:jc w:val="right"/>
              <w:rPr>
                <w:rFonts w:ascii="Times New Roman" w:eastAsia="Times New Roman" w:hAnsi="Times New Roman" w:cs="Times New Roman"/>
                <w:color w:val="000000"/>
                <w:sz w:val="24"/>
                <w:szCs w:val="24"/>
                <w:lang w:eastAsia="en-IN"/>
              </w:rPr>
            </w:pPr>
          </w:p>
        </w:tc>
      </w:tr>
      <w:tr w:rsidR="00D65DB8" w14:paraId="2D8941B8" w14:textId="77777777" w:rsidTr="00CF1290">
        <w:trPr>
          <w:trHeight w:val="320"/>
          <w:jc w:val="center"/>
        </w:trPr>
        <w:tc>
          <w:tcPr>
            <w:tcW w:w="2005" w:type="dxa"/>
            <w:shd w:val="clear" w:color="auto" w:fill="auto"/>
            <w:noWrap/>
            <w:vAlign w:val="bottom"/>
            <w:hideMark/>
          </w:tcPr>
          <w:p w14:paraId="175645A9"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2019</w:t>
            </w:r>
          </w:p>
        </w:tc>
        <w:tc>
          <w:tcPr>
            <w:tcW w:w="4636" w:type="dxa"/>
            <w:shd w:val="clear" w:color="auto" w:fill="auto"/>
            <w:noWrap/>
            <w:vAlign w:val="bottom"/>
            <w:hideMark/>
          </w:tcPr>
          <w:p w14:paraId="63BB2043"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30,852.52</w:t>
            </w:r>
          </w:p>
        </w:tc>
        <w:tc>
          <w:tcPr>
            <w:tcW w:w="477" w:type="dxa"/>
            <w:shd w:val="clear" w:color="auto" w:fill="auto"/>
            <w:noWrap/>
            <w:vAlign w:val="bottom"/>
            <w:hideMark/>
          </w:tcPr>
          <w:p w14:paraId="1CD18934" w14:textId="77777777" w:rsidR="00CF1290" w:rsidRPr="00E66711" w:rsidRDefault="00CF1290" w:rsidP="00C16D6A">
            <w:pPr>
              <w:spacing w:after="0" w:line="360" w:lineRule="auto"/>
              <w:jc w:val="right"/>
              <w:rPr>
                <w:rFonts w:ascii="Times New Roman" w:eastAsia="Times New Roman" w:hAnsi="Times New Roman" w:cs="Times New Roman"/>
                <w:color w:val="000000"/>
                <w:sz w:val="24"/>
                <w:szCs w:val="24"/>
                <w:lang w:eastAsia="en-IN"/>
              </w:rPr>
            </w:pPr>
          </w:p>
        </w:tc>
      </w:tr>
      <w:tr w:rsidR="00D65DB8" w14:paraId="606C9E52" w14:textId="77777777" w:rsidTr="00CF1290">
        <w:trPr>
          <w:trHeight w:val="320"/>
          <w:jc w:val="center"/>
        </w:trPr>
        <w:tc>
          <w:tcPr>
            <w:tcW w:w="2005" w:type="dxa"/>
            <w:shd w:val="clear" w:color="auto" w:fill="auto"/>
            <w:noWrap/>
            <w:vAlign w:val="bottom"/>
            <w:hideMark/>
          </w:tcPr>
          <w:p w14:paraId="05AB01AB"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2018</w:t>
            </w:r>
          </w:p>
        </w:tc>
        <w:tc>
          <w:tcPr>
            <w:tcW w:w="4636" w:type="dxa"/>
            <w:shd w:val="clear" w:color="auto" w:fill="auto"/>
            <w:noWrap/>
            <w:vAlign w:val="bottom"/>
            <w:hideMark/>
          </w:tcPr>
          <w:p w14:paraId="0C6BBE16"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28,396.97</w:t>
            </w:r>
          </w:p>
        </w:tc>
        <w:tc>
          <w:tcPr>
            <w:tcW w:w="477" w:type="dxa"/>
            <w:shd w:val="clear" w:color="auto" w:fill="auto"/>
            <w:noWrap/>
            <w:vAlign w:val="bottom"/>
            <w:hideMark/>
          </w:tcPr>
          <w:p w14:paraId="1C6817FA" w14:textId="77777777" w:rsidR="00CF1290" w:rsidRPr="00E66711" w:rsidRDefault="00CF1290" w:rsidP="00C16D6A">
            <w:pPr>
              <w:spacing w:after="0" w:line="360" w:lineRule="auto"/>
              <w:jc w:val="right"/>
              <w:rPr>
                <w:rFonts w:ascii="Times New Roman" w:eastAsia="Times New Roman" w:hAnsi="Times New Roman" w:cs="Times New Roman"/>
                <w:color w:val="000000"/>
                <w:sz w:val="24"/>
                <w:szCs w:val="24"/>
                <w:lang w:eastAsia="en-IN"/>
              </w:rPr>
            </w:pPr>
          </w:p>
        </w:tc>
      </w:tr>
      <w:tr w:rsidR="00D65DB8" w14:paraId="17E7B324" w14:textId="77777777" w:rsidTr="00CF1290">
        <w:trPr>
          <w:trHeight w:val="320"/>
          <w:jc w:val="center"/>
        </w:trPr>
        <w:tc>
          <w:tcPr>
            <w:tcW w:w="2005" w:type="dxa"/>
            <w:shd w:val="clear" w:color="auto" w:fill="auto"/>
            <w:noWrap/>
            <w:vAlign w:val="bottom"/>
            <w:hideMark/>
          </w:tcPr>
          <w:p w14:paraId="42029B16"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2017</w:t>
            </w:r>
          </w:p>
        </w:tc>
        <w:tc>
          <w:tcPr>
            <w:tcW w:w="4636" w:type="dxa"/>
            <w:shd w:val="clear" w:color="auto" w:fill="auto"/>
            <w:noWrap/>
            <w:vAlign w:val="bottom"/>
            <w:hideMark/>
          </w:tcPr>
          <w:p w14:paraId="79047906" w14:textId="77777777" w:rsidR="00CF1290"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29,979.91</w:t>
            </w:r>
          </w:p>
        </w:tc>
        <w:tc>
          <w:tcPr>
            <w:tcW w:w="477" w:type="dxa"/>
            <w:shd w:val="clear" w:color="auto" w:fill="auto"/>
            <w:noWrap/>
            <w:vAlign w:val="bottom"/>
            <w:hideMark/>
          </w:tcPr>
          <w:p w14:paraId="3BA3D9CF" w14:textId="77777777" w:rsidR="00CF1290" w:rsidRPr="00E66711" w:rsidRDefault="00CF1290" w:rsidP="00C16D6A">
            <w:pPr>
              <w:spacing w:after="0" w:line="360" w:lineRule="auto"/>
              <w:jc w:val="right"/>
              <w:rPr>
                <w:rFonts w:ascii="Times New Roman" w:eastAsia="Times New Roman" w:hAnsi="Times New Roman" w:cs="Times New Roman"/>
                <w:color w:val="000000"/>
                <w:sz w:val="24"/>
                <w:szCs w:val="24"/>
                <w:lang w:eastAsia="en-IN"/>
              </w:rPr>
            </w:pPr>
          </w:p>
        </w:tc>
      </w:tr>
    </w:tbl>
    <w:p w14:paraId="2ED036DC" w14:textId="77777777" w:rsidR="0035151A"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 xml:space="preserve">Table 2: Annual Sales of Coca-Cola in the last 5 years </w:t>
      </w:r>
    </w:p>
    <w:p w14:paraId="04D5540B" w14:textId="77777777" w:rsidR="00CF1290"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w:t>
      </w:r>
      <w:r w:rsidR="003A1774" w:rsidRPr="00E66711">
        <w:rPr>
          <w:rFonts w:ascii="Times New Roman" w:hAnsi="Times New Roman" w:cs="Times New Roman"/>
          <w:sz w:val="24"/>
          <w:szCs w:val="24"/>
        </w:rPr>
        <w:t xml:space="preserve">: </w:t>
      </w:r>
      <w:r w:rsidR="003A1774" w:rsidRPr="00E66711">
        <w:rPr>
          <w:rFonts w:ascii="Times New Roman" w:hAnsi="Times New Roman" w:cs="Times New Roman"/>
          <w:color w:val="000000" w:themeColor="text1"/>
          <w:sz w:val="24"/>
          <w:szCs w:val="24"/>
        </w:rPr>
        <w:t>Macrotrends, 2022</w:t>
      </w:r>
      <w:r w:rsidRPr="00E66711">
        <w:rPr>
          <w:rFonts w:ascii="Times New Roman" w:hAnsi="Times New Roman" w:cs="Times New Roman"/>
          <w:sz w:val="24"/>
          <w:szCs w:val="24"/>
        </w:rPr>
        <w:t>)</w:t>
      </w:r>
    </w:p>
    <w:p w14:paraId="0705CD5E" w14:textId="77777777" w:rsidR="00CF1290"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lastRenderedPageBreak/>
        <w:t>Now, this dataset is represented in the following line diagram.</w:t>
      </w:r>
    </w:p>
    <w:p w14:paraId="04A43870" w14:textId="77777777" w:rsidR="00CF1290"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drawing>
          <wp:inline distT="0" distB="0" distL="0" distR="0" wp14:anchorId="765C40C3" wp14:editId="4C2D64E3">
            <wp:extent cx="5006340" cy="2743200"/>
            <wp:effectExtent l="0" t="0" r="3810" b="0"/>
            <wp:docPr id="2" name="Chart 2">
              <a:extLst xmlns:a="http://schemas.openxmlformats.org/drawingml/2006/main">
                <a:ext uri="{FF2B5EF4-FFF2-40B4-BE49-F238E27FC236}">
                  <a16:creationId xmlns:a16="http://schemas.microsoft.com/office/drawing/2014/main" id="{76AFCE6D-6A13-DFE3-E38B-DE6D2BBA47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15D763" w14:textId="77777777" w:rsidR="00CF1290"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2: Negative Trendline in revenue of Coca-Cola</w:t>
      </w:r>
    </w:p>
    <w:p w14:paraId="7FF4BB5D" w14:textId="77777777" w:rsidR="00CF1290"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6AC4ED26" w14:textId="77777777" w:rsidR="00CF1290"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The dataset and diagram show that </w:t>
      </w:r>
      <w:r w:rsidR="00672ED7" w:rsidRPr="00E66711">
        <w:rPr>
          <w:rFonts w:ascii="Times New Roman" w:hAnsi="Times New Roman" w:cs="Times New Roman"/>
          <w:sz w:val="24"/>
          <w:szCs w:val="24"/>
        </w:rPr>
        <w:t xml:space="preserve">annual sales have fallen in 2019 and 2020 due to environmental and covid issues but in 2021 it has increased a bit. The fall in revenue indicates a fall in demand for soft drinks from Coca-Cola as the company had increased the prices to meet the extra water tax and the rising cost of production. </w:t>
      </w:r>
    </w:p>
    <w:p w14:paraId="1FCAA924" w14:textId="77777777" w:rsidR="003E5F03" w:rsidRPr="00E66711" w:rsidRDefault="00000000" w:rsidP="00C16D6A">
      <w:pPr>
        <w:pStyle w:val="Heading3"/>
        <w:spacing w:line="360" w:lineRule="auto"/>
        <w:rPr>
          <w:rFonts w:cs="Times New Roman"/>
        </w:rPr>
      </w:pPr>
      <w:bookmarkStart w:id="12" w:name="_Toc110686857"/>
      <w:bookmarkStart w:id="13" w:name="_Toc110689172"/>
      <w:r w:rsidRPr="00E66711">
        <w:rPr>
          <w:rFonts w:cs="Times New Roman"/>
        </w:rPr>
        <w:t>Availability of compliments</w:t>
      </w:r>
      <w:bookmarkEnd w:id="12"/>
      <w:bookmarkEnd w:id="13"/>
    </w:p>
    <w:p w14:paraId="3CC797EE" w14:textId="77777777" w:rsidR="00F76FAE"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A complementary good of a particular commodity is a good that is consumed together with the latter. So, if the price of a complementary good increases, it will reduce the demand for the main commodity. </w:t>
      </w:r>
      <w:r w:rsidR="008A28A6" w:rsidRPr="00E66711">
        <w:rPr>
          <w:rFonts w:ascii="Times New Roman" w:hAnsi="Times New Roman" w:cs="Times New Roman"/>
          <w:sz w:val="24"/>
          <w:szCs w:val="24"/>
        </w:rPr>
        <w:t>Coca-Cola's soft drink is said to have different compliments like Popcorn, Mcdonald's burgers, etc. So, generally, an increase in the price of popcorn will reduce the demand for soft drinks from Coca-Cola</w:t>
      </w:r>
      <w:r w:rsidR="00C16D6A" w:rsidRPr="00E66711">
        <w:rPr>
          <w:rFonts w:ascii="Times New Roman" w:hAnsi="Times New Roman" w:cs="Times New Roman"/>
          <w:sz w:val="24"/>
          <w:szCs w:val="24"/>
        </w:rPr>
        <w:t xml:space="preserve"> (</w:t>
      </w:r>
      <w:r w:rsidR="00C16D6A" w:rsidRPr="00E66711">
        <w:rPr>
          <w:rFonts w:ascii="Times New Roman" w:hAnsi="Times New Roman" w:cs="Times New Roman"/>
          <w:color w:val="000000" w:themeColor="text1"/>
          <w:sz w:val="24"/>
          <w:szCs w:val="24"/>
          <w:shd w:val="clear" w:color="auto" w:fill="FFFFFF"/>
        </w:rPr>
        <w:t>Liu, 2021)</w:t>
      </w:r>
      <w:r w:rsidR="008A28A6" w:rsidRPr="00E66711">
        <w:rPr>
          <w:rFonts w:ascii="Times New Roman" w:hAnsi="Times New Roman" w:cs="Times New Roman"/>
          <w:sz w:val="24"/>
          <w:szCs w:val="24"/>
        </w:rPr>
        <w:t xml:space="preserve">. </w:t>
      </w:r>
    </w:p>
    <w:p w14:paraId="501C54BC" w14:textId="77777777" w:rsidR="005C6FCF"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Here, the prices of McDonald's cheeseburgers for the last 8 years are represented in the following data. This year, for the first time in the last 14 years since 2008, Mcdonald's has increased its price by around 20 pence. </w:t>
      </w:r>
    </w:p>
    <w:tbl>
      <w:tblPr>
        <w:tblW w:w="91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4"/>
        <w:gridCol w:w="5589"/>
        <w:gridCol w:w="454"/>
        <w:gridCol w:w="454"/>
        <w:gridCol w:w="457"/>
      </w:tblGrid>
      <w:tr w:rsidR="00D65DB8" w14:paraId="0D21E6C0" w14:textId="77777777" w:rsidTr="005C6FCF">
        <w:trPr>
          <w:trHeight w:val="590"/>
        </w:trPr>
        <w:tc>
          <w:tcPr>
            <w:tcW w:w="9178" w:type="dxa"/>
            <w:gridSpan w:val="5"/>
            <w:shd w:val="clear" w:color="auto" w:fill="auto"/>
            <w:noWrap/>
            <w:vAlign w:val="bottom"/>
            <w:hideMark/>
          </w:tcPr>
          <w:p w14:paraId="69EB90E1" w14:textId="77777777" w:rsidR="005C6FCF" w:rsidRPr="00E66711" w:rsidRDefault="00000000" w:rsidP="00C16D6A">
            <w:pPr>
              <w:spacing w:after="0" w:line="360" w:lineRule="auto"/>
              <w:jc w:val="center"/>
              <w:rPr>
                <w:rFonts w:ascii="Times New Roman" w:eastAsia="Times New Roman" w:hAnsi="Times New Roman" w:cs="Times New Roman"/>
                <w:b/>
                <w:bCs/>
                <w:color w:val="000000"/>
                <w:sz w:val="24"/>
                <w:szCs w:val="24"/>
                <w:lang w:eastAsia="en-IN"/>
              </w:rPr>
            </w:pPr>
            <w:r w:rsidRPr="00E66711">
              <w:rPr>
                <w:rFonts w:ascii="Times New Roman" w:eastAsia="Times New Roman" w:hAnsi="Times New Roman" w:cs="Times New Roman"/>
                <w:b/>
                <w:bCs/>
                <w:color w:val="000000"/>
                <w:sz w:val="24"/>
                <w:szCs w:val="24"/>
                <w:lang w:eastAsia="en-IN"/>
              </w:rPr>
              <w:t>Price of Mcdonald's Cheeseburger in the UK</w:t>
            </w:r>
          </w:p>
        </w:tc>
      </w:tr>
      <w:tr w:rsidR="00D65DB8" w14:paraId="49E61A5B" w14:textId="77777777" w:rsidTr="005C6FCF">
        <w:trPr>
          <w:trHeight w:val="544"/>
        </w:trPr>
        <w:tc>
          <w:tcPr>
            <w:tcW w:w="2224" w:type="dxa"/>
            <w:shd w:val="clear" w:color="auto" w:fill="auto"/>
            <w:noWrap/>
            <w:vAlign w:val="bottom"/>
            <w:hideMark/>
          </w:tcPr>
          <w:p w14:paraId="689E1383"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Year</w:t>
            </w:r>
          </w:p>
        </w:tc>
        <w:tc>
          <w:tcPr>
            <w:tcW w:w="5589" w:type="dxa"/>
            <w:shd w:val="clear" w:color="auto" w:fill="auto"/>
            <w:noWrap/>
            <w:vAlign w:val="bottom"/>
            <w:hideMark/>
          </w:tcPr>
          <w:p w14:paraId="135F7889"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Price (Pence)</w:t>
            </w:r>
          </w:p>
        </w:tc>
        <w:tc>
          <w:tcPr>
            <w:tcW w:w="454" w:type="dxa"/>
            <w:shd w:val="clear" w:color="auto" w:fill="auto"/>
            <w:noWrap/>
            <w:vAlign w:val="bottom"/>
            <w:hideMark/>
          </w:tcPr>
          <w:p w14:paraId="509FE17B" w14:textId="77777777" w:rsidR="005C6FCF" w:rsidRPr="00E66711" w:rsidRDefault="005C6FCF" w:rsidP="00C16D6A">
            <w:pPr>
              <w:spacing w:after="0" w:line="360" w:lineRule="auto"/>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209A10FD"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518A8390"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18ACA4C5" w14:textId="77777777" w:rsidTr="005C6FCF">
        <w:trPr>
          <w:trHeight w:val="544"/>
        </w:trPr>
        <w:tc>
          <w:tcPr>
            <w:tcW w:w="2224" w:type="dxa"/>
            <w:shd w:val="clear" w:color="auto" w:fill="auto"/>
            <w:noWrap/>
            <w:vAlign w:val="bottom"/>
            <w:hideMark/>
          </w:tcPr>
          <w:p w14:paraId="1B8DF63E"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2015</w:t>
            </w:r>
          </w:p>
        </w:tc>
        <w:tc>
          <w:tcPr>
            <w:tcW w:w="5589" w:type="dxa"/>
            <w:shd w:val="clear" w:color="auto" w:fill="auto"/>
            <w:noWrap/>
            <w:vAlign w:val="bottom"/>
            <w:hideMark/>
          </w:tcPr>
          <w:p w14:paraId="302C728E"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343376BF"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355F49F7"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23A554A3"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5FCF1793" w14:textId="77777777" w:rsidTr="005C6FCF">
        <w:trPr>
          <w:trHeight w:val="544"/>
        </w:trPr>
        <w:tc>
          <w:tcPr>
            <w:tcW w:w="2224" w:type="dxa"/>
            <w:shd w:val="clear" w:color="auto" w:fill="auto"/>
            <w:noWrap/>
            <w:vAlign w:val="bottom"/>
            <w:hideMark/>
          </w:tcPr>
          <w:p w14:paraId="3239CBD8"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lastRenderedPageBreak/>
              <w:t>2016</w:t>
            </w:r>
          </w:p>
        </w:tc>
        <w:tc>
          <w:tcPr>
            <w:tcW w:w="5589" w:type="dxa"/>
            <w:shd w:val="clear" w:color="auto" w:fill="auto"/>
            <w:noWrap/>
            <w:vAlign w:val="bottom"/>
            <w:hideMark/>
          </w:tcPr>
          <w:p w14:paraId="6E4DF2BC"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3F660B43"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48CAD1A5"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27D98BA6"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2D6667AA" w14:textId="77777777" w:rsidTr="005C6FCF">
        <w:trPr>
          <w:trHeight w:val="544"/>
        </w:trPr>
        <w:tc>
          <w:tcPr>
            <w:tcW w:w="2224" w:type="dxa"/>
            <w:shd w:val="clear" w:color="auto" w:fill="auto"/>
            <w:noWrap/>
            <w:vAlign w:val="bottom"/>
            <w:hideMark/>
          </w:tcPr>
          <w:p w14:paraId="26C84C0E"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2017</w:t>
            </w:r>
          </w:p>
        </w:tc>
        <w:tc>
          <w:tcPr>
            <w:tcW w:w="5589" w:type="dxa"/>
            <w:shd w:val="clear" w:color="auto" w:fill="auto"/>
            <w:noWrap/>
            <w:vAlign w:val="bottom"/>
            <w:hideMark/>
          </w:tcPr>
          <w:p w14:paraId="6D1A6CE8"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29D0E67C"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4E26F398"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475BF22C"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14DB0842" w14:textId="77777777" w:rsidTr="005C6FCF">
        <w:trPr>
          <w:trHeight w:val="544"/>
        </w:trPr>
        <w:tc>
          <w:tcPr>
            <w:tcW w:w="2224" w:type="dxa"/>
            <w:shd w:val="clear" w:color="auto" w:fill="auto"/>
            <w:noWrap/>
            <w:vAlign w:val="bottom"/>
            <w:hideMark/>
          </w:tcPr>
          <w:p w14:paraId="4CA3AAE4"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2018</w:t>
            </w:r>
          </w:p>
        </w:tc>
        <w:tc>
          <w:tcPr>
            <w:tcW w:w="5589" w:type="dxa"/>
            <w:shd w:val="clear" w:color="auto" w:fill="auto"/>
            <w:noWrap/>
            <w:vAlign w:val="bottom"/>
            <w:hideMark/>
          </w:tcPr>
          <w:p w14:paraId="3DDFC744"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4CEC5EC2"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22FC1743"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3C153690"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1322E007" w14:textId="77777777" w:rsidTr="005C6FCF">
        <w:trPr>
          <w:trHeight w:val="544"/>
        </w:trPr>
        <w:tc>
          <w:tcPr>
            <w:tcW w:w="2224" w:type="dxa"/>
            <w:shd w:val="clear" w:color="auto" w:fill="auto"/>
            <w:noWrap/>
            <w:vAlign w:val="bottom"/>
            <w:hideMark/>
          </w:tcPr>
          <w:p w14:paraId="31D88C91"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2019</w:t>
            </w:r>
          </w:p>
        </w:tc>
        <w:tc>
          <w:tcPr>
            <w:tcW w:w="5589" w:type="dxa"/>
            <w:shd w:val="clear" w:color="auto" w:fill="auto"/>
            <w:noWrap/>
            <w:vAlign w:val="bottom"/>
            <w:hideMark/>
          </w:tcPr>
          <w:p w14:paraId="5B95602E"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0C97A5D2"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30C12C5A"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7DCF41F9"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57C8349E" w14:textId="77777777" w:rsidTr="005C6FCF">
        <w:trPr>
          <w:trHeight w:val="544"/>
        </w:trPr>
        <w:tc>
          <w:tcPr>
            <w:tcW w:w="2224" w:type="dxa"/>
            <w:shd w:val="clear" w:color="auto" w:fill="auto"/>
            <w:noWrap/>
            <w:vAlign w:val="bottom"/>
            <w:hideMark/>
          </w:tcPr>
          <w:p w14:paraId="3BF915AE"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2020</w:t>
            </w:r>
          </w:p>
        </w:tc>
        <w:tc>
          <w:tcPr>
            <w:tcW w:w="5589" w:type="dxa"/>
            <w:shd w:val="clear" w:color="auto" w:fill="auto"/>
            <w:noWrap/>
            <w:vAlign w:val="bottom"/>
            <w:hideMark/>
          </w:tcPr>
          <w:p w14:paraId="5DC18355"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63D84CE3"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7C0A87B6"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3B055CDC"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1F8AA119" w14:textId="77777777" w:rsidTr="005C6FCF">
        <w:trPr>
          <w:trHeight w:val="544"/>
        </w:trPr>
        <w:tc>
          <w:tcPr>
            <w:tcW w:w="2224" w:type="dxa"/>
            <w:shd w:val="clear" w:color="auto" w:fill="auto"/>
            <w:noWrap/>
            <w:vAlign w:val="bottom"/>
            <w:hideMark/>
          </w:tcPr>
          <w:p w14:paraId="3697834A"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2021</w:t>
            </w:r>
          </w:p>
        </w:tc>
        <w:tc>
          <w:tcPr>
            <w:tcW w:w="5589" w:type="dxa"/>
            <w:shd w:val="clear" w:color="auto" w:fill="auto"/>
            <w:noWrap/>
            <w:vAlign w:val="bottom"/>
            <w:hideMark/>
          </w:tcPr>
          <w:p w14:paraId="6D948B51"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99</w:t>
            </w:r>
          </w:p>
        </w:tc>
        <w:tc>
          <w:tcPr>
            <w:tcW w:w="454" w:type="dxa"/>
            <w:shd w:val="clear" w:color="auto" w:fill="auto"/>
            <w:noWrap/>
            <w:vAlign w:val="bottom"/>
            <w:hideMark/>
          </w:tcPr>
          <w:p w14:paraId="76B18FAB"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14E18D08"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2BEC33C4"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r w:rsidR="00D65DB8" w14:paraId="75A5B987" w14:textId="77777777" w:rsidTr="005C6FCF">
        <w:trPr>
          <w:trHeight w:val="544"/>
        </w:trPr>
        <w:tc>
          <w:tcPr>
            <w:tcW w:w="2224" w:type="dxa"/>
            <w:shd w:val="clear" w:color="auto" w:fill="auto"/>
            <w:noWrap/>
            <w:vAlign w:val="bottom"/>
            <w:hideMark/>
          </w:tcPr>
          <w:p w14:paraId="24530D15"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2022</w:t>
            </w:r>
          </w:p>
        </w:tc>
        <w:tc>
          <w:tcPr>
            <w:tcW w:w="5589" w:type="dxa"/>
            <w:shd w:val="clear" w:color="auto" w:fill="auto"/>
            <w:noWrap/>
            <w:vAlign w:val="bottom"/>
            <w:hideMark/>
          </w:tcPr>
          <w:p w14:paraId="21299FAB" w14:textId="77777777" w:rsidR="005C6FCF" w:rsidRPr="00E66711" w:rsidRDefault="00000000" w:rsidP="00C16D6A">
            <w:pPr>
              <w:spacing w:after="0" w:line="360" w:lineRule="auto"/>
              <w:jc w:val="center"/>
              <w:rPr>
                <w:rFonts w:ascii="Times New Roman" w:eastAsia="Times New Roman" w:hAnsi="Times New Roman" w:cs="Times New Roman"/>
                <w:color w:val="000000"/>
                <w:sz w:val="24"/>
                <w:szCs w:val="24"/>
                <w:lang w:eastAsia="en-IN"/>
              </w:rPr>
            </w:pPr>
            <w:r w:rsidRPr="00E66711">
              <w:rPr>
                <w:rFonts w:ascii="Times New Roman" w:eastAsia="Times New Roman" w:hAnsi="Times New Roman" w:cs="Times New Roman"/>
                <w:color w:val="000000"/>
                <w:sz w:val="24"/>
                <w:szCs w:val="24"/>
                <w:lang w:eastAsia="en-IN"/>
              </w:rPr>
              <w:t>119</w:t>
            </w:r>
          </w:p>
        </w:tc>
        <w:tc>
          <w:tcPr>
            <w:tcW w:w="454" w:type="dxa"/>
            <w:shd w:val="clear" w:color="auto" w:fill="auto"/>
            <w:noWrap/>
            <w:vAlign w:val="bottom"/>
            <w:hideMark/>
          </w:tcPr>
          <w:p w14:paraId="54DF3012" w14:textId="77777777" w:rsidR="005C6FCF" w:rsidRPr="00E66711" w:rsidRDefault="005C6FCF" w:rsidP="00C16D6A">
            <w:pPr>
              <w:spacing w:after="0" w:line="360" w:lineRule="auto"/>
              <w:jc w:val="right"/>
              <w:rPr>
                <w:rFonts w:ascii="Times New Roman" w:eastAsia="Times New Roman" w:hAnsi="Times New Roman" w:cs="Times New Roman"/>
                <w:color w:val="000000"/>
                <w:sz w:val="24"/>
                <w:szCs w:val="24"/>
                <w:lang w:eastAsia="en-IN"/>
              </w:rPr>
            </w:pPr>
          </w:p>
        </w:tc>
        <w:tc>
          <w:tcPr>
            <w:tcW w:w="454" w:type="dxa"/>
            <w:shd w:val="clear" w:color="auto" w:fill="auto"/>
            <w:noWrap/>
            <w:vAlign w:val="bottom"/>
            <w:hideMark/>
          </w:tcPr>
          <w:p w14:paraId="11441149"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c>
          <w:tcPr>
            <w:tcW w:w="455" w:type="dxa"/>
            <w:shd w:val="clear" w:color="auto" w:fill="auto"/>
            <w:noWrap/>
            <w:vAlign w:val="bottom"/>
            <w:hideMark/>
          </w:tcPr>
          <w:p w14:paraId="7B57E2D3" w14:textId="77777777" w:rsidR="005C6FCF" w:rsidRPr="00E66711" w:rsidRDefault="005C6FCF" w:rsidP="00C16D6A">
            <w:pPr>
              <w:spacing w:after="0" w:line="360" w:lineRule="auto"/>
              <w:rPr>
                <w:rFonts w:ascii="Times New Roman" w:eastAsia="Times New Roman" w:hAnsi="Times New Roman" w:cs="Times New Roman"/>
                <w:sz w:val="24"/>
                <w:szCs w:val="24"/>
                <w:lang w:eastAsia="en-IN"/>
              </w:rPr>
            </w:pPr>
          </w:p>
        </w:tc>
      </w:tr>
    </w:tbl>
    <w:p w14:paraId="71CB5A10" w14:textId="77777777" w:rsidR="0035151A"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 xml:space="preserve">Table 3: Price of McDonald’s cheeseburgers </w:t>
      </w:r>
    </w:p>
    <w:p w14:paraId="214B18EB" w14:textId="77777777" w:rsidR="005C6FCF"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w:t>
      </w:r>
      <w:r w:rsidR="003A1774" w:rsidRPr="00E66711">
        <w:rPr>
          <w:rFonts w:ascii="Times New Roman" w:hAnsi="Times New Roman" w:cs="Times New Roman"/>
          <w:color w:val="000000" w:themeColor="text1"/>
          <w:sz w:val="24"/>
          <w:szCs w:val="24"/>
        </w:rPr>
        <w:t xml:space="preserve"> Ft, 2022</w:t>
      </w:r>
      <w:r w:rsidRPr="00E66711">
        <w:rPr>
          <w:rFonts w:ascii="Times New Roman" w:hAnsi="Times New Roman" w:cs="Times New Roman"/>
          <w:sz w:val="24"/>
          <w:szCs w:val="24"/>
        </w:rPr>
        <w:t>)</w:t>
      </w:r>
    </w:p>
    <w:p w14:paraId="5907A1A6" w14:textId="77777777" w:rsidR="00CA6AB7"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This latest increase in price has been shown in the figure below. This increase in the price of burgers is expected to reduce the demand for Coca-Cola's soft drinks as the two goods are said to be complements of each other. </w:t>
      </w:r>
    </w:p>
    <w:p w14:paraId="14D13293" w14:textId="77777777" w:rsidR="00CA6AB7"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drawing>
          <wp:inline distT="0" distB="0" distL="0" distR="0" wp14:anchorId="04842F9C" wp14:editId="5E2330A9">
            <wp:extent cx="4572000" cy="2743200"/>
            <wp:effectExtent l="0" t="0" r="0" b="0"/>
            <wp:docPr id="3" name="Chart 3">
              <a:extLst xmlns:a="http://schemas.openxmlformats.org/drawingml/2006/main">
                <a:ext uri="{FF2B5EF4-FFF2-40B4-BE49-F238E27FC236}">
                  <a16:creationId xmlns:a16="http://schemas.microsoft.com/office/drawing/2014/main" id="{A9CCF82A-C915-460E-C37C-9B1B08E793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8E0001" w14:textId="77777777" w:rsidR="00CA6AB7"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3: Price pattern column diagram of McDonald</w:t>
      </w:r>
    </w:p>
    <w:p w14:paraId="3AA2EE98" w14:textId="77777777" w:rsidR="005C6FCF"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 xml:space="preserve">(Source: Self-prepared report, 2022) </w:t>
      </w:r>
    </w:p>
    <w:p w14:paraId="17A81AF5" w14:textId="77777777" w:rsidR="00A071BE" w:rsidRPr="00E66711" w:rsidRDefault="00000000" w:rsidP="00C16D6A">
      <w:pPr>
        <w:pStyle w:val="Heading3"/>
        <w:spacing w:line="360" w:lineRule="auto"/>
        <w:rPr>
          <w:rFonts w:cs="Times New Roman"/>
        </w:rPr>
      </w:pPr>
      <w:bookmarkStart w:id="14" w:name="_Toc110686858"/>
      <w:bookmarkStart w:id="15" w:name="_Toc110689173"/>
      <w:r w:rsidRPr="00E66711">
        <w:rPr>
          <w:rFonts w:cs="Times New Roman"/>
        </w:rPr>
        <w:t>Consumers’ income</w:t>
      </w:r>
      <w:bookmarkEnd w:id="14"/>
      <w:bookmarkEnd w:id="15"/>
    </w:p>
    <w:p w14:paraId="271EE566" w14:textId="77777777" w:rsidR="00A071BE"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A consumer purchases a certain quantity of a product staying on or within his budget line. And budget line depends on the income of a consumer. </w:t>
      </w:r>
      <w:r w:rsidR="00FE4700" w:rsidRPr="00E66711">
        <w:rPr>
          <w:rFonts w:ascii="Times New Roman" w:hAnsi="Times New Roman" w:cs="Times New Roman"/>
          <w:sz w:val="24"/>
          <w:szCs w:val="24"/>
        </w:rPr>
        <w:t xml:space="preserve">When the income rises, consumers' budget increases as well and so is the demand for their chosen product. Similarly, if demand falls, the </w:t>
      </w:r>
      <w:r w:rsidR="00FE4700" w:rsidRPr="00E66711">
        <w:rPr>
          <w:rFonts w:ascii="Times New Roman" w:hAnsi="Times New Roman" w:cs="Times New Roman"/>
          <w:sz w:val="24"/>
          <w:szCs w:val="24"/>
        </w:rPr>
        <w:lastRenderedPageBreak/>
        <w:t>consumer will demand less of that product</w:t>
      </w:r>
      <w:r w:rsidR="00C16D6A" w:rsidRPr="00E66711">
        <w:rPr>
          <w:rFonts w:ascii="Times New Roman" w:hAnsi="Times New Roman" w:cs="Times New Roman"/>
          <w:sz w:val="24"/>
          <w:szCs w:val="24"/>
        </w:rPr>
        <w:t xml:space="preserve"> (</w:t>
      </w:r>
      <w:r w:rsidR="00C16D6A" w:rsidRPr="00E66711">
        <w:rPr>
          <w:rFonts w:ascii="Times New Roman" w:hAnsi="Times New Roman" w:cs="Times New Roman"/>
          <w:color w:val="000000" w:themeColor="text1"/>
          <w:sz w:val="24"/>
          <w:szCs w:val="24"/>
          <w:shd w:val="clear" w:color="auto" w:fill="FFFFFF"/>
        </w:rPr>
        <w:t>Hallak, Onur, and Lee, 2022)</w:t>
      </w:r>
      <w:r w:rsidR="00FE4700" w:rsidRPr="00E66711">
        <w:rPr>
          <w:rFonts w:ascii="Times New Roman" w:hAnsi="Times New Roman" w:cs="Times New Roman"/>
          <w:sz w:val="24"/>
          <w:szCs w:val="24"/>
        </w:rPr>
        <w:t xml:space="preserve">. This can vary for different nature of goods. Coca-Cola's cold drink is not a high-priced product and for middle, lower income, and high-income households everyone can purchase it. So, a change in income will not affect the demand too much but it is expected to impact at least a bit.  </w:t>
      </w:r>
    </w:p>
    <w:tbl>
      <w:tblPr>
        <w:tblW w:w="84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7"/>
        <w:gridCol w:w="2504"/>
        <w:gridCol w:w="3906"/>
        <w:gridCol w:w="267"/>
        <w:gridCol w:w="267"/>
        <w:gridCol w:w="267"/>
      </w:tblGrid>
      <w:tr w:rsidR="00D65DB8" w14:paraId="64DFE919" w14:textId="77777777" w:rsidTr="009B463F">
        <w:trPr>
          <w:trHeight w:val="462"/>
          <w:jc w:val="center"/>
        </w:trPr>
        <w:tc>
          <w:tcPr>
            <w:tcW w:w="1207" w:type="dxa"/>
            <w:shd w:val="clear" w:color="auto" w:fill="auto"/>
            <w:noWrap/>
            <w:vAlign w:val="bottom"/>
            <w:hideMark/>
          </w:tcPr>
          <w:p w14:paraId="67533CF7"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Year</w:t>
            </w:r>
          </w:p>
        </w:tc>
        <w:tc>
          <w:tcPr>
            <w:tcW w:w="2504" w:type="dxa"/>
            <w:shd w:val="clear" w:color="auto" w:fill="auto"/>
            <w:noWrap/>
            <w:vAlign w:val="bottom"/>
            <w:hideMark/>
          </w:tcPr>
          <w:p w14:paraId="7F56B16F"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 xml:space="preserve">Mean </w:t>
            </w:r>
            <w:r w:rsidRPr="00E66711">
              <w:rPr>
                <w:rFonts w:ascii="Times New Roman" w:eastAsia="Times New Roman" w:hAnsi="Times New Roman" w:cs="Times New Roman"/>
                <w:color w:val="000000"/>
                <w:sz w:val="24"/>
                <w:szCs w:val="24"/>
                <w:lang w:val="en-US"/>
              </w:rPr>
              <w:t>equivalized</w:t>
            </w:r>
            <w:r w:rsidRPr="009B463F">
              <w:rPr>
                <w:rFonts w:ascii="Times New Roman" w:eastAsia="Times New Roman" w:hAnsi="Times New Roman" w:cs="Times New Roman"/>
                <w:color w:val="000000"/>
                <w:sz w:val="24"/>
                <w:szCs w:val="24"/>
                <w:lang w:val="en-US"/>
              </w:rPr>
              <w:t xml:space="preserve"> disposable income</w:t>
            </w:r>
          </w:p>
        </w:tc>
        <w:tc>
          <w:tcPr>
            <w:tcW w:w="4707" w:type="dxa"/>
            <w:gridSpan w:val="4"/>
            <w:shd w:val="clear" w:color="auto" w:fill="auto"/>
            <w:noWrap/>
            <w:vAlign w:val="bottom"/>
            <w:hideMark/>
          </w:tcPr>
          <w:p w14:paraId="3BE1EA22"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 xml:space="preserve">Median </w:t>
            </w:r>
            <w:r w:rsidRPr="00E66711">
              <w:rPr>
                <w:rFonts w:ascii="Times New Roman" w:eastAsia="Times New Roman" w:hAnsi="Times New Roman" w:cs="Times New Roman"/>
                <w:color w:val="000000"/>
                <w:sz w:val="24"/>
                <w:szCs w:val="24"/>
                <w:lang w:val="en-US"/>
              </w:rPr>
              <w:t>equivalized</w:t>
            </w:r>
            <w:r w:rsidRPr="009B463F">
              <w:rPr>
                <w:rFonts w:ascii="Times New Roman" w:eastAsia="Times New Roman" w:hAnsi="Times New Roman" w:cs="Times New Roman"/>
                <w:color w:val="000000"/>
                <w:sz w:val="24"/>
                <w:szCs w:val="24"/>
                <w:lang w:val="en-US"/>
              </w:rPr>
              <w:t xml:space="preserve"> disposable income</w:t>
            </w:r>
          </w:p>
        </w:tc>
      </w:tr>
      <w:tr w:rsidR="00D65DB8" w14:paraId="4FBE130C" w14:textId="77777777" w:rsidTr="009B463F">
        <w:trPr>
          <w:trHeight w:val="462"/>
          <w:jc w:val="center"/>
        </w:trPr>
        <w:tc>
          <w:tcPr>
            <w:tcW w:w="1207" w:type="dxa"/>
            <w:shd w:val="clear" w:color="auto" w:fill="auto"/>
            <w:noWrap/>
            <w:vAlign w:val="bottom"/>
            <w:hideMark/>
          </w:tcPr>
          <w:p w14:paraId="7CFE609C"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2016/17</w:t>
            </w:r>
          </w:p>
        </w:tc>
        <w:tc>
          <w:tcPr>
            <w:tcW w:w="2504" w:type="dxa"/>
            <w:shd w:val="clear" w:color="auto" w:fill="auto"/>
            <w:noWrap/>
            <w:vAlign w:val="bottom"/>
            <w:hideMark/>
          </w:tcPr>
          <w:p w14:paraId="45CD3C87"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36621</w:t>
            </w:r>
          </w:p>
        </w:tc>
        <w:tc>
          <w:tcPr>
            <w:tcW w:w="3906" w:type="dxa"/>
            <w:shd w:val="clear" w:color="auto" w:fill="auto"/>
            <w:noWrap/>
            <w:vAlign w:val="bottom"/>
            <w:hideMark/>
          </w:tcPr>
          <w:p w14:paraId="6D97EA9F"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30026</w:t>
            </w:r>
          </w:p>
        </w:tc>
        <w:tc>
          <w:tcPr>
            <w:tcW w:w="267" w:type="dxa"/>
            <w:shd w:val="clear" w:color="auto" w:fill="auto"/>
            <w:noWrap/>
            <w:vAlign w:val="bottom"/>
            <w:hideMark/>
          </w:tcPr>
          <w:p w14:paraId="7810BEF5" w14:textId="77777777" w:rsidR="009B463F" w:rsidRPr="009B463F" w:rsidRDefault="009B463F" w:rsidP="00C16D6A">
            <w:pPr>
              <w:spacing w:after="0" w:line="360" w:lineRule="auto"/>
              <w:jc w:val="right"/>
              <w:rPr>
                <w:rFonts w:ascii="Times New Roman" w:eastAsia="Times New Roman" w:hAnsi="Times New Roman" w:cs="Times New Roman"/>
                <w:color w:val="000000"/>
                <w:sz w:val="24"/>
                <w:szCs w:val="24"/>
                <w:lang w:val="en-US"/>
              </w:rPr>
            </w:pPr>
          </w:p>
        </w:tc>
        <w:tc>
          <w:tcPr>
            <w:tcW w:w="267" w:type="dxa"/>
            <w:shd w:val="clear" w:color="auto" w:fill="auto"/>
            <w:noWrap/>
            <w:vAlign w:val="bottom"/>
            <w:hideMark/>
          </w:tcPr>
          <w:p w14:paraId="357ABE1B"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c>
          <w:tcPr>
            <w:tcW w:w="267" w:type="dxa"/>
            <w:shd w:val="clear" w:color="auto" w:fill="auto"/>
            <w:noWrap/>
            <w:vAlign w:val="bottom"/>
            <w:hideMark/>
          </w:tcPr>
          <w:p w14:paraId="40DBEA73"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r>
      <w:tr w:rsidR="00D65DB8" w14:paraId="24A27ED7" w14:textId="77777777" w:rsidTr="009B463F">
        <w:trPr>
          <w:trHeight w:val="462"/>
          <w:jc w:val="center"/>
        </w:trPr>
        <w:tc>
          <w:tcPr>
            <w:tcW w:w="1207" w:type="dxa"/>
            <w:shd w:val="clear" w:color="auto" w:fill="auto"/>
            <w:noWrap/>
            <w:vAlign w:val="bottom"/>
            <w:hideMark/>
          </w:tcPr>
          <w:p w14:paraId="49ED81F5"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2017/18</w:t>
            </w:r>
          </w:p>
        </w:tc>
        <w:tc>
          <w:tcPr>
            <w:tcW w:w="2504" w:type="dxa"/>
            <w:shd w:val="clear" w:color="auto" w:fill="auto"/>
            <w:noWrap/>
            <w:vAlign w:val="bottom"/>
            <w:hideMark/>
          </w:tcPr>
          <w:p w14:paraId="379F8299"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36017</w:t>
            </w:r>
          </w:p>
        </w:tc>
        <w:tc>
          <w:tcPr>
            <w:tcW w:w="3906" w:type="dxa"/>
            <w:shd w:val="clear" w:color="auto" w:fill="auto"/>
            <w:noWrap/>
            <w:vAlign w:val="bottom"/>
            <w:hideMark/>
          </w:tcPr>
          <w:p w14:paraId="7D620550"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29308</w:t>
            </w:r>
          </w:p>
        </w:tc>
        <w:tc>
          <w:tcPr>
            <w:tcW w:w="267" w:type="dxa"/>
            <w:shd w:val="clear" w:color="auto" w:fill="auto"/>
            <w:noWrap/>
            <w:vAlign w:val="bottom"/>
            <w:hideMark/>
          </w:tcPr>
          <w:p w14:paraId="3472D72F" w14:textId="77777777" w:rsidR="009B463F" w:rsidRPr="009B463F" w:rsidRDefault="009B463F" w:rsidP="00C16D6A">
            <w:pPr>
              <w:spacing w:after="0" w:line="360" w:lineRule="auto"/>
              <w:jc w:val="right"/>
              <w:rPr>
                <w:rFonts w:ascii="Times New Roman" w:eastAsia="Times New Roman" w:hAnsi="Times New Roman" w:cs="Times New Roman"/>
                <w:color w:val="000000"/>
                <w:sz w:val="24"/>
                <w:szCs w:val="24"/>
                <w:lang w:val="en-US"/>
              </w:rPr>
            </w:pPr>
          </w:p>
        </w:tc>
        <w:tc>
          <w:tcPr>
            <w:tcW w:w="267" w:type="dxa"/>
            <w:shd w:val="clear" w:color="auto" w:fill="auto"/>
            <w:noWrap/>
            <w:vAlign w:val="bottom"/>
            <w:hideMark/>
          </w:tcPr>
          <w:p w14:paraId="34B5E923"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c>
          <w:tcPr>
            <w:tcW w:w="267" w:type="dxa"/>
            <w:shd w:val="clear" w:color="auto" w:fill="auto"/>
            <w:noWrap/>
            <w:vAlign w:val="bottom"/>
            <w:hideMark/>
          </w:tcPr>
          <w:p w14:paraId="41BDACFF"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r>
      <w:tr w:rsidR="00D65DB8" w14:paraId="6E7A6968" w14:textId="77777777" w:rsidTr="009B463F">
        <w:trPr>
          <w:trHeight w:val="462"/>
          <w:jc w:val="center"/>
        </w:trPr>
        <w:tc>
          <w:tcPr>
            <w:tcW w:w="1207" w:type="dxa"/>
            <w:shd w:val="clear" w:color="auto" w:fill="auto"/>
            <w:noWrap/>
            <w:vAlign w:val="bottom"/>
            <w:hideMark/>
          </w:tcPr>
          <w:p w14:paraId="08E8CD88"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2018/19</w:t>
            </w:r>
          </w:p>
        </w:tc>
        <w:tc>
          <w:tcPr>
            <w:tcW w:w="2504" w:type="dxa"/>
            <w:shd w:val="clear" w:color="auto" w:fill="auto"/>
            <w:noWrap/>
            <w:vAlign w:val="bottom"/>
            <w:hideMark/>
          </w:tcPr>
          <w:p w14:paraId="6621A28F"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36397</w:t>
            </w:r>
          </w:p>
        </w:tc>
        <w:tc>
          <w:tcPr>
            <w:tcW w:w="3906" w:type="dxa"/>
            <w:shd w:val="clear" w:color="auto" w:fill="auto"/>
            <w:noWrap/>
            <w:vAlign w:val="bottom"/>
            <w:hideMark/>
          </w:tcPr>
          <w:p w14:paraId="33664515"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29548</w:t>
            </w:r>
          </w:p>
        </w:tc>
        <w:tc>
          <w:tcPr>
            <w:tcW w:w="267" w:type="dxa"/>
            <w:shd w:val="clear" w:color="auto" w:fill="auto"/>
            <w:noWrap/>
            <w:vAlign w:val="bottom"/>
            <w:hideMark/>
          </w:tcPr>
          <w:p w14:paraId="7574F724" w14:textId="77777777" w:rsidR="009B463F" w:rsidRPr="009B463F" w:rsidRDefault="009B463F" w:rsidP="00C16D6A">
            <w:pPr>
              <w:spacing w:after="0" w:line="360" w:lineRule="auto"/>
              <w:jc w:val="right"/>
              <w:rPr>
                <w:rFonts w:ascii="Times New Roman" w:eastAsia="Times New Roman" w:hAnsi="Times New Roman" w:cs="Times New Roman"/>
                <w:color w:val="000000"/>
                <w:sz w:val="24"/>
                <w:szCs w:val="24"/>
                <w:lang w:val="en-US"/>
              </w:rPr>
            </w:pPr>
          </w:p>
        </w:tc>
        <w:tc>
          <w:tcPr>
            <w:tcW w:w="267" w:type="dxa"/>
            <w:shd w:val="clear" w:color="auto" w:fill="auto"/>
            <w:noWrap/>
            <w:vAlign w:val="bottom"/>
            <w:hideMark/>
          </w:tcPr>
          <w:p w14:paraId="233A08FB"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c>
          <w:tcPr>
            <w:tcW w:w="267" w:type="dxa"/>
            <w:shd w:val="clear" w:color="auto" w:fill="auto"/>
            <w:noWrap/>
            <w:vAlign w:val="bottom"/>
            <w:hideMark/>
          </w:tcPr>
          <w:p w14:paraId="0477440D"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r>
      <w:tr w:rsidR="00D65DB8" w14:paraId="2C6A1CC7" w14:textId="77777777" w:rsidTr="009B463F">
        <w:trPr>
          <w:trHeight w:val="462"/>
          <w:jc w:val="center"/>
        </w:trPr>
        <w:tc>
          <w:tcPr>
            <w:tcW w:w="1207" w:type="dxa"/>
            <w:shd w:val="clear" w:color="auto" w:fill="auto"/>
            <w:noWrap/>
            <w:vAlign w:val="bottom"/>
            <w:hideMark/>
          </w:tcPr>
          <w:p w14:paraId="692AADF2"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2019/20</w:t>
            </w:r>
          </w:p>
        </w:tc>
        <w:tc>
          <w:tcPr>
            <w:tcW w:w="2504" w:type="dxa"/>
            <w:shd w:val="clear" w:color="auto" w:fill="auto"/>
            <w:noWrap/>
            <w:vAlign w:val="bottom"/>
            <w:hideMark/>
          </w:tcPr>
          <w:p w14:paraId="255FFDCC"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37839</w:t>
            </w:r>
          </w:p>
        </w:tc>
        <w:tc>
          <w:tcPr>
            <w:tcW w:w="3906" w:type="dxa"/>
            <w:shd w:val="clear" w:color="auto" w:fill="auto"/>
            <w:noWrap/>
            <w:vAlign w:val="bottom"/>
            <w:hideMark/>
          </w:tcPr>
          <w:p w14:paraId="6E984FA0"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30762</w:t>
            </w:r>
          </w:p>
        </w:tc>
        <w:tc>
          <w:tcPr>
            <w:tcW w:w="267" w:type="dxa"/>
            <w:shd w:val="clear" w:color="auto" w:fill="auto"/>
            <w:noWrap/>
            <w:vAlign w:val="bottom"/>
            <w:hideMark/>
          </w:tcPr>
          <w:p w14:paraId="6433A921" w14:textId="77777777" w:rsidR="009B463F" w:rsidRPr="009B463F" w:rsidRDefault="009B463F" w:rsidP="00C16D6A">
            <w:pPr>
              <w:spacing w:after="0" w:line="360" w:lineRule="auto"/>
              <w:jc w:val="right"/>
              <w:rPr>
                <w:rFonts w:ascii="Times New Roman" w:eastAsia="Times New Roman" w:hAnsi="Times New Roman" w:cs="Times New Roman"/>
                <w:color w:val="000000"/>
                <w:sz w:val="24"/>
                <w:szCs w:val="24"/>
                <w:lang w:val="en-US"/>
              </w:rPr>
            </w:pPr>
          </w:p>
        </w:tc>
        <w:tc>
          <w:tcPr>
            <w:tcW w:w="267" w:type="dxa"/>
            <w:shd w:val="clear" w:color="auto" w:fill="auto"/>
            <w:noWrap/>
            <w:vAlign w:val="bottom"/>
            <w:hideMark/>
          </w:tcPr>
          <w:p w14:paraId="2CEC4882"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c>
          <w:tcPr>
            <w:tcW w:w="267" w:type="dxa"/>
            <w:shd w:val="clear" w:color="auto" w:fill="auto"/>
            <w:noWrap/>
            <w:vAlign w:val="bottom"/>
            <w:hideMark/>
          </w:tcPr>
          <w:p w14:paraId="7FA65DD1"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r>
      <w:tr w:rsidR="00D65DB8" w14:paraId="04F13294" w14:textId="77777777" w:rsidTr="009B463F">
        <w:trPr>
          <w:trHeight w:val="462"/>
          <w:jc w:val="center"/>
        </w:trPr>
        <w:tc>
          <w:tcPr>
            <w:tcW w:w="1207" w:type="dxa"/>
            <w:shd w:val="clear" w:color="auto" w:fill="auto"/>
            <w:noWrap/>
            <w:vAlign w:val="bottom"/>
            <w:hideMark/>
          </w:tcPr>
          <w:p w14:paraId="7DDECFE3" w14:textId="77777777" w:rsidR="009B463F" w:rsidRPr="009B463F" w:rsidRDefault="00000000" w:rsidP="00C16D6A">
            <w:pPr>
              <w:spacing w:after="0" w:line="360" w:lineRule="auto"/>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2020/21</w:t>
            </w:r>
          </w:p>
        </w:tc>
        <w:tc>
          <w:tcPr>
            <w:tcW w:w="2504" w:type="dxa"/>
            <w:shd w:val="clear" w:color="auto" w:fill="auto"/>
            <w:noWrap/>
            <w:vAlign w:val="bottom"/>
            <w:hideMark/>
          </w:tcPr>
          <w:p w14:paraId="67DA303F"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37622</w:t>
            </w:r>
          </w:p>
        </w:tc>
        <w:tc>
          <w:tcPr>
            <w:tcW w:w="3906" w:type="dxa"/>
            <w:shd w:val="clear" w:color="auto" w:fill="auto"/>
            <w:noWrap/>
            <w:vAlign w:val="bottom"/>
            <w:hideMark/>
          </w:tcPr>
          <w:p w14:paraId="3879D999" w14:textId="77777777" w:rsidR="009B463F" w:rsidRPr="009B463F" w:rsidRDefault="00000000" w:rsidP="00C16D6A">
            <w:pPr>
              <w:spacing w:after="0" w:line="360" w:lineRule="auto"/>
              <w:jc w:val="right"/>
              <w:rPr>
                <w:rFonts w:ascii="Times New Roman" w:eastAsia="Times New Roman" w:hAnsi="Times New Roman" w:cs="Times New Roman"/>
                <w:color w:val="000000"/>
                <w:sz w:val="24"/>
                <w:szCs w:val="24"/>
                <w:lang w:val="en-US"/>
              </w:rPr>
            </w:pPr>
            <w:r w:rsidRPr="009B463F">
              <w:rPr>
                <w:rFonts w:ascii="Times New Roman" w:eastAsia="Times New Roman" w:hAnsi="Times New Roman" w:cs="Times New Roman"/>
                <w:color w:val="000000"/>
                <w:sz w:val="24"/>
                <w:szCs w:val="24"/>
                <w:lang w:val="en-US"/>
              </w:rPr>
              <w:t>31385</w:t>
            </w:r>
          </w:p>
        </w:tc>
        <w:tc>
          <w:tcPr>
            <w:tcW w:w="267" w:type="dxa"/>
            <w:shd w:val="clear" w:color="auto" w:fill="auto"/>
            <w:noWrap/>
            <w:vAlign w:val="bottom"/>
            <w:hideMark/>
          </w:tcPr>
          <w:p w14:paraId="359D8DF6" w14:textId="77777777" w:rsidR="009B463F" w:rsidRPr="009B463F" w:rsidRDefault="009B463F" w:rsidP="00C16D6A">
            <w:pPr>
              <w:spacing w:after="0" w:line="360" w:lineRule="auto"/>
              <w:jc w:val="right"/>
              <w:rPr>
                <w:rFonts w:ascii="Times New Roman" w:eastAsia="Times New Roman" w:hAnsi="Times New Roman" w:cs="Times New Roman"/>
                <w:color w:val="000000"/>
                <w:sz w:val="24"/>
                <w:szCs w:val="24"/>
                <w:lang w:val="en-US"/>
              </w:rPr>
            </w:pPr>
          </w:p>
        </w:tc>
        <w:tc>
          <w:tcPr>
            <w:tcW w:w="267" w:type="dxa"/>
            <w:shd w:val="clear" w:color="auto" w:fill="auto"/>
            <w:noWrap/>
            <w:vAlign w:val="bottom"/>
            <w:hideMark/>
          </w:tcPr>
          <w:p w14:paraId="785BE5DD"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c>
          <w:tcPr>
            <w:tcW w:w="267" w:type="dxa"/>
            <w:shd w:val="clear" w:color="auto" w:fill="auto"/>
            <w:noWrap/>
            <w:vAlign w:val="bottom"/>
            <w:hideMark/>
          </w:tcPr>
          <w:p w14:paraId="788E44C5" w14:textId="77777777" w:rsidR="009B463F" w:rsidRPr="009B463F" w:rsidRDefault="009B463F" w:rsidP="00C16D6A">
            <w:pPr>
              <w:spacing w:after="0" w:line="360" w:lineRule="auto"/>
              <w:rPr>
                <w:rFonts w:ascii="Times New Roman" w:eastAsia="Times New Roman" w:hAnsi="Times New Roman" w:cs="Times New Roman"/>
                <w:sz w:val="24"/>
                <w:szCs w:val="24"/>
                <w:lang w:val="en-US"/>
              </w:rPr>
            </w:pPr>
          </w:p>
        </w:tc>
      </w:tr>
    </w:tbl>
    <w:p w14:paraId="342E18BB" w14:textId="77777777" w:rsidR="009B463F"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Table 4: Disposable income of the UK households</w:t>
      </w:r>
    </w:p>
    <w:p w14:paraId="677783EA" w14:textId="77777777" w:rsidR="009B463F"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w:t>
      </w:r>
      <w:r w:rsidR="003A1774" w:rsidRPr="00E66711">
        <w:rPr>
          <w:rFonts w:ascii="Times New Roman" w:hAnsi="Times New Roman" w:cs="Times New Roman"/>
          <w:sz w:val="24"/>
          <w:szCs w:val="24"/>
        </w:rPr>
        <w:t xml:space="preserve"> Ons, 2022</w:t>
      </w:r>
      <w:r w:rsidRPr="00E66711">
        <w:rPr>
          <w:rFonts w:ascii="Times New Roman" w:hAnsi="Times New Roman" w:cs="Times New Roman"/>
          <w:sz w:val="24"/>
          <w:szCs w:val="24"/>
        </w:rPr>
        <w:t xml:space="preserve">) </w:t>
      </w:r>
    </w:p>
    <w:p w14:paraId="6F0C9ADF" w14:textId="77777777" w:rsidR="00696425"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drawing>
          <wp:inline distT="0" distB="0" distL="0" distR="0" wp14:anchorId="070EBE0E" wp14:editId="5B9DDFD3">
            <wp:extent cx="4572000" cy="2743200"/>
            <wp:effectExtent l="0" t="0" r="0" b="0"/>
            <wp:docPr id="4" name="Chart 4">
              <a:extLst xmlns:a="http://schemas.openxmlformats.org/drawingml/2006/main">
                <a:ext uri="{FF2B5EF4-FFF2-40B4-BE49-F238E27FC236}">
                  <a16:creationId xmlns:a16="http://schemas.microsoft.com/office/drawing/2014/main" id="{92E4CD70-3712-48A3-4C06-DD95CA8812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19E484F" w14:textId="77777777" w:rsidR="009B463F"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4: Multiple bar diagram of the above dataset</w:t>
      </w:r>
    </w:p>
    <w:p w14:paraId="4048DCBC" w14:textId="77777777" w:rsidR="009B463F"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4648F090" w14:textId="77777777" w:rsidR="00CC1586"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 mean income of UK households has fallen in recent years mainly due to the covid-19 outbreak and employment crisis. This scenario has affected the demand for Coca-Cola soft drinks as already shown above.</w:t>
      </w:r>
    </w:p>
    <w:p w14:paraId="77419D19" w14:textId="77777777" w:rsidR="00CC1586" w:rsidRPr="00E66711" w:rsidRDefault="00000000" w:rsidP="00C16D6A">
      <w:pPr>
        <w:pStyle w:val="Heading3"/>
        <w:spacing w:line="360" w:lineRule="auto"/>
        <w:rPr>
          <w:rFonts w:cs="Times New Roman"/>
        </w:rPr>
      </w:pPr>
      <w:bookmarkStart w:id="16" w:name="_Toc110686859"/>
      <w:bookmarkStart w:id="17" w:name="_Toc110689174"/>
      <w:r w:rsidRPr="00E66711">
        <w:rPr>
          <w:rFonts w:cs="Times New Roman"/>
        </w:rPr>
        <w:lastRenderedPageBreak/>
        <w:t>Consumers’ tastes and preferences</w:t>
      </w:r>
      <w:bookmarkEnd w:id="16"/>
      <w:bookmarkEnd w:id="17"/>
    </w:p>
    <w:p w14:paraId="2B34D1A7" w14:textId="77777777" w:rsidR="00FD0F71"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The taste and preference of the consumers are important indicators of the demand for Coca-Cola's soft drinks. If consumers like the taste and flavor of a certain product then the demand will rise </w:t>
      </w:r>
      <w:r w:rsidR="00EE0818" w:rsidRPr="00E66711">
        <w:rPr>
          <w:rFonts w:ascii="Times New Roman" w:hAnsi="Times New Roman" w:cs="Times New Roman"/>
          <w:sz w:val="24"/>
          <w:szCs w:val="24"/>
        </w:rPr>
        <w:t xml:space="preserve">gradually but if it's the opposite then demand will fall. Also, the demand will increase if people prefer certain goods to other ones. Here, in the UK, </w:t>
      </w:r>
    </w:p>
    <w:tbl>
      <w:tblPr>
        <w:tblW w:w="936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9"/>
        <w:gridCol w:w="6126"/>
        <w:gridCol w:w="466"/>
      </w:tblGrid>
      <w:tr w:rsidR="00D65DB8" w14:paraId="071C5660" w14:textId="77777777" w:rsidTr="00202A1C">
        <w:trPr>
          <w:trHeight w:val="225"/>
          <w:jc w:val="center"/>
        </w:trPr>
        <w:tc>
          <w:tcPr>
            <w:tcW w:w="2769" w:type="dxa"/>
            <w:shd w:val="clear" w:color="auto" w:fill="auto"/>
            <w:noWrap/>
            <w:vAlign w:val="bottom"/>
            <w:hideMark/>
          </w:tcPr>
          <w:p w14:paraId="245BBA07" w14:textId="77777777" w:rsidR="00FD0F71" w:rsidRPr="00FD0F71" w:rsidRDefault="00000000" w:rsidP="00C16D6A">
            <w:pPr>
              <w:spacing w:after="0" w:line="360" w:lineRule="auto"/>
              <w:jc w:val="center"/>
              <w:rPr>
                <w:rFonts w:ascii="Times New Roman" w:eastAsia="Times New Roman" w:hAnsi="Times New Roman" w:cs="Times New Roman"/>
                <w:b/>
                <w:bCs/>
                <w:sz w:val="24"/>
                <w:szCs w:val="24"/>
                <w:lang w:val="en-US"/>
              </w:rPr>
            </w:pPr>
            <w:r w:rsidRPr="00FD0F71">
              <w:rPr>
                <w:rFonts w:ascii="Times New Roman" w:eastAsia="Times New Roman" w:hAnsi="Times New Roman" w:cs="Times New Roman"/>
                <w:b/>
                <w:bCs/>
                <w:sz w:val="24"/>
                <w:szCs w:val="24"/>
                <w:lang w:val="en-US"/>
              </w:rPr>
              <w:t>Brands</w:t>
            </w:r>
          </w:p>
        </w:tc>
        <w:tc>
          <w:tcPr>
            <w:tcW w:w="6592" w:type="dxa"/>
            <w:gridSpan w:val="2"/>
            <w:shd w:val="clear" w:color="auto" w:fill="auto"/>
            <w:noWrap/>
            <w:vAlign w:val="bottom"/>
            <w:hideMark/>
          </w:tcPr>
          <w:p w14:paraId="6DFC6785" w14:textId="77777777" w:rsidR="00FD0F71" w:rsidRPr="00FD0F71" w:rsidRDefault="00000000" w:rsidP="00C16D6A">
            <w:pPr>
              <w:spacing w:after="0" w:line="360" w:lineRule="auto"/>
              <w:jc w:val="center"/>
              <w:rPr>
                <w:rFonts w:ascii="Times New Roman" w:eastAsia="Times New Roman" w:hAnsi="Times New Roman" w:cs="Times New Roman"/>
                <w:b/>
                <w:bCs/>
                <w:sz w:val="24"/>
                <w:szCs w:val="24"/>
                <w:lang w:val="en-US"/>
              </w:rPr>
            </w:pPr>
            <w:r w:rsidRPr="00FD0F71">
              <w:rPr>
                <w:rFonts w:ascii="Times New Roman" w:eastAsia="Times New Roman" w:hAnsi="Times New Roman" w:cs="Times New Roman"/>
                <w:b/>
                <w:bCs/>
                <w:sz w:val="24"/>
                <w:szCs w:val="24"/>
                <w:lang w:val="en-US"/>
              </w:rPr>
              <w:t>Value in million GBP</w:t>
            </w:r>
          </w:p>
        </w:tc>
      </w:tr>
      <w:tr w:rsidR="00D65DB8" w14:paraId="2E86E1FC" w14:textId="77777777" w:rsidTr="00202A1C">
        <w:trPr>
          <w:trHeight w:val="444"/>
          <w:jc w:val="center"/>
        </w:trPr>
        <w:tc>
          <w:tcPr>
            <w:tcW w:w="2769" w:type="dxa"/>
            <w:shd w:val="clear" w:color="000000" w:fill="FFFFFF"/>
            <w:vAlign w:val="center"/>
            <w:hideMark/>
          </w:tcPr>
          <w:p w14:paraId="652A5A7E"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Private Label</w:t>
            </w:r>
          </w:p>
        </w:tc>
        <w:tc>
          <w:tcPr>
            <w:tcW w:w="6126" w:type="dxa"/>
            <w:shd w:val="clear" w:color="000000" w:fill="FFFFFF"/>
            <w:noWrap/>
            <w:vAlign w:val="center"/>
            <w:hideMark/>
          </w:tcPr>
          <w:p w14:paraId="24DE87C4"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1,342.90</w:t>
            </w:r>
          </w:p>
        </w:tc>
        <w:tc>
          <w:tcPr>
            <w:tcW w:w="465" w:type="dxa"/>
            <w:shd w:val="clear" w:color="auto" w:fill="auto"/>
            <w:noWrap/>
            <w:vAlign w:val="bottom"/>
            <w:hideMark/>
          </w:tcPr>
          <w:p w14:paraId="080B2493"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5876428F" w14:textId="77777777" w:rsidTr="00202A1C">
        <w:trPr>
          <w:trHeight w:val="896"/>
          <w:jc w:val="center"/>
        </w:trPr>
        <w:tc>
          <w:tcPr>
            <w:tcW w:w="2769" w:type="dxa"/>
            <w:shd w:val="clear" w:color="000000" w:fill="F5F8FB"/>
            <w:vAlign w:val="center"/>
            <w:hideMark/>
          </w:tcPr>
          <w:p w14:paraId="07985E70"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Coca-Cola (non</w:t>
            </w:r>
            <w:r w:rsidR="00202A1C" w:rsidRPr="00E66711">
              <w:rPr>
                <w:rFonts w:ascii="Times New Roman" w:eastAsia="Times New Roman" w:hAnsi="Times New Roman" w:cs="Times New Roman"/>
                <w:sz w:val="24"/>
                <w:szCs w:val="24"/>
                <w:lang w:val="en-US"/>
              </w:rPr>
              <w:t>-</w:t>
            </w:r>
            <w:r w:rsidRPr="00FD0F71">
              <w:rPr>
                <w:rFonts w:ascii="Times New Roman" w:eastAsia="Times New Roman" w:hAnsi="Times New Roman" w:cs="Times New Roman"/>
                <w:sz w:val="24"/>
                <w:szCs w:val="24"/>
                <w:lang w:val="en-US"/>
              </w:rPr>
              <w:t>alcoholic beverages)</w:t>
            </w:r>
          </w:p>
        </w:tc>
        <w:tc>
          <w:tcPr>
            <w:tcW w:w="6126" w:type="dxa"/>
            <w:shd w:val="clear" w:color="000000" w:fill="F5F8FB"/>
            <w:noWrap/>
            <w:vAlign w:val="center"/>
            <w:hideMark/>
          </w:tcPr>
          <w:p w14:paraId="7B6B92A6"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896.4</w:t>
            </w:r>
          </w:p>
        </w:tc>
        <w:tc>
          <w:tcPr>
            <w:tcW w:w="465" w:type="dxa"/>
            <w:shd w:val="clear" w:color="auto" w:fill="auto"/>
            <w:noWrap/>
            <w:vAlign w:val="bottom"/>
            <w:hideMark/>
          </w:tcPr>
          <w:p w14:paraId="68E5F1B3"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65C375BE" w14:textId="77777777" w:rsidTr="00202A1C">
        <w:trPr>
          <w:trHeight w:val="662"/>
          <w:jc w:val="center"/>
        </w:trPr>
        <w:tc>
          <w:tcPr>
            <w:tcW w:w="2769" w:type="dxa"/>
            <w:shd w:val="clear" w:color="000000" w:fill="FFFFFF"/>
            <w:vAlign w:val="center"/>
            <w:hideMark/>
          </w:tcPr>
          <w:p w14:paraId="4BE43C51"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Pepsi (non</w:t>
            </w:r>
            <w:r w:rsidRPr="00E66711">
              <w:rPr>
                <w:rFonts w:ascii="Times New Roman" w:eastAsia="Times New Roman" w:hAnsi="Times New Roman" w:cs="Times New Roman"/>
                <w:sz w:val="24"/>
                <w:szCs w:val="24"/>
                <w:lang w:val="en-US"/>
              </w:rPr>
              <w:t>-</w:t>
            </w:r>
            <w:r w:rsidRPr="00FD0F71">
              <w:rPr>
                <w:rFonts w:ascii="Times New Roman" w:eastAsia="Times New Roman" w:hAnsi="Times New Roman" w:cs="Times New Roman"/>
                <w:sz w:val="24"/>
                <w:szCs w:val="24"/>
                <w:lang w:val="en-US"/>
              </w:rPr>
              <w:t>alcoholic beverages)</w:t>
            </w:r>
          </w:p>
        </w:tc>
        <w:tc>
          <w:tcPr>
            <w:tcW w:w="6126" w:type="dxa"/>
            <w:shd w:val="clear" w:color="000000" w:fill="FFFFFF"/>
            <w:noWrap/>
            <w:vAlign w:val="center"/>
            <w:hideMark/>
          </w:tcPr>
          <w:p w14:paraId="0DEADD80"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386.3</w:t>
            </w:r>
          </w:p>
        </w:tc>
        <w:tc>
          <w:tcPr>
            <w:tcW w:w="465" w:type="dxa"/>
            <w:shd w:val="clear" w:color="auto" w:fill="auto"/>
            <w:noWrap/>
            <w:vAlign w:val="bottom"/>
            <w:hideMark/>
          </w:tcPr>
          <w:p w14:paraId="06402476"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5B7E9997" w14:textId="77777777" w:rsidTr="00202A1C">
        <w:trPr>
          <w:trHeight w:val="225"/>
          <w:jc w:val="center"/>
        </w:trPr>
        <w:tc>
          <w:tcPr>
            <w:tcW w:w="2769" w:type="dxa"/>
            <w:shd w:val="clear" w:color="000000" w:fill="F5F8FB"/>
            <w:vAlign w:val="center"/>
            <w:hideMark/>
          </w:tcPr>
          <w:p w14:paraId="1688E0AE"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Innocent</w:t>
            </w:r>
          </w:p>
        </w:tc>
        <w:tc>
          <w:tcPr>
            <w:tcW w:w="6126" w:type="dxa"/>
            <w:shd w:val="clear" w:color="000000" w:fill="F5F8FB"/>
            <w:noWrap/>
            <w:vAlign w:val="center"/>
            <w:hideMark/>
          </w:tcPr>
          <w:p w14:paraId="1C2020D8"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247.5</w:t>
            </w:r>
          </w:p>
        </w:tc>
        <w:tc>
          <w:tcPr>
            <w:tcW w:w="465" w:type="dxa"/>
            <w:shd w:val="clear" w:color="auto" w:fill="auto"/>
            <w:noWrap/>
            <w:vAlign w:val="bottom"/>
            <w:hideMark/>
          </w:tcPr>
          <w:p w14:paraId="1798C9B3"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63834362" w14:textId="77777777" w:rsidTr="00202A1C">
        <w:trPr>
          <w:trHeight w:val="225"/>
          <w:jc w:val="center"/>
        </w:trPr>
        <w:tc>
          <w:tcPr>
            <w:tcW w:w="2769" w:type="dxa"/>
            <w:shd w:val="clear" w:color="000000" w:fill="FFFFFF"/>
            <w:vAlign w:val="center"/>
            <w:hideMark/>
          </w:tcPr>
          <w:p w14:paraId="22D70D39"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Lucozade</w:t>
            </w:r>
          </w:p>
        </w:tc>
        <w:tc>
          <w:tcPr>
            <w:tcW w:w="6126" w:type="dxa"/>
            <w:shd w:val="clear" w:color="000000" w:fill="FFFFFF"/>
            <w:noWrap/>
            <w:vAlign w:val="center"/>
            <w:hideMark/>
          </w:tcPr>
          <w:p w14:paraId="2F23159B"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235.1</w:t>
            </w:r>
          </w:p>
        </w:tc>
        <w:tc>
          <w:tcPr>
            <w:tcW w:w="465" w:type="dxa"/>
            <w:shd w:val="clear" w:color="auto" w:fill="auto"/>
            <w:noWrap/>
            <w:vAlign w:val="bottom"/>
            <w:hideMark/>
          </w:tcPr>
          <w:p w14:paraId="7000A33D"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44B36ABF" w14:textId="77777777" w:rsidTr="00202A1C">
        <w:trPr>
          <w:trHeight w:val="225"/>
          <w:jc w:val="center"/>
        </w:trPr>
        <w:tc>
          <w:tcPr>
            <w:tcW w:w="2769" w:type="dxa"/>
            <w:shd w:val="clear" w:color="000000" w:fill="F5F8FB"/>
            <w:vAlign w:val="center"/>
            <w:hideMark/>
          </w:tcPr>
          <w:p w14:paraId="3DBCF9EB"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Robinsons</w:t>
            </w:r>
          </w:p>
        </w:tc>
        <w:tc>
          <w:tcPr>
            <w:tcW w:w="6126" w:type="dxa"/>
            <w:shd w:val="clear" w:color="000000" w:fill="F5F8FB"/>
            <w:noWrap/>
            <w:vAlign w:val="center"/>
            <w:hideMark/>
          </w:tcPr>
          <w:p w14:paraId="15CC74C1"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218</w:t>
            </w:r>
          </w:p>
        </w:tc>
        <w:tc>
          <w:tcPr>
            <w:tcW w:w="465" w:type="dxa"/>
            <w:shd w:val="clear" w:color="auto" w:fill="auto"/>
            <w:noWrap/>
            <w:vAlign w:val="bottom"/>
            <w:hideMark/>
          </w:tcPr>
          <w:p w14:paraId="5FA7D56C"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36031F88" w14:textId="77777777" w:rsidTr="00202A1C">
        <w:trPr>
          <w:trHeight w:val="225"/>
          <w:jc w:val="center"/>
        </w:trPr>
        <w:tc>
          <w:tcPr>
            <w:tcW w:w="2769" w:type="dxa"/>
            <w:shd w:val="clear" w:color="000000" w:fill="FFFFFF"/>
            <w:vAlign w:val="center"/>
            <w:hideMark/>
          </w:tcPr>
          <w:p w14:paraId="32130B69"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Red Bull</w:t>
            </w:r>
          </w:p>
        </w:tc>
        <w:tc>
          <w:tcPr>
            <w:tcW w:w="6126" w:type="dxa"/>
            <w:shd w:val="clear" w:color="000000" w:fill="FFFFFF"/>
            <w:noWrap/>
            <w:vAlign w:val="center"/>
            <w:hideMark/>
          </w:tcPr>
          <w:p w14:paraId="1FA995CF"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145.9</w:t>
            </w:r>
          </w:p>
        </w:tc>
        <w:tc>
          <w:tcPr>
            <w:tcW w:w="465" w:type="dxa"/>
            <w:shd w:val="clear" w:color="auto" w:fill="auto"/>
            <w:noWrap/>
            <w:vAlign w:val="bottom"/>
            <w:hideMark/>
          </w:tcPr>
          <w:p w14:paraId="47E4F7CC"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0D3F968F" w14:textId="77777777" w:rsidTr="00202A1C">
        <w:trPr>
          <w:trHeight w:val="225"/>
          <w:jc w:val="center"/>
        </w:trPr>
        <w:tc>
          <w:tcPr>
            <w:tcW w:w="2769" w:type="dxa"/>
            <w:shd w:val="clear" w:color="000000" w:fill="F5F8FB"/>
            <w:vAlign w:val="center"/>
            <w:hideMark/>
          </w:tcPr>
          <w:p w14:paraId="30DD76C1"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Fanta</w:t>
            </w:r>
          </w:p>
        </w:tc>
        <w:tc>
          <w:tcPr>
            <w:tcW w:w="6126" w:type="dxa"/>
            <w:shd w:val="clear" w:color="000000" w:fill="F5F8FB"/>
            <w:noWrap/>
            <w:vAlign w:val="center"/>
            <w:hideMark/>
          </w:tcPr>
          <w:p w14:paraId="3B21957E"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123.5</w:t>
            </w:r>
          </w:p>
        </w:tc>
        <w:tc>
          <w:tcPr>
            <w:tcW w:w="465" w:type="dxa"/>
            <w:shd w:val="clear" w:color="auto" w:fill="auto"/>
            <w:noWrap/>
            <w:vAlign w:val="bottom"/>
            <w:hideMark/>
          </w:tcPr>
          <w:p w14:paraId="1270D247"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1A716D44" w14:textId="77777777" w:rsidTr="00202A1C">
        <w:trPr>
          <w:trHeight w:val="880"/>
          <w:jc w:val="center"/>
        </w:trPr>
        <w:tc>
          <w:tcPr>
            <w:tcW w:w="2769" w:type="dxa"/>
            <w:shd w:val="clear" w:color="000000" w:fill="FFFFFF"/>
            <w:vAlign w:val="center"/>
            <w:hideMark/>
          </w:tcPr>
          <w:p w14:paraId="5B7F983B"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Schweppes (</w:t>
            </w:r>
            <w:r w:rsidRPr="00E66711">
              <w:rPr>
                <w:rFonts w:ascii="Times New Roman" w:eastAsia="Times New Roman" w:hAnsi="Times New Roman" w:cs="Times New Roman"/>
                <w:sz w:val="24"/>
                <w:szCs w:val="24"/>
                <w:lang w:val="en-US"/>
              </w:rPr>
              <w:t>non-alcoholic</w:t>
            </w:r>
            <w:r w:rsidRPr="00FD0F71">
              <w:rPr>
                <w:rFonts w:ascii="Times New Roman" w:eastAsia="Times New Roman" w:hAnsi="Times New Roman" w:cs="Times New Roman"/>
                <w:sz w:val="24"/>
                <w:szCs w:val="24"/>
                <w:lang w:val="en-US"/>
              </w:rPr>
              <w:t xml:space="preserve"> beverages)</w:t>
            </w:r>
          </w:p>
        </w:tc>
        <w:tc>
          <w:tcPr>
            <w:tcW w:w="6126" w:type="dxa"/>
            <w:shd w:val="clear" w:color="000000" w:fill="FFFFFF"/>
            <w:noWrap/>
            <w:vAlign w:val="center"/>
            <w:hideMark/>
          </w:tcPr>
          <w:p w14:paraId="48FFF6AF"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114.7</w:t>
            </w:r>
          </w:p>
        </w:tc>
        <w:tc>
          <w:tcPr>
            <w:tcW w:w="465" w:type="dxa"/>
            <w:shd w:val="clear" w:color="auto" w:fill="auto"/>
            <w:noWrap/>
            <w:vAlign w:val="bottom"/>
            <w:hideMark/>
          </w:tcPr>
          <w:p w14:paraId="1EA77CF4"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r w:rsidR="00D65DB8" w14:paraId="433A0BBB" w14:textId="77777777" w:rsidTr="00202A1C">
        <w:trPr>
          <w:trHeight w:val="880"/>
          <w:jc w:val="center"/>
        </w:trPr>
        <w:tc>
          <w:tcPr>
            <w:tcW w:w="2769" w:type="dxa"/>
            <w:shd w:val="clear" w:color="000000" w:fill="F5F8FB"/>
            <w:vAlign w:val="center"/>
            <w:hideMark/>
          </w:tcPr>
          <w:p w14:paraId="0C798E44"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Fever-Tree (non</w:t>
            </w:r>
            <w:r w:rsidRPr="00E66711">
              <w:rPr>
                <w:rFonts w:ascii="Times New Roman" w:eastAsia="Times New Roman" w:hAnsi="Times New Roman" w:cs="Times New Roman"/>
                <w:sz w:val="24"/>
                <w:szCs w:val="24"/>
                <w:lang w:val="en-US"/>
              </w:rPr>
              <w:t>-</w:t>
            </w:r>
            <w:r w:rsidRPr="00FD0F71">
              <w:rPr>
                <w:rFonts w:ascii="Times New Roman" w:eastAsia="Times New Roman" w:hAnsi="Times New Roman" w:cs="Times New Roman"/>
                <w:sz w:val="24"/>
                <w:szCs w:val="24"/>
                <w:lang w:val="en-US"/>
              </w:rPr>
              <w:t>alcoholic beverages)</w:t>
            </w:r>
          </w:p>
        </w:tc>
        <w:tc>
          <w:tcPr>
            <w:tcW w:w="6126" w:type="dxa"/>
            <w:shd w:val="clear" w:color="000000" w:fill="F5F8FB"/>
            <w:noWrap/>
            <w:vAlign w:val="center"/>
            <w:hideMark/>
          </w:tcPr>
          <w:p w14:paraId="2E5381E6" w14:textId="77777777" w:rsidR="00FD0F71" w:rsidRPr="00FD0F71" w:rsidRDefault="00000000" w:rsidP="00C16D6A">
            <w:pPr>
              <w:spacing w:after="0" w:line="360" w:lineRule="auto"/>
              <w:jc w:val="center"/>
              <w:rPr>
                <w:rFonts w:ascii="Times New Roman" w:eastAsia="Times New Roman" w:hAnsi="Times New Roman" w:cs="Times New Roman"/>
                <w:sz w:val="24"/>
                <w:szCs w:val="24"/>
                <w:lang w:val="en-US"/>
              </w:rPr>
            </w:pPr>
            <w:r w:rsidRPr="00FD0F71">
              <w:rPr>
                <w:rFonts w:ascii="Times New Roman" w:eastAsia="Times New Roman" w:hAnsi="Times New Roman" w:cs="Times New Roman"/>
                <w:sz w:val="24"/>
                <w:szCs w:val="24"/>
                <w:lang w:val="en-US"/>
              </w:rPr>
              <w:t>113.9</w:t>
            </w:r>
          </w:p>
        </w:tc>
        <w:tc>
          <w:tcPr>
            <w:tcW w:w="465" w:type="dxa"/>
            <w:shd w:val="clear" w:color="auto" w:fill="auto"/>
            <w:noWrap/>
            <w:vAlign w:val="bottom"/>
            <w:hideMark/>
          </w:tcPr>
          <w:p w14:paraId="54AB1B10" w14:textId="77777777" w:rsidR="00FD0F71" w:rsidRPr="00FD0F71" w:rsidRDefault="00FD0F71" w:rsidP="00C16D6A">
            <w:pPr>
              <w:spacing w:after="0" w:line="360" w:lineRule="auto"/>
              <w:jc w:val="center"/>
              <w:rPr>
                <w:rFonts w:ascii="Times New Roman" w:eastAsia="Times New Roman" w:hAnsi="Times New Roman" w:cs="Times New Roman"/>
                <w:sz w:val="24"/>
                <w:szCs w:val="24"/>
                <w:lang w:val="en-US"/>
              </w:rPr>
            </w:pPr>
          </w:p>
        </w:tc>
      </w:tr>
    </w:tbl>
    <w:p w14:paraId="24E0D363" w14:textId="77777777" w:rsidR="009B463F"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Table 5: Grocery Sales value of different Brands in the UK in 2018</w:t>
      </w:r>
    </w:p>
    <w:p w14:paraId="601A3742" w14:textId="77777777" w:rsidR="00202A1C"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w:t>
      </w:r>
      <w:r w:rsidR="003A1774" w:rsidRPr="00E66711">
        <w:rPr>
          <w:rFonts w:ascii="Times New Roman" w:hAnsi="Times New Roman" w:cs="Times New Roman"/>
          <w:sz w:val="24"/>
          <w:szCs w:val="24"/>
        </w:rPr>
        <w:t xml:space="preserve">: </w:t>
      </w:r>
      <w:r w:rsidR="003A1774" w:rsidRPr="00E66711">
        <w:rPr>
          <w:rFonts w:ascii="Times New Roman" w:hAnsi="Times New Roman" w:cs="Times New Roman"/>
          <w:color w:val="000000" w:themeColor="text1"/>
          <w:sz w:val="24"/>
          <w:szCs w:val="24"/>
        </w:rPr>
        <w:t>Statista, 2022</w:t>
      </w:r>
      <w:r w:rsidRPr="00E66711">
        <w:rPr>
          <w:rFonts w:ascii="Times New Roman" w:hAnsi="Times New Roman" w:cs="Times New Roman"/>
          <w:sz w:val="24"/>
          <w:szCs w:val="24"/>
        </w:rPr>
        <w:t xml:space="preserve">) </w:t>
      </w:r>
    </w:p>
    <w:p w14:paraId="68C6C4F4" w14:textId="77777777" w:rsidR="00202A1C"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lastRenderedPageBreak/>
        <w:drawing>
          <wp:inline distT="0" distB="0" distL="0" distR="0" wp14:anchorId="52A07918" wp14:editId="71526695">
            <wp:extent cx="5731510" cy="3376930"/>
            <wp:effectExtent l="0" t="0" r="2540" b="13970"/>
            <wp:docPr id="5" name="Chart 5">
              <a:extLst xmlns:a="http://schemas.openxmlformats.org/drawingml/2006/main">
                <a:ext uri="{FF2B5EF4-FFF2-40B4-BE49-F238E27FC236}">
                  <a16:creationId xmlns:a16="http://schemas.microsoft.com/office/drawing/2014/main" id="{7448E0BD-6F3B-B964-EED0-EE14286614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7EA6A6" w14:textId="77777777" w:rsidR="00202A1C"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5: Pie-chart of grocery sales valuation</w:t>
      </w:r>
    </w:p>
    <w:p w14:paraId="11CBF843" w14:textId="77777777" w:rsidR="00202A1C"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58FFE087" w14:textId="77777777" w:rsidR="00E01A8F"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This figure depicts that after private labelers, Coca-Cola has the largest share of the Pie which indicates the preference of the consumers in the UK. This is the reason why the demand for Coca-Cola's soft drinks and sales increased in 2019 than 2018 and 2017. </w:t>
      </w:r>
    </w:p>
    <w:p w14:paraId="6B55921A" w14:textId="77777777" w:rsidR="00202A1C" w:rsidRPr="00E66711" w:rsidRDefault="00000000" w:rsidP="00C16D6A">
      <w:pPr>
        <w:pStyle w:val="Heading3"/>
        <w:spacing w:line="360" w:lineRule="auto"/>
        <w:rPr>
          <w:rFonts w:cs="Times New Roman"/>
        </w:rPr>
      </w:pPr>
      <w:bookmarkStart w:id="18" w:name="_Toc110686860"/>
      <w:bookmarkStart w:id="19" w:name="_Toc110689175"/>
      <w:r w:rsidRPr="00E66711">
        <w:rPr>
          <w:rFonts w:cs="Times New Roman"/>
        </w:rPr>
        <w:t>Future price expectations of the consumers</w:t>
      </w:r>
      <w:bookmarkEnd w:id="18"/>
      <w:bookmarkEnd w:id="19"/>
    </w:p>
    <w:p w14:paraId="4CD2E156" w14:textId="77777777" w:rsidR="00E01A8F"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 demand for a good depends on how the consumers are expecting the price to be in the future. If they assume keeping an eye on certain market behaviors that the price can rise in the future, the demand for the respective good will increase now and the o</w:t>
      </w:r>
      <w:r w:rsidR="003C032F" w:rsidRPr="00E66711">
        <w:rPr>
          <w:rFonts w:ascii="Times New Roman" w:hAnsi="Times New Roman" w:cs="Times New Roman"/>
          <w:sz w:val="24"/>
          <w:szCs w:val="24"/>
        </w:rPr>
        <w:t>pposite will happen if the perception of people is that the price can fall in the future</w:t>
      </w:r>
      <w:r w:rsidR="00C16D6A" w:rsidRPr="00E66711">
        <w:rPr>
          <w:rFonts w:ascii="Times New Roman" w:hAnsi="Times New Roman" w:cs="Times New Roman"/>
          <w:sz w:val="24"/>
          <w:szCs w:val="24"/>
        </w:rPr>
        <w:t xml:space="preserve"> (</w:t>
      </w:r>
      <w:r w:rsidR="00C16D6A" w:rsidRPr="00E66711">
        <w:rPr>
          <w:rFonts w:ascii="Times New Roman" w:hAnsi="Times New Roman" w:cs="Times New Roman"/>
          <w:color w:val="000000" w:themeColor="text1"/>
          <w:sz w:val="24"/>
          <w:szCs w:val="24"/>
          <w:shd w:val="clear" w:color="auto" w:fill="FFFFFF"/>
        </w:rPr>
        <w:t>Stürner, 2021)</w:t>
      </w:r>
      <w:r w:rsidR="003C032F" w:rsidRPr="00E66711">
        <w:rPr>
          <w:rFonts w:ascii="Times New Roman" w:hAnsi="Times New Roman" w:cs="Times New Roman"/>
          <w:sz w:val="24"/>
          <w:szCs w:val="24"/>
        </w:rPr>
        <w:t xml:space="preserve">. </w:t>
      </w:r>
    </w:p>
    <w:p w14:paraId="511B7DAD" w14:textId="77777777" w:rsidR="003C032F"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Here in the UK, as inflation and fuel prices are increasing rapidly, people are very much sure that the price of Coca-Cola's soft drinks will increase in the future. But this is not a high-valued product so the demand will not rise by a high ratio but it will increase to some extent.</w:t>
      </w:r>
    </w:p>
    <w:p w14:paraId="26B14318" w14:textId="77777777" w:rsidR="003C032F" w:rsidRPr="00E66711" w:rsidRDefault="00000000" w:rsidP="00C16D6A">
      <w:pPr>
        <w:pStyle w:val="Heading3"/>
        <w:spacing w:line="360" w:lineRule="auto"/>
        <w:rPr>
          <w:rFonts w:cs="Times New Roman"/>
        </w:rPr>
      </w:pPr>
      <w:bookmarkStart w:id="20" w:name="_Toc110686861"/>
      <w:bookmarkStart w:id="21" w:name="_Toc110689176"/>
      <w:r w:rsidRPr="00E66711">
        <w:rPr>
          <w:rFonts w:cs="Times New Roman"/>
        </w:rPr>
        <w:t>Number of consumers</w:t>
      </w:r>
      <w:bookmarkEnd w:id="20"/>
      <w:bookmarkEnd w:id="21"/>
    </w:p>
    <w:p w14:paraId="7967C31C" w14:textId="77777777" w:rsidR="003C032F"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If the number of consumers increases, the demand will increase as well and vice-versa. </w:t>
      </w:r>
      <w:r w:rsidR="00FA7844" w:rsidRPr="00E66711">
        <w:rPr>
          <w:rFonts w:ascii="Times New Roman" w:hAnsi="Times New Roman" w:cs="Times New Roman"/>
          <w:sz w:val="24"/>
          <w:szCs w:val="24"/>
        </w:rPr>
        <w:t xml:space="preserve">In the UK, around 13.3 million people consume the original soft drinks of Coca-Cola and around 9.6 million consume </w:t>
      </w:r>
      <w:r w:rsidR="00900460" w:rsidRPr="00E66711">
        <w:rPr>
          <w:rFonts w:ascii="Times New Roman" w:hAnsi="Times New Roman" w:cs="Times New Roman"/>
          <w:sz w:val="24"/>
          <w:szCs w:val="24"/>
        </w:rPr>
        <w:t>Diet Coke. This number has increased than 2020 which was said to be a year of fewer sales and loss of customers</w:t>
      </w:r>
      <w:r w:rsidR="00AD77A4" w:rsidRPr="00E66711">
        <w:rPr>
          <w:rFonts w:ascii="Times New Roman" w:hAnsi="Times New Roman" w:cs="Times New Roman"/>
          <w:sz w:val="24"/>
          <w:szCs w:val="24"/>
        </w:rPr>
        <w:t xml:space="preserve">. So, the company will also expect to see a rise in demand </w:t>
      </w:r>
      <w:r w:rsidR="00AD77A4" w:rsidRPr="00E66711">
        <w:rPr>
          <w:rFonts w:ascii="Times New Roman" w:hAnsi="Times New Roman" w:cs="Times New Roman"/>
          <w:sz w:val="24"/>
          <w:szCs w:val="24"/>
        </w:rPr>
        <w:lastRenderedPageBreak/>
        <w:t xml:space="preserve">and sales. The figure has already been shown in the above factors in terms of sales and net income of Coca-Cola. </w:t>
      </w:r>
    </w:p>
    <w:p w14:paraId="1CB50FBF" w14:textId="77777777" w:rsidR="006337D0" w:rsidRPr="00E66711" w:rsidRDefault="00000000" w:rsidP="00C16D6A">
      <w:pPr>
        <w:pStyle w:val="Heading1"/>
        <w:spacing w:line="360" w:lineRule="auto"/>
        <w:rPr>
          <w:rFonts w:cs="Times New Roman"/>
          <w:szCs w:val="24"/>
        </w:rPr>
      </w:pPr>
      <w:bookmarkStart w:id="22" w:name="_Toc110686862"/>
      <w:bookmarkStart w:id="23" w:name="_Toc110689177"/>
      <w:r w:rsidRPr="00E66711">
        <w:rPr>
          <w:rFonts w:cs="Times New Roman"/>
          <w:szCs w:val="24"/>
        </w:rPr>
        <w:t>Impact of substitution and income effects and pricing policy of the chosen business</w:t>
      </w:r>
      <w:bookmarkEnd w:id="22"/>
      <w:bookmarkEnd w:id="23"/>
    </w:p>
    <w:p w14:paraId="6929CE8D" w14:textId="77777777" w:rsidR="00AD77A4" w:rsidRPr="00E66711" w:rsidRDefault="00000000" w:rsidP="00C16D6A">
      <w:pPr>
        <w:pStyle w:val="Heading2"/>
        <w:spacing w:line="360" w:lineRule="auto"/>
        <w:rPr>
          <w:rFonts w:cs="Times New Roman"/>
          <w:szCs w:val="24"/>
        </w:rPr>
      </w:pPr>
      <w:bookmarkStart w:id="24" w:name="_Toc110686863"/>
      <w:bookmarkStart w:id="25" w:name="_Toc110689178"/>
      <w:r w:rsidRPr="00E66711">
        <w:rPr>
          <w:rFonts w:cs="Times New Roman"/>
          <w:szCs w:val="24"/>
        </w:rPr>
        <w:t>Substitution effect on the price elasticity of demand</w:t>
      </w:r>
      <w:bookmarkEnd w:id="24"/>
      <w:bookmarkEnd w:id="25"/>
    </w:p>
    <w:p w14:paraId="03E5F1F6" w14:textId="77777777" w:rsidR="00C61D75"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 substitution effect shows the impact of substitutability of products on the price elasticity of demand. It shows the nature of the demand curve of a product if a consumer switches from one commodity to another. When the price of a product rises, then people would generally switch to the alternative brand as he is getting almost the same quality and quantity but at a less price</w:t>
      </w:r>
      <w:r w:rsidR="00C16D6A" w:rsidRPr="00E66711">
        <w:rPr>
          <w:rFonts w:ascii="Times New Roman" w:hAnsi="Times New Roman" w:cs="Times New Roman"/>
          <w:sz w:val="24"/>
          <w:szCs w:val="24"/>
        </w:rPr>
        <w:t xml:space="preserve"> (</w:t>
      </w:r>
      <w:r w:rsidR="00C16D6A" w:rsidRPr="00E66711">
        <w:rPr>
          <w:rFonts w:ascii="Times New Roman" w:hAnsi="Times New Roman" w:cs="Times New Roman"/>
          <w:color w:val="000000" w:themeColor="text1"/>
          <w:sz w:val="24"/>
          <w:szCs w:val="24"/>
          <w:shd w:val="clear" w:color="auto" w:fill="FFFFFF"/>
        </w:rPr>
        <w:t xml:space="preserve">Brækkan </w:t>
      </w:r>
      <w:r w:rsidR="00C16D6A" w:rsidRPr="00E66711">
        <w:rPr>
          <w:rFonts w:ascii="Times New Roman" w:hAnsi="Times New Roman" w:cs="Times New Roman"/>
          <w:i/>
          <w:iCs/>
          <w:color w:val="000000" w:themeColor="text1"/>
          <w:sz w:val="24"/>
          <w:szCs w:val="24"/>
          <w:shd w:val="clear" w:color="auto" w:fill="FFFFFF"/>
        </w:rPr>
        <w:t>et a</w:t>
      </w:r>
      <w:r w:rsidR="00C16D6A" w:rsidRPr="00E66711">
        <w:rPr>
          <w:rFonts w:ascii="Times New Roman" w:hAnsi="Times New Roman" w:cs="Times New Roman"/>
          <w:color w:val="000000" w:themeColor="text1"/>
          <w:sz w:val="24"/>
          <w:szCs w:val="24"/>
          <w:shd w:val="clear" w:color="auto" w:fill="FFFFFF"/>
        </w:rPr>
        <w:t>l, 2018)</w:t>
      </w:r>
      <w:r w:rsidRPr="00E66711">
        <w:rPr>
          <w:rFonts w:ascii="Times New Roman" w:hAnsi="Times New Roman" w:cs="Times New Roman"/>
          <w:sz w:val="24"/>
          <w:szCs w:val="24"/>
        </w:rPr>
        <w:t>.</w:t>
      </w:r>
    </w:p>
    <w:p w14:paraId="27800BB6" w14:textId="77777777" w:rsidR="00D60B8D"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PepsiCo. is said to be the best substitute for Coca-Cola's soft drinks in the UK. So, generally, if the price of Coca-Cola's soft drinks increases then PepsiCo. will see an increase in the demand for its cold drinks. The price elasticity of demand is a bit different. It shows the response of a consumer when the price of that respective product changes. Coca-Cola is neither an essential commodity nor a high-priced good. In recent times both Coca-Cola and PepsiCo. have increased the prices of their cold drinks to mitigate high inflation challenges.</w:t>
      </w:r>
    </w:p>
    <w:tbl>
      <w:tblPr>
        <w:tblW w:w="95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1"/>
        <w:gridCol w:w="3659"/>
        <w:gridCol w:w="3682"/>
      </w:tblGrid>
      <w:tr w:rsidR="00D65DB8" w14:paraId="0EE5DC9E" w14:textId="77777777" w:rsidTr="00D60B8D">
        <w:trPr>
          <w:trHeight w:val="283"/>
          <w:jc w:val="center"/>
        </w:trPr>
        <w:tc>
          <w:tcPr>
            <w:tcW w:w="2191" w:type="dxa"/>
            <w:shd w:val="clear" w:color="auto" w:fill="auto"/>
            <w:noWrap/>
            <w:vAlign w:val="bottom"/>
            <w:hideMark/>
          </w:tcPr>
          <w:p w14:paraId="764E186F" w14:textId="77777777" w:rsidR="00D60B8D" w:rsidRPr="00D60B8D" w:rsidRDefault="00000000" w:rsidP="00C16D6A">
            <w:pPr>
              <w:spacing w:after="0" w:line="360" w:lineRule="auto"/>
              <w:rPr>
                <w:rFonts w:ascii="Times New Roman" w:eastAsia="Times New Roman" w:hAnsi="Times New Roman" w:cs="Times New Roman"/>
                <w:b/>
                <w:bCs/>
                <w:color w:val="000000"/>
                <w:sz w:val="24"/>
                <w:szCs w:val="24"/>
                <w:lang w:val="en-US"/>
              </w:rPr>
            </w:pPr>
            <w:r w:rsidRPr="00D60B8D">
              <w:rPr>
                <w:rFonts w:ascii="Times New Roman" w:eastAsia="Times New Roman" w:hAnsi="Times New Roman" w:cs="Times New Roman"/>
                <w:b/>
                <w:bCs/>
                <w:color w:val="000000"/>
                <w:sz w:val="24"/>
                <w:szCs w:val="24"/>
                <w:lang w:val="en-US"/>
              </w:rPr>
              <w:t xml:space="preserve">Company </w:t>
            </w:r>
          </w:p>
        </w:tc>
        <w:tc>
          <w:tcPr>
            <w:tcW w:w="3659" w:type="dxa"/>
            <w:shd w:val="clear" w:color="auto" w:fill="auto"/>
            <w:noWrap/>
            <w:vAlign w:val="bottom"/>
            <w:hideMark/>
          </w:tcPr>
          <w:p w14:paraId="2D0C59EE" w14:textId="77777777" w:rsidR="00D60B8D" w:rsidRPr="00D60B8D" w:rsidRDefault="00000000" w:rsidP="00C16D6A">
            <w:pPr>
              <w:spacing w:after="0" w:line="360" w:lineRule="auto"/>
              <w:rPr>
                <w:rFonts w:ascii="Times New Roman" w:eastAsia="Times New Roman" w:hAnsi="Times New Roman" w:cs="Times New Roman"/>
                <w:b/>
                <w:bCs/>
                <w:color w:val="000000"/>
                <w:sz w:val="24"/>
                <w:szCs w:val="24"/>
                <w:lang w:val="en-US"/>
              </w:rPr>
            </w:pPr>
            <w:r w:rsidRPr="00D60B8D">
              <w:rPr>
                <w:rFonts w:ascii="Times New Roman" w:eastAsia="Times New Roman" w:hAnsi="Times New Roman" w:cs="Times New Roman"/>
                <w:b/>
                <w:bCs/>
                <w:color w:val="000000"/>
                <w:sz w:val="24"/>
                <w:szCs w:val="24"/>
                <w:lang w:val="en-US"/>
              </w:rPr>
              <w:t>Price in 2018 (£)</w:t>
            </w:r>
          </w:p>
        </w:tc>
        <w:tc>
          <w:tcPr>
            <w:tcW w:w="3682" w:type="dxa"/>
            <w:shd w:val="clear" w:color="auto" w:fill="auto"/>
            <w:noWrap/>
            <w:vAlign w:val="bottom"/>
            <w:hideMark/>
          </w:tcPr>
          <w:p w14:paraId="4DE2BFD3" w14:textId="77777777" w:rsidR="00D60B8D" w:rsidRPr="00D60B8D" w:rsidRDefault="00000000" w:rsidP="00C16D6A">
            <w:pPr>
              <w:spacing w:after="0" w:line="360" w:lineRule="auto"/>
              <w:rPr>
                <w:rFonts w:ascii="Times New Roman" w:eastAsia="Times New Roman" w:hAnsi="Times New Roman" w:cs="Times New Roman"/>
                <w:b/>
                <w:bCs/>
                <w:color w:val="000000"/>
                <w:sz w:val="24"/>
                <w:szCs w:val="24"/>
                <w:lang w:val="en-US"/>
              </w:rPr>
            </w:pPr>
            <w:r w:rsidRPr="00D60B8D">
              <w:rPr>
                <w:rFonts w:ascii="Times New Roman" w:eastAsia="Times New Roman" w:hAnsi="Times New Roman" w:cs="Times New Roman"/>
                <w:b/>
                <w:bCs/>
                <w:color w:val="000000"/>
                <w:sz w:val="24"/>
                <w:szCs w:val="24"/>
                <w:lang w:val="en-US"/>
              </w:rPr>
              <w:t>Price in 2019 (£)</w:t>
            </w:r>
          </w:p>
        </w:tc>
      </w:tr>
      <w:tr w:rsidR="00D65DB8" w14:paraId="2778D11A" w14:textId="77777777" w:rsidTr="00D60B8D">
        <w:trPr>
          <w:trHeight w:val="283"/>
          <w:jc w:val="center"/>
        </w:trPr>
        <w:tc>
          <w:tcPr>
            <w:tcW w:w="2191" w:type="dxa"/>
            <w:shd w:val="clear" w:color="auto" w:fill="auto"/>
            <w:noWrap/>
            <w:vAlign w:val="bottom"/>
            <w:hideMark/>
          </w:tcPr>
          <w:p w14:paraId="234D6082"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Coca-Cola (1.5 Litre)</w:t>
            </w:r>
          </w:p>
        </w:tc>
        <w:tc>
          <w:tcPr>
            <w:tcW w:w="3659" w:type="dxa"/>
            <w:shd w:val="clear" w:color="auto" w:fill="auto"/>
            <w:noWrap/>
            <w:vAlign w:val="bottom"/>
            <w:hideMark/>
          </w:tcPr>
          <w:p w14:paraId="6A7C1D29"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1.93</w:t>
            </w:r>
          </w:p>
        </w:tc>
        <w:tc>
          <w:tcPr>
            <w:tcW w:w="3682" w:type="dxa"/>
            <w:shd w:val="clear" w:color="auto" w:fill="auto"/>
            <w:noWrap/>
            <w:vAlign w:val="bottom"/>
            <w:hideMark/>
          </w:tcPr>
          <w:p w14:paraId="3677A81A"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1.99</w:t>
            </w:r>
          </w:p>
        </w:tc>
      </w:tr>
      <w:tr w:rsidR="00D65DB8" w14:paraId="3C0B95A2" w14:textId="77777777" w:rsidTr="00D60B8D">
        <w:trPr>
          <w:trHeight w:val="283"/>
          <w:jc w:val="center"/>
        </w:trPr>
        <w:tc>
          <w:tcPr>
            <w:tcW w:w="2191" w:type="dxa"/>
            <w:shd w:val="clear" w:color="auto" w:fill="auto"/>
            <w:noWrap/>
            <w:vAlign w:val="bottom"/>
            <w:hideMark/>
          </w:tcPr>
          <w:p w14:paraId="60FA9C3F"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Pepsi (1.5 Litre)</w:t>
            </w:r>
          </w:p>
        </w:tc>
        <w:tc>
          <w:tcPr>
            <w:tcW w:w="3659" w:type="dxa"/>
            <w:shd w:val="clear" w:color="auto" w:fill="auto"/>
            <w:noWrap/>
            <w:vAlign w:val="bottom"/>
            <w:hideMark/>
          </w:tcPr>
          <w:p w14:paraId="094919DF"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1.36</w:t>
            </w:r>
          </w:p>
        </w:tc>
        <w:tc>
          <w:tcPr>
            <w:tcW w:w="3682" w:type="dxa"/>
            <w:shd w:val="clear" w:color="auto" w:fill="auto"/>
            <w:noWrap/>
            <w:vAlign w:val="bottom"/>
            <w:hideMark/>
          </w:tcPr>
          <w:p w14:paraId="54723296"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1.39</w:t>
            </w:r>
          </w:p>
        </w:tc>
      </w:tr>
      <w:tr w:rsidR="00D65DB8" w14:paraId="401048DA" w14:textId="77777777" w:rsidTr="00D60B8D">
        <w:trPr>
          <w:trHeight w:val="283"/>
          <w:jc w:val="center"/>
        </w:trPr>
        <w:tc>
          <w:tcPr>
            <w:tcW w:w="2191" w:type="dxa"/>
            <w:shd w:val="clear" w:color="auto" w:fill="auto"/>
            <w:noWrap/>
            <w:vAlign w:val="bottom"/>
            <w:hideMark/>
          </w:tcPr>
          <w:p w14:paraId="23784C55"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Coca-Cola (2 Litre)</w:t>
            </w:r>
          </w:p>
        </w:tc>
        <w:tc>
          <w:tcPr>
            <w:tcW w:w="3659" w:type="dxa"/>
            <w:shd w:val="clear" w:color="auto" w:fill="auto"/>
            <w:noWrap/>
            <w:vAlign w:val="bottom"/>
            <w:hideMark/>
          </w:tcPr>
          <w:p w14:paraId="5915229B"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1.74</w:t>
            </w:r>
          </w:p>
        </w:tc>
        <w:tc>
          <w:tcPr>
            <w:tcW w:w="3682" w:type="dxa"/>
            <w:shd w:val="clear" w:color="auto" w:fill="auto"/>
            <w:noWrap/>
            <w:vAlign w:val="bottom"/>
            <w:hideMark/>
          </w:tcPr>
          <w:p w14:paraId="1ADD8A53"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1.9</w:t>
            </w:r>
          </w:p>
        </w:tc>
      </w:tr>
      <w:tr w:rsidR="00D65DB8" w14:paraId="33451B02" w14:textId="77777777" w:rsidTr="00D60B8D">
        <w:trPr>
          <w:trHeight w:val="283"/>
          <w:jc w:val="center"/>
        </w:trPr>
        <w:tc>
          <w:tcPr>
            <w:tcW w:w="2191" w:type="dxa"/>
            <w:shd w:val="clear" w:color="auto" w:fill="auto"/>
            <w:noWrap/>
            <w:vAlign w:val="bottom"/>
            <w:hideMark/>
          </w:tcPr>
          <w:p w14:paraId="4BC79D99"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Pepsi (2 Litre)</w:t>
            </w:r>
          </w:p>
        </w:tc>
        <w:tc>
          <w:tcPr>
            <w:tcW w:w="3659" w:type="dxa"/>
            <w:shd w:val="clear" w:color="auto" w:fill="auto"/>
            <w:noWrap/>
            <w:vAlign w:val="bottom"/>
            <w:hideMark/>
          </w:tcPr>
          <w:p w14:paraId="43F5DE95"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1.55</w:t>
            </w:r>
          </w:p>
        </w:tc>
        <w:tc>
          <w:tcPr>
            <w:tcW w:w="3682" w:type="dxa"/>
            <w:shd w:val="clear" w:color="auto" w:fill="auto"/>
            <w:noWrap/>
            <w:vAlign w:val="bottom"/>
            <w:hideMark/>
          </w:tcPr>
          <w:p w14:paraId="4A68D877"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1.66</w:t>
            </w:r>
          </w:p>
        </w:tc>
      </w:tr>
      <w:tr w:rsidR="00D65DB8" w14:paraId="3E99FFFC" w14:textId="77777777" w:rsidTr="00D60B8D">
        <w:trPr>
          <w:trHeight w:val="283"/>
          <w:jc w:val="center"/>
        </w:trPr>
        <w:tc>
          <w:tcPr>
            <w:tcW w:w="2191" w:type="dxa"/>
            <w:shd w:val="clear" w:color="auto" w:fill="auto"/>
            <w:noWrap/>
            <w:vAlign w:val="bottom"/>
            <w:hideMark/>
          </w:tcPr>
          <w:p w14:paraId="7D29E407"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Coca-Cola (0.5 Litre)</w:t>
            </w:r>
          </w:p>
        </w:tc>
        <w:tc>
          <w:tcPr>
            <w:tcW w:w="3659" w:type="dxa"/>
            <w:shd w:val="clear" w:color="auto" w:fill="auto"/>
            <w:noWrap/>
            <w:vAlign w:val="bottom"/>
            <w:hideMark/>
          </w:tcPr>
          <w:p w14:paraId="4B1DEB9C"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1.45</w:t>
            </w:r>
          </w:p>
        </w:tc>
        <w:tc>
          <w:tcPr>
            <w:tcW w:w="3682" w:type="dxa"/>
            <w:shd w:val="clear" w:color="auto" w:fill="auto"/>
            <w:noWrap/>
            <w:vAlign w:val="bottom"/>
            <w:hideMark/>
          </w:tcPr>
          <w:p w14:paraId="55E49E4E"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1.48</w:t>
            </w:r>
          </w:p>
        </w:tc>
      </w:tr>
      <w:tr w:rsidR="00D65DB8" w14:paraId="7655014B" w14:textId="77777777" w:rsidTr="00D60B8D">
        <w:trPr>
          <w:trHeight w:val="283"/>
          <w:jc w:val="center"/>
        </w:trPr>
        <w:tc>
          <w:tcPr>
            <w:tcW w:w="2191" w:type="dxa"/>
            <w:shd w:val="clear" w:color="auto" w:fill="auto"/>
            <w:noWrap/>
            <w:vAlign w:val="bottom"/>
            <w:hideMark/>
          </w:tcPr>
          <w:p w14:paraId="34FE44BC" w14:textId="77777777" w:rsidR="00D60B8D" w:rsidRPr="00D60B8D" w:rsidRDefault="00000000" w:rsidP="00C16D6A">
            <w:pPr>
              <w:spacing w:after="0" w:line="360" w:lineRule="auto"/>
              <w:rPr>
                <w:rFonts w:ascii="Times New Roman" w:eastAsia="Times New Roman" w:hAnsi="Times New Roman" w:cs="Times New Roman"/>
                <w:color w:val="000000"/>
                <w:sz w:val="24"/>
                <w:szCs w:val="24"/>
                <w:lang w:val="en-US"/>
              </w:rPr>
            </w:pPr>
            <w:r w:rsidRPr="00E66711">
              <w:rPr>
                <w:rFonts w:ascii="Times New Roman" w:eastAsia="Times New Roman" w:hAnsi="Times New Roman" w:cs="Times New Roman"/>
                <w:color w:val="000000"/>
                <w:sz w:val="24"/>
                <w:szCs w:val="24"/>
                <w:lang w:val="en-US"/>
              </w:rPr>
              <w:t>Pepsi</w:t>
            </w:r>
            <w:r w:rsidRPr="00D60B8D">
              <w:rPr>
                <w:rFonts w:ascii="Times New Roman" w:eastAsia="Times New Roman" w:hAnsi="Times New Roman" w:cs="Times New Roman"/>
                <w:color w:val="000000"/>
                <w:sz w:val="24"/>
                <w:szCs w:val="24"/>
                <w:lang w:val="en-US"/>
              </w:rPr>
              <w:t xml:space="preserve"> (0.5 Litre)</w:t>
            </w:r>
          </w:p>
        </w:tc>
        <w:tc>
          <w:tcPr>
            <w:tcW w:w="3659" w:type="dxa"/>
            <w:shd w:val="clear" w:color="auto" w:fill="auto"/>
            <w:noWrap/>
            <w:vAlign w:val="bottom"/>
            <w:hideMark/>
          </w:tcPr>
          <w:p w14:paraId="199FA023"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1.28</w:t>
            </w:r>
          </w:p>
        </w:tc>
        <w:tc>
          <w:tcPr>
            <w:tcW w:w="3682" w:type="dxa"/>
            <w:shd w:val="clear" w:color="auto" w:fill="auto"/>
            <w:noWrap/>
            <w:vAlign w:val="bottom"/>
            <w:hideMark/>
          </w:tcPr>
          <w:p w14:paraId="1BCF2F44" w14:textId="77777777" w:rsidR="00D60B8D" w:rsidRPr="00D60B8D" w:rsidRDefault="00000000" w:rsidP="00C16D6A">
            <w:pPr>
              <w:spacing w:after="0" w:line="360" w:lineRule="auto"/>
              <w:jc w:val="right"/>
              <w:rPr>
                <w:rFonts w:ascii="Times New Roman" w:eastAsia="Times New Roman" w:hAnsi="Times New Roman" w:cs="Times New Roman"/>
                <w:color w:val="000000"/>
                <w:sz w:val="24"/>
                <w:szCs w:val="24"/>
                <w:lang w:val="en-US"/>
              </w:rPr>
            </w:pPr>
            <w:r w:rsidRPr="00D60B8D">
              <w:rPr>
                <w:rFonts w:ascii="Times New Roman" w:eastAsia="Times New Roman" w:hAnsi="Times New Roman" w:cs="Times New Roman"/>
                <w:color w:val="000000"/>
                <w:sz w:val="24"/>
                <w:szCs w:val="24"/>
                <w:lang w:val="en-US"/>
              </w:rPr>
              <w:t>1.32</w:t>
            </w:r>
          </w:p>
        </w:tc>
      </w:tr>
    </w:tbl>
    <w:p w14:paraId="361F7FED" w14:textId="77777777" w:rsidR="00D60B8D"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6: Prices of Coca-Cola soft drinks in 2018 and 2019</w:t>
      </w:r>
    </w:p>
    <w:p w14:paraId="717B6D4E" w14:textId="77777777" w:rsidR="00D60B8D"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w:t>
      </w:r>
      <w:r w:rsidR="003A1774" w:rsidRPr="00E66711">
        <w:rPr>
          <w:rFonts w:ascii="Times New Roman" w:hAnsi="Times New Roman" w:cs="Times New Roman"/>
          <w:color w:val="000000" w:themeColor="text1"/>
          <w:sz w:val="24"/>
          <w:szCs w:val="24"/>
        </w:rPr>
        <w:t xml:space="preserve"> The Sun, 2022</w:t>
      </w:r>
      <w:r w:rsidRPr="00E66711">
        <w:rPr>
          <w:rFonts w:ascii="Times New Roman" w:hAnsi="Times New Roman" w:cs="Times New Roman"/>
          <w:sz w:val="24"/>
          <w:szCs w:val="24"/>
        </w:rPr>
        <w:t>)</w:t>
      </w:r>
    </w:p>
    <w:p w14:paraId="271D2ABF" w14:textId="77777777" w:rsidR="00D60B8D"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lastRenderedPageBreak/>
        <w:drawing>
          <wp:inline distT="0" distB="0" distL="0" distR="0" wp14:anchorId="01364C4E" wp14:editId="1B1A0EA6">
            <wp:extent cx="4815840" cy="2762250"/>
            <wp:effectExtent l="0" t="0" r="3810" b="0"/>
            <wp:docPr id="6" name="Chart 6">
              <a:extLst xmlns:a="http://schemas.openxmlformats.org/drawingml/2006/main">
                <a:ext uri="{FF2B5EF4-FFF2-40B4-BE49-F238E27FC236}">
                  <a16:creationId xmlns:a16="http://schemas.microsoft.com/office/drawing/2014/main" id="{95FAA941-9D3F-F68D-58DC-0116397B3D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E66711">
        <w:rPr>
          <w:rFonts w:ascii="Times New Roman" w:hAnsi="Times New Roman" w:cs="Times New Roman"/>
          <w:sz w:val="24"/>
          <w:szCs w:val="24"/>
        </w:rPr>
        <w:t xml:space="preserve"> </w:t>
      </w:r>
    </w:p>
    <w:p w14:paraId="24FD99F6" w14:textId="77777777" w:rsidR="00D60B8D"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Fig. 6: Trendline of Coca-Cola and Pepsi in 2018 and 2019</w:t>
      </w:r>
    </w:p>
    <w:p w14:paraId="30082B2A" w14:textId="77777777" w:rsidR="00D60B8D"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446CB7F5" w14:textId="77777777" w:rsidR="00BC7AE9"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Here, the differences in each level prices of 2018 and 2019 are said to be higher for Coca-Cola than PepsiCo., that is the Pepsi company has increased the price of its soft drinks in less proportion than Coca-Cola. This will influence the consumers to switch to Pepsi from Coca-Cola and the demand price elasticity of Coca-Cola’s soft drinks will become more elastic. </w:t>
      </w:r>
    </w:p>
    <w:p w14:paraId="19DA19B5" w14:textId="77777777" w:rsidR="00BC7AE9" w:rsidRPr="00E66711" w:rsidRDefault="00000000" w:rsidP="00C16D6A">
      <w:pPr>
        <w:pStyle w:val="Heading2"/>
        <w:spacing w:line="360" w:lineRule="auto"/>
        <w:rPr>
          <w:rFonts w:cs="Times New Roman"/>
          <w:szCs w:val="24"/>
        </w:rPr>
      </w:pPr>
      <w:bookmarkStart w:id="26" w:name="_Toc110686864"/>
      <w:bookmarkStart w:id="27" w:name="_Toc110689179"/>
      <w:r w:rsidRPr="00E66711">
        <w:rPr>
          <w:rFonts w:cs="Times New Roman"/>
          <w:szCs w:val="24"/>
        </w:rPr>
        <w:t>Income effect on the price elasticity of demand</w:t>
      </w:r>
      <w:bookmarkEnd w:id="26"/>
      <w:bookmarkEnd w:id="27"/>
    </w:p>
    <w:p w14:paraId="5F18F737" w14:textId="77777777" w:rsidR="00BC7AE9"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Price elasticity of demand is often affected by income effects. The income effect shows the impact of change in income on the demand for a product. If the income increases, the consumer feels that he is rich so the price cha</w:t>
      </w:r>
      <w:r w:rsidR="0039678B" w:rsidRPr="00E66711">
        <w:rPr>
          <w:rFonts w:ascii="Times New Roman" w:hAnsi="Times New Roman" w:cs="Times New Roman"/>
          <w:sz w:val="24"/>
          <w:szCs w:val="24"/>
        </w:rPr>
        <w:t xml:space="preserve">nge of a product will not impact at all. He can even switch to a product of the same category but with better quality. But if the income falls, then price increase can impact a lot. If the product is an essential one, then the price elasticity of demand will remain inelastic but in the case of luxury goods, it will become inelastic if the price increases and income falls or </w:t>
      </w:r>
      <w:r w:rsidR="00C058FB" w:rsidRPr="00E66711">
        <w:rPr>
          <w:rFonts w:ascii="Times New Roman" w:hAnsi="Times New Roman" w:cs="Times New Roman"/>
          <w:sz w:val="24"/>
          <w:szCs w:val="24"/>
        </w:rPr>
        <w:t>increases at a less ratio than the price</w:t>
      </w:r>
      <w:r w:rsidR="00C16D6A" w:rsidRPr="00E66711">
        <w:rPr>
          <w:rFonts w:ascii="Times New Roman" w:hAnsi="Times New Roman" w:cs="Times New Roman"/>
          <w:sz w:val="24"/>
          <w:szCs w:val="24"/>
        </w:rPr>
        <w:t xml:space="preserve"> (</w:t>
      </w:r>
      <w:r w:rsidR="00C16D6A" w:rsidRPr="00E66711">
        <w:rPr>
          <w:rFonts w:ascii="Times New Roman" w:hAnsi="Times New Roman" w:cs="Times New Roman"/>
          <w:color w:val="000000" w:themeColor="text1"/>
          <w:sz w:val="24"/>
          <w:szCs w:val="24"/>
          <w:shd w:val="clear" w:color="auto" w:fill="FFFFFF"/>
        </w:rPr>
        <w:t>Israel, 2018)</w:t>
      </w:r>
      <w:r w:rsidR="00C058FB" w:rsidRPr="00E66711">
        <w:rPr>
          <w:rFonts w:ascii="Times New Roman" w:hAnsi="Times New Roman" w:cs="Times New Roman"/>
          <w:sz w:val="24"/>
          <w:szCs w:val="24"/>
        </w:rPr>
        <w:t xml:space="preserve">. </w:t>
      </w:r>
    </w:p>
    <w:p w14:paraId="5BD0D73D" w14:textId="77777777" w:rsidR="003D697A"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Coca-Cola’s soft drink is not a luxury good but not a necessary one as well. So, if the income of the UK households falls then the demand will be affected and the price elasticity will be elastic in this case too. </w:t>
      </w:r>
      <w:r w:rsidR="00106825" w:rsidRPr="00E66711">
        <w:rPr>
          <w:rFonts w:ascii="Times New Roman" w:hAnsi="Times New Roman" w:cs="Times New Roman"/>
          <w:sz w:val="24"/>
          <w:szCs w:val="24"/>
        </w:rPr>
        <w:t xml:space="preserve">As the data shown in table 4, the average income of the UK households has fallen and median disposable income has grown at a mere 2% which is very low. </w:t>
      </w:r>
    </w:p>
    <w:p w14:paraId="75DE2C54" w14:textId="77777777" w:rsidR="00C058FB"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noProof/>
          <w:sz w:val="24"/>
          <w:szCs w:val="24"/>
        </w:rPr>
        <w:lastRenderedPageBreak/>
        <w:drawing>
          <wp:inline distT="0" distB="0" distL="0" distR="0" wp14:anchorId="51B0C6A1" wp14:editId="05C0E90B">
            <wp:extent cx="4572000" cy="2743200"/>
            <wp:effectExtent l="0" t="0" r="0" b="0"/>
            <wp:docPr id="7" name="Chart 7">
              <a:extLst xmlns:a="http://schemas.openxmlformats.org/drawingml/2006/main">
                <a:ext uri="{FF2B5EF4-FFF2-40B4-BE49-F238E27FC236}">
                  <a16:creationId xmlns:a16="http://schemas.microsoft.com/office/drawing/2014/main" id="{4E8E4248-D364-BF73-9DB7-993C8E3B67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57854E" w14:textId="77777777" w:rsidR="00AD77A4"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 xml:space="preserve">Fig. 7: Clustered bar diagram </w:t>
      </w:r>
    </w:p>
    <w:p w14:paraId="23A1E5AB" w14:textId="77777777" w:rsidR="003D697A"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(Source: Self-prepared report, 2022)</w:t>
      </w:r>
    </w:p>
    <w:p w14:paraId="14F48CEB" w14:textId="77777777" w:rsidR="003D697A"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This diagram has been evaluated using data-table 4 which shows the trends of disposable income of UK households. The income has increased in 2020/21 and the sales of the Coca-Cola soft drinks are also low in these years. So, if the price of Coca-Cola </w:t>
      </w:r>
      <w:r w:rsidR="002D43E0" w:rsidRPr="00E66711">
        <w:rPr>
          <w:rFonts w:ascii="Times New Roman" w:hAnsi="Times New Roman" w:cs="Times New Roman"/>
          <w:sz w:val="24"/>
          <w:szCs w:val="24"/>
        </w:rPr>
        <w:t>increases</w:t>
      </w:r>
      <w:r w:rsidRPr="00E66711">
        <w:rPr>
          <w:rFonts w:ascii="Times New Roman" w:hAnsi="Times New Roman" w:cs="Times New Roman"/>
          <w:sz w:val="24"/>
          <w:szCs w:val="24"/>
        </w:rPr>
        <w:t xml:space="preserve"> now then </w:t>
      </w:r>
      <w:r w:rsidR="002D43E0" w:rsidRPr="00E66711">
        <w:rPr>
          <w:rFonts w:ascii="Times New Roman" w:hAnsi="Times New Roman" w:cs="Times New Roman"/>
          <w:sz w:val="24"/>
          <w:szCs w:val="24"/>
        </w:rPr>
        <w:t xml:space="preserve">the demand will fall and the price elasticity of demand will become more elastic. People of the UK will switch to low-price soft drinks as they will feel more burdened to purchase one unit of Coca-Cola's soft drinks. </w:t>
      </w:r>
    </w:p>
    <w:p w14:paraId="04CEC4E7" w14:textId="77777777" w:rsidR="002D43E0" w:rsidRPr="00E66711" w:rsidRDefault="00000000" w:rsidP="00C16D6A">
      <w:pPr>
        <w:pStyle w:val="Heading2"/>
        <w:spacing w:line="360" w:lineRule="auto"/>
        <w:rPr>
          <w:rFonts w:cs="Times New Roman"/>
          <w:szCs w:val="24"/>
        </w:rPr>
      </w:pPr>
      <w:bookmarkStart w:id="28" w:name="_Toc110686865"/>
      <w:bookmarkStart w:id="29" w:name="_Toc110689180"/>
      <w:r w:rsidRPr="00E66711">
        <w:rPr>
          <w:rFonts w:cs="Times New Roman"/>
          <w:szCs w:val="24"/>
        </w:rPr>
        <w:t>The pricing policy of Coca-Cola</w:t>
      </w:r>
      <w:bookmarkEnd w:id="28"/>
      <w:bookmarkEnd w:id="29"/>
    </w:p>
    <w:p w14:paraId="0B6487DF" w14:textId="77777777" w:rsidR="00A96E40"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Coca-Cola is mainly using a market penetration pricing strategy in the UK. The objective of the company is to target each consumer of a country. So, they have tried to penetrate the market by offering a price that their competitors can never offer. The beverages market in the UK is perfectly competitive and the competition always offers the lowest price possible. </w:t>
      </w:r>
      <w:r w:rsidR="00686CF3" w:rsidRPr="00E66711">
        <w:rPr>
          <w:rFonts w:ascii="Times New Roman" w:hAnsi="Times New Roman" w:cs="Times New Roman"/>
          <w:sz w:val="24"/>
          <w:szCs w:val="24"/>
        </w:rPr>
        <w:t>Coca-Cola is said to have set almost the same price as other beverage brands like PepsiCo, Nestle, Red Bull, etc. This penetration pricing policy is also called the meet-the-competition pricing policy</w:t>
      </w:r>
      <w:r w:rsidR="003A1774" w:rsidRPr="00E66711">
        <w:rPr>
          <w:rFonts w:ascii="Times New Roman" w:hAnsi="Times New Roman" w:cs="Times New Roman"/>
          <w:sz w:val="24"/>
          <w:szCs w:val="24"/>
        </w:rPr>
        <w:t xml:space="preserve"> (</w:t>
      </w:r>
      <w:r w:rsidR="003A1774" w:rsidRPr="00E66711">
        <w:rPr>
          <w:rFonts w:ascii="Times New Roman" w:hAnsi="Times New Roman" w:cs="Times New Roman"/>
          <w:color w:val="000000" w:themeColor="text1"/>
          <w:sz w:val="24"/>
          <w:szCs w:val="24"/>
        </w:rPr>
        <w:t xml:space="preserve">Strimpel </w:t>
      </w:r>
      <w:r w:rsidR="003A1774" w:rsidRPr="00E66711">
        <w:rPr>
          <w:rFonts w:ascii="Times New Roman" w:hAnsi="Times New Roman" w:cs="Times New Roman"/>
          <w:i/>
          <w:iCs/>
          <w:color w:val="000000" w:themeColor="text1"/>
          <w:sz w:val="24"/>
          <w:szCs w:val="24"/>
        </w:rPr>
        <w:t>et al,</w:t>
      </w:r>
      <w:r w:rsidR="003A1774" w:rsidRPr="00E66711">
        <w:rPr>
          <w:rFonts w:ascii="Times New Roman" w:hAnsi="Times New Roman" w:cs="Times New Roman"/>
          <w:color w:val="000000" w:themeColor="text1"/>
          <w:sz w:val="24"/>
          <w:szCs w:val="24"/>
        </w:rPr>
        <w:t xml:space="preserve"> 2022)</w:t>
      </w:r>
      <w:r w:rsidR="00686CF3" w:rsidRPr="00E66711">
        <w:rPr>
          <w:rFonts w:ascii="Times New Roman" w:hAnsi="Times New Roman" w:cs="Times New Roman"/>
          <w:sz w:val="24"/>
          <w:szCs w:val="24"/>
        </w:rPr>
        <w:t xml:space="preserve">. </w:t>
      </w:r>
      <w:r w:rsidRPr="00E66711">
        <w:rPr>
          <w:rFonts w:ascii="Times New Roman" w:hAnsi="Times New Roman" w:cs="Times New Roman"/>
          <w:sz w:val="24"/>
          <w:szCs w:val="24"/>
        </w:rPr>
        <w:t>The company has implemented this policy looking at the following factors-</w:t>
      </w:r>
    </w:p>
    <w:p w14:paraId="2ABD2119" w14:textId="77777777" w:rsidR="00A96E40" w:rsidRPr="00E66711" w:rsidRDefault="00000000" w:rsidP="00C16D6A">
      <w:pPr>
        <w:pStyle w:val="ListParagraph"/>
        <w:numPr>
          <w:ilvl w:val="0"/>
          <w:numId w:val="2"/>
        </w:num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Prices of the products according to the demand of the UK citizens.</w:t>
      </w:r>
    </w:p>
    <w:p w14:paraId="34AB8091" w14:textId="77777777" w:rsidR="00A96E40" w:rsidRPr="00E66711" w:rsidRDefault="00000000" w:rsidP="00C16D6A">
      <w:pPr>
        <w:pStyle w:val="ListParagraph"/>
        <w:numPr>
          <w:ilvl w:val="0"/>
          <w:numId w:val="2"/>
        </w:num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The prices are set to maximize sales and profit.</w:t>
      </w:r>
    </w:p>
    <w:p w14:paraId="32701544" w14:textId="77777777" w:rsidR="00A96E40" w:rsidRPr="00E66711" w:rsidRDefault="00000000" w:rsidP="00C16D6A">
      <w:pPr>
        <w:pStyle w:val="ListParagraph"/>
        <w:numPr>
          <w:ilvl w:val="0"/>
          <w:numId w:val="2"/>
        </w:num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Price is set within a feasible range, neither too low nor too high. </w:t>
      </w:r>
    </w:p>
    <w:p w14:paraId="10EC9C56" w14:textId="77777777" w:rsidR="00A96E40" w:rsidRPr="00E66711" w:rsidRDefault="00000000" w:rsidP="00C16D6A">
      <w:pPr>
        <w:pStyle w:val="ListParagraph"/>
        <w:numPr>
          <w:ilvl w:val="0"/>
          <w:numId w:val="2"/>
        </w:num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Prices should be activated as per the target market behavior. </w:t>
      </w:r>
    </w:p>
    <w:p w14:paraId="60363F6B" w14:textId="77777777" w:rsidR="00BB2EAA"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lastRenderedPageBreak/>
        <w:t xml:space="preserve">Also, the company undertakes the psychological pricing policy by offering some discounts on the high quantity soft drinks say 2 liters of </w:t>
      </w:r>
      <w:r w:rsidR="002C206B" w:rsidRPr="00E66711">
        <w:rPr>
          <w:rFonts w:ascii="Times New Roman" w:hAnsi="Times New Roman" w:cs="Times New Roman"/>
          <w:sz w:val="24"/>
          <w:szCs w:val="24"/>
        </w:rPr>
        <w:t xml:space="preserve">Coca-Cola or Sprite. This induces the people to purchase more quantities thinking about saving money and Coca-Cola company ends up selling more quantities to cover their net profits. Coca-Cola sells its cold drinks through direct selling and indirect selling channels. The company has its vehicles to supply soft drinks to different stores in the UK. The company indirectly sells its products by providing franchises to several retailers but in this case, their earnings get less. </w:t>
      </w:r>
    </w:p>
    <w:tbl>
      <w:tblPr>
        <w:tblW w:w="829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20"/>
        <w:gridCol w:w="2976"/>
      </w:tblGrid>
      <w:tr w:rsidR="00D65DB8" w14:paraId="27E68046" w14:textId="77777777" w:rsidTr="00BB2EAA">
        <w:trPr>
          <w:trHeight w:val="227"/>
          <w:jc w:val="center"/>
        </w:trPr>
        <w:tc>
          <w:tcPr>
            <w:tcW w:w="5320" w:type="dxa"/>
            <w:shd w:val="clear" w:color="auto" w:fill="auto"/>
            <w:noWrap/>
            <w:vAlign w:val="bottom"/>
            <w:hideMark/>
          </w:tcPr>
          <w:p w14:paraId="1C2BE435" w14:textId="77777777" w:rsidR="00BB2EAA" w:rsidRPr="00BB2EAA" w:rsidRDefault="00000000" w:rsidP="00C16D6A">
            <w:pPr>
              <w:spacing w:after="0" w:line="360" w:lineRule="auto"/>
              <w:rPr>
                <w:rFonts w:ascii="Times New Roman" w:eastAsia="Times New Roman" w:hAnsi="Times New Roman" w:cs="Times New Roman"/>
                <w:b/>
                <w:bCs/>
                <w:color w:val="000000" w:themeColor="text1"/>
                <w:sz w:val="24"/>
                <w:szCs w:val="24"/>
                <w:lang w:val="en-US"/>
              </w:rPr>
            </w:pPr>
            <w:r w:rsidRPr="00BB2EAA">
              <w:rPr>
                <w:rFonts w:ascii="Times New Roman" w:eastAsia="Times New Roman" w:hAnsi="Times New Roman" w:cs="Times New Roman"/>
                <w:b/>
                <w:bCs/>
                <w:color w:val="000000" w:themeColor="text1"/>
                <w:sz w:val="24"/>
                <w:szCs w:val="24"/>
                <w:lang w:val="en-US"/>
              </w:rPr>
              <w:t>Brands of Coca-Cola</w:t>
            </w:r>
          </w:p>
        </w:tc>
        <w:tc>
          <w:tcPr>
            <w:tcW w:w="2976" w:type="dxa"/>
            <w:shd w:val="clear" w:color="auto" w:fill="auto"/>
            <w:noWrap/>
            <w:vAlign w:val="bottom"/>
            <w:hideMark/>
          </w:tcPr>
          <w:p w14:paraId="5ADE9427" w14:textId="77777777" w:rsidR="00BB2EAA" w:rsidRPr="00BB2EAA" w:rsidRDefault="00000000" w:rsidP="00C16D6A">
            <w:pPr>
              <w:spacing w:after="0" w:line="360" w:lineRule="auto"/>
              <w:rPr>
                <w:rFonts w:ascii="Times New Roman" w:eastAsia="Times New Roman" w:hAnsi="Times New Roman" w:cs="Times New Roman"/>
                <w:b/>
                <w:bCs/>
                <w:color w:val="000000" w:themeColor="text1"/>
                <w:sz w:val="24"/>
                <w:szCs w:val="24"/>
                <w:lang w:val="en-US"/>
              </w:rPr>
            </w:pPr>
            <w:r w:rsidRPr="00BB2EAA">
              <w:rPr>
                <w:rFonts w:ascii="Times New Roman" w:eastAsia="Times New Roman" w:hAnsi="Times New Roman" w:cs="Times New Roman"/>
                <w:b/>
                <w:bCs/>
                <w:color w:val="000000" w:themeColor="text1"/>
                <w:sz w:val="24"/>
                <w:szCs w:val="24"/>
                <w:lang w:val="en-US"/>
              </w:rPr>
              <w:t>Price (24*330ml) (£)</w:t>
            </w:r>
          </w:p>
        </w:tc>
      </w:tr>
      <w:tr w:rsidR="00D65DB8" w14:paraId="495C056B" w14:textId="77777777" w:rsidTr="00BB2EAA">
        <w:trPr>
          <w:trHeight w:val="227"/>
          <w:jc w:val="center"/>
        </w:trPr>
        <w:tc>
          <w:tcPr>
            <w:tcW w:w="5320" w:type="dxa"/>
            <w:shd w:val="clear" w:color="auto" w:fill="auto"/>
            <w:noWrap/>
            <w:vAlign w:val="bottom"/>
            <w:hideMark/>
          </w:tcPr>
          <w:p w14:paraId="50D3CAAE"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Coca-Cola original</w:t>
            </w:r>
          </w:p>
        </w:tc>
        <w:tc>
          <w:tcPr>
            <w:tcW w:w="2976" w:type="dxa"/>
            <w:shd w:val="clear" w:color="auto" w:fill="auto"/>
            <w:noWrap/>
            <w:vAlign w:val="bottom"/>
            <w:hideMark/>
          </w:tcPr>
          <w:p w14:paraId="68135976"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12.99</w:t>
            </w:r>
          </w:p>
        </w:tc>
      </w:tr>
      <w:tr w:rsidR="00D65DB8" w14:paraId="165B039B" w14:textId="77777777" w:rsidTr="00BB2EAA">
        <w:trPr>
          <w:trHeight w:val="227"/>
          <w:jc w:val="center"/>
        </w:trPr>
        <w:tc>
          <w:tcPr>
            <w:tcW w:w="5320" w:type="dxa"/>
            <w:shd w:val="clear" w:color="auto" w:fill="auto"/>
            <w:noWrap/>
            <w:vAlign w:val="bottom"/>
            <w:hideMark/>
          </w:tcPr>
          <w:p w14:paraId="6A48B5E1"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Coca-Cola zero sugar vanilla </w:t>
            </w:r>
          </w:p>
        </w:tc>
        <w:tc>
          <w:tcPr>
            <w:tcW w:w="2976" w:type="dxa"/>
            <w:shd w:val="clear" w:color="auto" w:fill="auto"/>
            <w:noWrap/>
            <w:vAlign w:val="bottom"/>
            <w:hideMark/>
          </w:tcPr>
          <w:p w14:paraId="02767B0B"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39600915" w14:textId="77777777" w:rsidTr="00BB2EAA">
        <w:trPr>
          <w:trHeight w:val="227"/>
          <w:jc w:val="center"/>
        </w:trPr>
        <w:tc>
          <w:tcPr>
            <w:tcW w:w="5320" w:type="dxa"/>
            <w:shd w:val="clear" w:color="auto" w:fill="auto"/>
            <w:noWrap/>
            <w:vAlign w:val="bottom"/>
            <w:hideMark/>
          </w:tcPr>
          <w:p w14:paraId="3CA6040A"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Fanta Lemon </w:t>
            </w:r>
          </w:p>
        </w:tc>
        <w:tc>
          <w:tcPr>
            <w:tcW w:w="2976" w:type="dxa"/>
            <w:shd w:val="clear" w:color="auto" w:fill="auto"/>
            <w:noWrap/>
            <w:vAlign w:val="bottom"/>
            <w:hideMark/>
          </w:tcPr>
          <w:p w14:paraId="47F5BCFD"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5713A84E" w14:textId="77777777" w:rsidTr="00BB2EAA">
        <w:trPr>
          <w:trHeight w:val="227"/>
          <w:jc w:val="center"/>
        </w:trPr>
        <w:tc>
          <w:tcPr>
            <w:tcW w:w="5320" w:type="dxa"/>
            <w:shd w:val="clear" w:color="auto" w:fill="auto"/>
            <w:noWrap/>
            <w:vAlign w:val="bottom"/>
            <w:hideMark/>
          </w:tcPr>
          <w:p w14:paraId="344935EF"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Coca-Cola cherry </w:t>
            </w:r>
          </w:p>
        </w:tc>
        <w:tc>
          <w:tcPr>
            <w:tcW w:w="2976" w:type="dxa"/>
            <w:shd w:val="clear" w:color="auto" w:fill="auto"/>
            <w:noWrap/>
            <w:vAlign w:val="bottom"/>
            <w:hideMark/>
          </w:tcPr>
          <w:p w14:paraId="77A6DA5A"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12.99</w:t>
            </w:r>
          </w:p>
        </w:tc>
      </w:tr>
      <w:tr w:rsidR="00D65DB8" w14:paraId="25D02E24" w14:textId="77777777" w:rsidTr="00BB2EAA">
        <w:trPr>
          <w:trHeight w:val="227"/>
          <w:jc w:val="center"/>
        </w:trPr>
        <w:tc>
          <w:tcPr>
            <w:tcW w:w="5320" w:type="dxa"/>
            <w:shd w:val="clear" w:color="auto" w:fill="auto"/>
            <w:noWrap/>
            <w:vAlign w:val="bottom"/>
            <w:hideMark/>
          </w:tcPr>
          <w:p w14:paraId="282C8AAF"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Zero sugar </w:t>
            </w:r>
          </w:p>
        </w:tc>
        <w:tc>
          <w:tcPr>
            <w:tcW w:w="2976" w:type="dxa"/>
            <w:shd w:val="clear" w:color="auto" w:fill="auto"/>
            <w:noWrap/>
            <w:vAlign w:val="bottom"/>
            <w:hideMark/>
          </w:tcPr>
          <w:p w14:paraId="4FD126F4"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499C3205" w14:textId="77777777" w:rsidTr="00BB2EAA">
        <w:trPr>
          <w:trHeight w:val="227"/>
          <w:jc w:val="center"/>
        </w:trPr>
        <w:tc>
          <w:tcPr>
            <w:tcW w:w="5320" w:type="dxa"/>
            <w:shd w:val="clear" w:color="auto" w:fill="auto"/>
            <w:noWrap/>
            <w:vAlign w:val="bottom"/>
            <w:hideMark/>
          </w:tcPr>
          <w:p w14:paraId="3E86EA34"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Fanta Zero orange </w:t>
            </w:r>
          </w:p>
        </w:tc>
        <w:tc>
          <w:tcPr>
            <w:tcW w:w="2976" w:type="dxa"/>
            <w:shd w:val="clear" w:color="auto" w:fill="auto"/>
            <w:noWrap/>
            <w:vAlign w:val="bottom"/>
            <w:hideMark/>
          </w:tcPr>
          <w:p w14:paraId="58D39F89"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0DC3E6F2" w14:textId="77777777" w:rsidTr="00BB2EAA">
        <w:trPr>
          <w:trHeight w:val="227"/>
          <w:jc w:val="center"/>
        </w:trPr>
        <w:tc>
          <w:tcPr>
            <w:tcW w:w="5320" w:type="dxa"/>
            <w:shd w:val="clear" w:color="auto" w:fill="auto"/>
            <w:noWrap/>
            <w:vAlign w:val="bottom"/>
            <w:hideMark/>
          </w:tcPr>
          <w:p w14:paraId="0837CF33"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Diet Coke Caffeine free</w:t>
            </w:r>
          </w:p>
        </w:tc>
        <w:tc>
          <w:tcPr>
            <w:tcW w:w="2976" w:type="dxa"/>
            <w:shd w:val="clear" w:color="auto" w:fill="auto"/>
            <w:noWrap/>
            <w:vAlign w:val="bottom"/>
            <w:hideMark/>
          </w:tcPr>
          <w:p w14:paraId="601481C9"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1E5FB721" w14:textId="77777777" w:rsidTr="00BB2EAA">
        <w:trPr>
          <w:trHeight w:val="227"/>
          <w:jc w:val="center"/>
        </w:trPr>
        <w:tc>
          <w:tcPr>
            <w:tcW w:w="5320" w:type="dxa"/>
            <w:shd w:val="clear" w:color="auto" w:fill="auto"/>
            <w:noWrap/>
            <w:vAlign w:val="bottom"/>
            <w:hideMark/>
          </w:tcPr>
          <w:p w14:paraId="2F7F8D1C"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Dr. Pepper</w:t>
            </w:r>
          </w:p>
        </w:tc>
        <w:tc>
          <w:tcPr>
            <w:tcW w:w="2976" w:type="dxa"/>
            <w:shd w:val="clear" w:color="auto" w:fill="auto"/>
            <w:noWrap/>
            <w:vAlign w:val="bottom"/>
            <w:hideMark/>
          </w:tcPr>
          <w:p w14:paraId="4B5531AE"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2B7CCDF3" w14:textId="77777777" w:rsidTr="00BB2EAA">
        <w:trPr>
          <w:trHeight w:val="227"/>
          <w:jc w:val="center"/>
        </w:trPr>
        <w:tc>
          <w:tcPr>
            <w:tcW w:w="5320" w:type="dxa"/>
            <w:shd w:val="clear" w:color="auto" w:fill="auto"/>
            <w:noWrap/>
            <w:vAlign w:val="bottom"/>
            <w:hideMark/>
          </w:tcPr>
          <w:p w14:paraId="59013B70"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Sprite no sugar </w:t>
            </w:r>
          </w:p>
        </w:tc>
        <w:tc>
          <w:tcPr>
            <w:tcW w:w="2976" w:type="dxa"/>
            <w:shd w:val="clear" w:color="auto" w:fill="auto"/>
            <w:noWrap/>
            <w:vAlign w:val="bottom"/>
            <w:hideMark/>
          </w:tcPr>
          <w:p w14:paraId="1F521859"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2EEE7D91" w14:textId="77777777" w:rsidTr="00BB2EAA">
        <w:trPr>
          <w:trHeight w:val="227"/>
          <w:jc w:val="center"/>
        </w:trPr>
        <w:tc>
          <w:tcPr>
            <w:tcW w:w="5320" w:type="dxa"/>
            <w:shd w:val="clear" w:color="auto" w:fill="auto"/>
            <w:noWrap/>
            <w:vAlign w:val="bottom"/>
            <w:hideMark/>
          </w:tcPr>
          <w:p w14:paraId="6DF59EEB"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Fanta zero grape</w:t>
            </w:r>
          </w:p>
        </w:tc>
        <w:tc>
          <w:tcPr>
            <w:tcW w:w="2976" w:type="dxa"/>
            <w:shd w:val="clear" w:color="auto" w:fill="auto"/>
            <w:noWrap/>
            <w:vAlign w:val="bottom"/>
            <w:hideMark/>
          </w:tcPr>
          <w:p w14:paraId="02DE8DB1"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56E586FB" w14:textId="77777777" w:rsidTr="00BB2EAA">
        <w:trPr>
          <w:trHeight w:val="227"/>
          <w:jc w:val="center"/>
        </w:trPr>
        <w:tc>
          <w:tcPr>
            <w:tcW w:w="5320" w:type="dxa"/>
            <w:shd w:val="clear" w:color="auto" w:fill="auto"/>
            <w:noWrap/>
            <w:vAlign w:val="bottom"/>
            <w:hideMark/>
          </w:tcPr>
          <w:p w14:paraId="0E53FB59"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 xml:space="preserve">Diet Coke </w:t>
            </w:r>
          </w:p>
        </w:tc>
        <w:tc>
          <w:tcPr>
            <w:tcW w:w="2976" w:type="dxa"/>
            <w:shd w:val="clear" w:color="auto" w:fill="auto"/>
            <w:noWrap/>
            <w:vAlign w:val="bottom"/>
            <w:hideMark/>
          </w:tcPr>
          <w:p w14:paraId="46DE3D61"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624F4A33" w14:textId="77777777" w:rsidTr="00BB2EAA">
        <w:trPr>
          <w:trHeight w:val="227"/>
          <w:jc w:val="center"/>
        </w:trPr>
        <w:tc>
          <w:tcPr>
            <w:tcW w:w="5320" w:type="dxa"/>
            <w:shd w:val="clear" w:color="auto" w:fill="auto"/>
            <w:noWrap/>
            <w:vAlign w:val="bottom"/>
            <w:hideMark/>
          </w:tcPr>
          <w:p w14:paraId="3E7835BB"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Fanta Fruit Twist</w:t>
            </w:r>
          </w:p>
        </w:tc>
        <w:tc>
          <w:tcPr>
            <w:tcW w:w="2976" w:type="dxa"/>
            <w:shd w:val="clear" w:color="auto" w:fill="auto"/>
            <w:noWrap/>
            <w:vAlign w:val="bottom"/>
            <w:hideMark/>
          </w:tcPr>
          <w:p w14:paraId="24B22C04"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2EEEEBB2" w14:textId="77777777" w:rsidTr="00BB2EAA">
        <w:trPr>
          <w:trHeight w:val="227"/>
          <w:jc w:val="center"/>
        </w:trPr>
        <w:tc>
          <w:tcPr>
            <w:tcW w:w="5320" w:type="dxa"/>
            <w:shd w:val="clear" w:color="auto" w:fill="auto"/>
            <w:noWrap/>
            <w:vAlign w:val="bottom"/>
            <w:hideMark/>
          </w:tcPr>
          <w:p w14:paraId="16DE81F0"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Diet Coke glass bottles</w:t>
            </w:r>
          </w:p>
        </w:tc>
        <w:tc>
          <w:tcPr>
            <w:tcW w:w="2976" w:type="dxa"/>
            <w:shd w:val="clear" w:color="auto" w:fill="auto"/>
            <w:noWrap/>
            <w:vAlign w:val="bottom"/>
            <w:hideMark/>
          </w:tcPr>
          <w:p w14:paraId="712B8DE1"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18.5</w:t>
            </w:r>
          </w:p>
        </w:tc>
      </w:tr>
      <w:tr w:rsidR="00D65DB8" w14:paraId="571FB401" w14:textId="77777777" w:rsidTr="00BB2EAA">
        <w:trPr>
          <w:trHeight w:val="227"/>
          <w:jc w:val="center"/>
        </w:trPr>
        <w:tc>
          <w:tcPr>
            <w:tcW w:w="5320" w:type="dxa"/>
            <w:shd w:val="clear" w:color="auto" w:fill="auto"/>
            <w:noWrap/>
            <w:vAlign w:val="bottom"/>
            <w:hideMark/>
          </w:tcPr>
          <w:p w14:paraId="1ED4E85A" w14:textId="77777777" w:rsidR="00BB2EAA" w:rsidRPr="00BB2EAA" w:rsidRDefault="00000000" w:rsidP="00C16D6A">
            <w:pPr>
              <w:spacing w:after="0" w:line="360" w:lineRule="auto"/>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Diet Coke sublime lime</w:t>
            </w:r>
          </w:p>
        </w:tc>
        <w:tc>
          <w:tcPr>
            <w:tcW w:w="2976" w:type="dxa"/>
            <w:shd w:val="clear" w:color="auto" w:fill="auto"/>
            <w:noWrap/>
            <w:vAlign w:val="bottom"/>
            <w:hideMark/>
          </w:tcPr>
          <w:p w14:paraId="68E2929E"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lang w:val="en-US"/>
              </w:rPr>
            </w:pPr>
            <w:r w:rsidRPr="00BB2EAA">
              <w:rPr>
                <w:rFonts w:ascii="Times New Roman" w:eastAsia="Times New Roman" w:hAnsi="Times New Roman" w:cs="Times New Roman"/>
                <w:color w:val="000000"/>
                <w:sz w:val="24"/>
                <w:szCs w:val="24"/>
                <w:lang w:val="en-US"/>
              </w:rPr>
              <w:t>10.5</w:t>
            </w:r>
          </w:p>
        </w:tc>
      </w:tr>
      <w:tr w:rsidR="00D65DB8" w14:paraId="3EDB17F3" w14:textId="77777777" w:rsidTr="00BB2EAA">
        <w:trPr>
          <w:trHeight w:val="227"/>
          <w:jc w:val="center"/>
        </w:trPr>
        <w:tc>
          <w:tcPr>
            <w:tcW w:w="5320" w:type="dxa"/>
            <w:shd w:val="clear" w:color="auto" w:fill="auto"/>
            <w:noWrap/>
            <w:vAlign w:val="bottom"/>
            <w:hideMark/>
          </w:tcPr>
          <w:p w14:paraId="764966D2" w14:textId="77777777" w:rsidR="00BB2EAA" w:rsidRPr="00BB2EAA" w:rsidRDefault="00000000" w:rsidP="00C16D6A">
            <w:pPr>
              <w:spacing w:after="0" w:line="360" w:lineRule="auto"/>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Signature Mixers Smoky (12*200 ml)</w:t>
            </w:r>
          </w:p>
        </w:tc>
        <w:tc>
          <w:tcPr>
            <w:tcW w:w="2976" w:type="dxa"/>
            <w:shd w:val="clear" w:color="auto" w:fill="auto"/>
            <w:noWrap/>
            <w:vAlign w:val="bottom"/>
            <w:hideMark/>
          </w:tcPr>
          <w:p w14:paraId="78FA8C08"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12.5</w:t>
            </w:r>
          </w:p>
        </w:tc>
      </w:tr>
      <w:tr w:rsidR="00D65DB8" w14:paraId="6BC9C8F6" w14:textId="77777777" w:rsidTr="00BB2EAA">
        <w:trPr>
          <w:trHeight w:val="227"/>
          <w:jc w:val="center"/>
        </w:trPr>
        <w:tc>
          <w:tcPr>
            <w:tcW w:w="5320" w:type="dxa"/>
            <w:shd w:val="clear" w:color="auto" w:fill="auto"/>
            <w:noWrap/>
            <w:vAlign w:val="bottom"/>
            <w:hideMark/>
          </w:tcPr>
          <w:p w14:paraId="7632A7A8" w14:textId="77777777" w:rsidR="00BB2EAA" w:rsidRPr="00BB2EAA" w:rsidRDefault="00000000" w:rsidP="00C16D6A">
            <w:pPr>
              <w:spacing w:after="0" w:line="360" w:lineRule="auto"/>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Coca-Cola zero sugar (24*250 ml)</w:t>
            </w:r>
          </w:p>
        </w:tc>
        <w:tc>
          <w:tcPr>
            <w:tcW w:w="2976" w:type="dxa"/>
            <w:shd w:val="clear" w:color="auto" w:fill="auto"/>
            <w:noWrap/>
            <w:vAlign w:val="bottom"/>
            <w:hideMark/>
          </w:tcPr>
          <w:p w14:paraId="1056C4D5"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10.5</w:t>
            </w:r>
          </w:p>
        </w:tc>
      </w:tr>
      <w:tr w:rsidR="00D65DB8" w14:paraId="7906D6DA" w14:textId="77777777" w:rsidTr="00BB2EAA">
        <w:trPr>
          <w:trHeight w:val="227"/>
          <w:jc w:val="center"/>
        </w:trPr>
        <w:tc>
          <w:tcPr>
            <w:tcW w:w="5320" w:type="dxa"/>
            <w:shd w:val="clear" w:color="auto" w:fill="auto"/>
            <w:noWrap/>
            <w:vAlign w:val="bottom"/>
            <w:hideMark/>
          </w:tcPr>
          <w:p w14:paraId="372F7E4D" w14:textId="77777777" w:rsidR="00BB2EAA" w:rsidRPr="00BB2EAA" w:rsidRDefault="00000000" w:rsidP="00C16D6A">
            <w:pPr>
              <w:spacing w:after="0" w:line="360" w:lineRule="auto"/>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What the Fanta (12*500 ml)</w:t>
            </w:r>
          </w:p>
        </w:tc>
        <w:tc>
          <w:tcPr>
            <w:tcW w:w="2976" w:type="dxa"/>
            <w:shd w:val="clear" w:color="auto" w:fill="auto"/>
            <w:noWrap/>
            <w:vAlign w:val="bottom"/>
            <w:hideMark/>
          </w:tcPr>
          <w:p w14:paraId="340D3068" w14:textId="77777777" w:rsidR="00BB2EAA" w:rsidRPr="00BB2EAA" w:rsidRDefault="00000000" w:rsidP="00C16D6A">
            <w:pPr>
              <w:spacing w:after="0" w:line="360" w:lineRule="auto"/>
              <w:jc w:val="right"/>
              <w:rPr>
                <w:rFonts w:ascii="Times New Roman" w:eastAsia="Times New Roman" w:hAnsi="Times New Roman" w:cs="Times New Roman"/>
                <w:color w:val="000000"/>
                <w:sz w:val="24"/>
                <w:szCs w:val="24"/>
                <w:u w:val="single"/>
                <w:lang w:val="en-US"/>
              </w:rPr>
            </w:pPr>
            <w:r w:rsidRPr="00BB2EAA">
              <w:rPr>
                <w:rFonts w:ascii="Times New Roman" w:eastAsia="Times New Roman" w:hAnsi="Times New Roman" w:cs="Times New Roman"/>
                <w:color w:val="000000"/>
                <w:sz w:val="24"/>
                <w:szCs w:val="24"/>
                <w:u w:val="single"/>
                <w:lang w:val="en-US"/>
              </w:rPr>
              <w:t>11.5</w:t>
            </w:r>
          </w:p>
        </w:tc>
      </w:tr>
    </w:tbl>
    <w:p w14:paraId="166D5791" w14:textId="77777777" w:rsidR="00BB2EAA" w:rsidRPr="00E66711" w:rsidRDefault="00000000" w:rsidP="00C16D6A">
      <w:pPr>
        <w:spacing w:line="360" w:lineRule="auto"/>
        <w:jc w:val="center"/>
        <w:rPr>
          <w:rFonts w:ascii="Times New Roman" w:hAnsi="Times New Roman" w:cs="Times New Roman"/>
          <w:b/>
          <w:bCs/>
          <w:sz w:val="24"/>
          <w:szCs w:val="24"/>
        </w:rPr>
      </w:pPr>
      <w:r w:rsidRPr="00E66711">
        <w:rPr>
          <w:rFonts w:ascii="Times New Roman" w:hAnsi="Times New Roman" w:cs="Times New Roman"/>
          <w:b/>
          <w:bCs/>
          <w:sz w:val="24"/>
          <w:szCs w:val="24"/>
        </w:rPr>
        <w:t>Table 7: Different soft drinks and respective prices of Coca-ola</w:t>
      </w:r>
    </w:p>
    <w:p w14:paraId="7BC51E94" w14:textId="77777777" w:rsidR="002D43E0" w:rsidRPr="00E66711" w:rsidRDefault="00000000" w:rsidP="00C16D6A">
      <w:pPr>
        <w:spacing w:line="360" w:lineRule="auto"/>
        <w:jc w:val="center"/>
        <w:rPr>
          <w:rFonts w:ascii="Times New Roman" w:hAnsi="Times New Roman" w:cs="Times New Roman"/>
          <w:sz w:val="24"/>
          <w:szCs w:val="24"/>
        </w:rPr>
      </w:pPr>
      <w:r w:rsidRPr="00E66711">
        <w:rPr>
          <w:rFonts w:ascii="Times New Roman" w:hAnsi="Times New Roman" w:cs="Times New Roman"/>
          <w:sz w:val="24"/>
          <w:szCs w:val="24"/>
        </w:rPr>
        <w:t>(</w:t>
      </w:r>
      <w:r w:rsidRPr="00E66711">
        <w:rPr>
          <w:rFonts w:ascii="Times New Roman" w:hAnsi="Times New Roman" w:cs="Times New Roman"/>
          <w:color w:val="000000" w:themeColor="text1"/>
          <w:sz w:val="24"/>
          <w:szCs w:val="24"/>
        </w:rPr>
        <w:t xml:space="preserve">Source: </w:t>
      </w:r>
      <w:r w:rsidR="00E97687" w:rsidRPr="00E66711">
        <w:rPr>
          <w:rFonts w:ascii="Times New Roman" w:hAnsi="Times New Roman" w:cs="Times New Roman"/>
          <w:color w:val="000000" w:themeColor="text1"/>
          <w:sz w:val="24"/>
          <w:szCs w:val="24"/>
        </w:rPr>
        <w:t>Your Coca-Cola</w:t>
      </w:r>
      <w:r w:rsidR="003A1774" w:rsidRPr="00E66711">
        <w:rPr>
          <w:rFonts w:ascii="Times New Roman" w:hAnsi="Times New Roman" w:cs="Times New Roman"/>
          <w:color w:val="000000" w:themeColor="text1"/>
          <w:sz w:val="24"/>
          <w:szCs w:val="24"/>
        </w:rPr>
        <w:t>,</w:t>
      </w:r>
      <w:r w:rsidR="00E97687" w:rsidRPr="00E66711">
        <w:rPr>
          <w:rFonts w:ascii="Times New Roman" w:hAnsi="Times New Roman" w:cs="Times New Roman"/>
          <w:color w:val="000000" w:themeColor="text1"/>
          <w:sz w:val="24"/>
          <w:szCs w:val="24"/>
        </w:rPr>
        <w:t xml:space="preserve"> 202</w:t>
      </w:r>
      <w:r w:rsidRPr="00E66711">
        <w:rPr>
          <w:rFonts w:ascii="Times New Roman" w:hAnsi="Times New Roman" w:cs="Times New Roman"/>
          <w:color w:val="000000" w:themeColor="text1"/>
          <w:sz w:val="24"/>
          <w:szCs w:val="24"/>
        </w:rPr>
        <w:t>2</w:t>
      </w:r>
      <w:r w:rsidRPr="00E66711">
        <w:rPr>
          <w:rFonts w:ascii="Times New Roman" w:hAnsi="Times New Roman" w:cs="Times New Roman"/>
          <w:sz w:val="24"/>
          <w:szCs w:val="24"/>
        </w:rPr>
        <w:t xml:space="preserve">)  </w:t>
      </w:r>
    </w:p>
    <w:p w14:paraId="543309DA" w14:textId="77777777" w:rsidR="009916CF" w:rsidRPr="00E66711" w:rsidRDefault="00000000" w:rsidP="00C16D6A">
      <w:pPr>
        <w:pStyle w:val="Heading1"/>
        <w:spacing w:line="360" w:lineRule="auto"/>
        <w:rPr>
          <w:rFonts w:cs="Times New Roman"/>
          <w:b w:val="0"/>
          <w:szCs w:val="24"/>
        </w:rPr>
      </w:pPr>
      <w:bookmarkStart w:id="30" w:name="_Toc110686866"/>
      <w:bookmarkStart w:id="31" w:name="_Toc110689181"/>
      <w:r w:rsidRPr="00E66711">
        <w:rPr>
          <w:rFonts w:cs="Times New Roman"/>
          <w:szCs w:val="24"/>
        </w:rPr>
        <w:t>Conclusion</w:t>
      </w:r>
      <w:bookmarkEnd w:id="30"/>
      <w:bookmarkEnd w:id="31"/>
      <w:r w:rsidRPr="00E66711">
        <w:rPr>
          <w:rFonts w:cs="Times New Roman"/>
          <w:szCs w:val="24"/>
        </w:rPr>
        <w:t xml:space="preserve"> </w:t>
      </w:r>
    </w:p>
    <w:p w14:paraId="450DD439" w14:textId="77777777" w:rsidR="00CA6AB7" w:rsidRPr="00E66711" w:rsidRDefault="00000000" w:rsidP="00C16D6A">
      <w:pPr>
        <w:spacing w:line="360" w:lineRule="auto"/>
        <w:jc w:val="both"/>
        <w:rPr>
          <w:rFonts w:ascii="Times New Roman" w:hAnsi="Times New Roman" w:cs="Times New Roman"/>
          <w:sz w:val="24"/>
          <w:szCs w:val="24"/>
        </w:rPr>
      </w:pPr>
      <w:r w:rsidRPr="00E66711">
        <w:rPr>
          <w:rFonts w:ascii="Times New Roman" w:hAnsi="Times New Roman" w:cs="Times New Roman"/>
          <w:sz w:val="24"/>
          <w:szCs w:val="24"/>
        </w:rPr>
        <w:t xml:space="preserve">Coca-Cola is </w:t>
      </w:r>
      <w:r w:rsidR="00014B65" w:rsidRPr="00E66711">
        <w:rPr>
          <w:rFonts w:ascii="Times New Roman" w:hAnsi="Times New Roman" w:cs="Times New Roman"/>
          <w:sz w:val="24"/>
          <w:szCs w:val="24"/>
        </w:rPr>
        <w:t>a</w:t>
      </w:r>
      <w:r w:rsidRPr="00E66711">
        <w:rPr>
          <w:rFonts w:ascii="Times New Roman" w:hAnsi="Times New Roman" w:cs="Times New Roman"/>
          <w:sz w:val="24"/>
          <w:szCs w:val="24"/>
        </w:rPr>
        <w:t xml:space="preserve"> Multinational Corporation </w:t>
      </w:r>
      <w:r w:rsidR="00014B65" w:rsidRPr="00E66711">
        <w:rPr>
          <w:rFonts w:ascii="Times New Roman" w:hAnsi="Times New Roman" w:cs="Times New Roman"/>
          <w:sz w:val="24"/>
          <w:szCs w:val="24"/>
        </w:rPr>
        <w:t xml:space="preserve">that operates in various countries of the World. Various factors influence the demand for Coca-Cola's soft drinks in different regions. In the UK, Coca-Cola is the largest beverages and soft drink brand in terms of varieties and revenues. But recently the company has faced some environmental issues. Also, the covid-19 has affected </w:t>
      </w:r>
      <w:r w:rsidR="00014B65" w:rsidRPr="00E66711">
        <w:rPr>
          <w:rFonts w:ascii="Times New Roman" w:hAnsi="Times New Roman" w:cs="Times New Roman"/>
          <w:sz w:val="24"/>
          <w:szCs w:val="24"/>
        </w:rPr>
        <w:lastRenderedPageBreak/>
        <w:t>the growth trend of the company adversely. Coca-Cola has been accused of plastic pollution, ethical dilemma, etc.</w:t>
      </w:r>
      <w:r w:rsidR="00FC3EBF" w:rsidRPr="00E66711">
        <w:rPr>
          <w:rFonts w:ascii="Times New Roman" w:hAnsi="Times New Roman" w:cs="Times New Roman"/>
          <w:sz w:val="24"/>
          <w:szCs w:val="24"/>
        </w:rPr>
        <w:t xml:space="preserve"> People nowadays are not very optimistic about consuming sugar-made beverages.</w:t>
      </w:r>
      <w:r w:rsidR="00014B65" w:rsidRPr="00E66711">
        <w:rPr>
          <w:rFonts w:ascii="Times New Roman" w:hAnsi="Times New Roman" w:cs="Times New Roman"/>
          <w:sz w:val="24"/>
          <w:szCs w:val="24"/>
        </w:rPr>
        <w:t xml:space="preserve"> The sales have dropped as well in recent years. Coca-Coca has to resolve all these issues to remain on track and grow further </w:t>
      </w:r>
    </w:p>
    <w:p w14:paraId="3E937B5A" w14:textId="77777777" w:rsidR="003A1774" w:rsidRPr="00E66711" w:rsidRDefault="00000000" w:rsidP="00C16D6A">
      <w:pPr>
        <w:spacing w:line="360" w:lineRule="auto"/>
        <w:rPr>
          <w:rFonts w:ascii="Times New Roman" w:eastAsiaTheme="majorEastAsia" w:hAnsi="Times New Roman" w:cs="Times New Roman"/>
          <w:b/>
          <w:color w:val="000000" w:themeColor="text1"/>
          <w:sz w:val="24"/>
          <w:szCs w:val="24"/>
        </w:rPr>
      </w:pPr>
      <w:bookmarkStart w:id="32" w:name="_Toc110686867"/>
      <w:r w:rsidRPr="00E66711">
        <w:rPr>
          <w:rFonts w:ascii="Times New Roman" w:hAnsi="Times New Roman" w:cs="Times New Roman"/>
          <w:sz w:val="24"/>
          <w:szCs w:val="24"/>
        </w:rPr>
        <w:br w:type="page"/>
      </w:r>
    </w:p>
    <w:p w14:paraId="3AF01412" w14:textId="77777777" w:rsidR="009916CF" w:rsidRPr="00E66711" w:rsidRDefault="00000000" w:rsidP="00C16D6A">
      <w:pPr>
        <w:pStyle w:val="Heading1"/>
        <w:spacing w:line="360" w:lineRule="auto"/>
        <w:rPr>
          <w:rFonts w:cs="Times New Roman"/>
          <w:szCs w:val="24"/>
        </w:rPr>
      </w:pPr>
      <w:bookmarkStart w:id="33" w:name="_Toc110689182"/>
      <w:r w:rsidRPr="00E66711">
        <w:rPr>
          <w:rFonts w:cs="Times New Roman"/>
          <w:szCs w:val="24"/>
        </w:rPr>
        <w:lastRenderedPageBreak/>
        <w:t>Reference list</w:t>
      </w:r>
      <w:bookmarkEnd w:id="32"/>
      <w:bookmarkEnd w:id="33"/>
    </w:p>
    <w:p w14:paraId="273ED15B" w14:textId="77777777" w:rsidR="00C16D6A" w:rsidRPr="00E66711" w:rsidRDefault="00000000" w:rsidP="00C16D6A">
      <w:pPr>
        <w:pStyle w:val="NormalWeb"/>
        <w:spacing w:before="0" w:beforeAutospacing="0" w:after="180" w:afterAutospacing="0" w:line="360" w:lineRule="auto"/>
        <w:jc w:val="both"/>
        <w:rPr>
          <w:color w:val="000000" w:themeColor="text1"/>
          <w:shd w:val="clear" w:color="auto" w:fill="FFFFFF"/>
        </w:rPr>
      </w:pPr>
      <w:r w:rsidRPr="00E66711">
        <w:rPr>
          <w:color w:val="000000" w:themeColor="text1"/>
          <w:shd w:val="clear" w:color="auto" w:fill="FFFFFF"/>
        </w:rPr>
        <w:t>Brækkan, E.H., Thyholdt, S.B., Asche, F. and Myrland, Ø., 2018. The demands they are a-changin’. European Review of Agricultural Economics, 45(4), pp.531-552.</w:t>
      </w:r>
    </w:p>
    <w:p w14:paraId="2FF2493B"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Coca-cola.co.uk. 2022. Brands. [online] Available at: &lt;https://www.coca-cola.co.uk/brands&gt; [Accessed 6 August 2022].</w:t>
      </w:r>
    </w:p>
    <w:p w14:paraId="7CF0269C"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Ft.com. 2022. McDonald's raises the price of a 99p cheeseburger for the first time in 14 years. [online] Available at: &lt;https://www.ft.com/content/979673ff-420c-48fa-9701-3d24d9831a17&gt; [Accessed 6 August 2022].</w:t>
      </w:r>
    </w:p>
    <w:p w14:paraId="24062822"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shd w:val="clear" w:color="auto" w:fill="FFFFFF"/>
        </w:rPr>
        <w:t>Hallak, R., Onur, I. and Lee, C., 2022. Consumer demand for healthy beverages in the hospitality industry: Examining willingness to pay a premium, and barriers to purchase. PloS one, 17(5), p.e0267726.</w:t>
      </w:r>
    </w:p>
    <w:p w14:paraId="1B3E64C3" w14:textId="77777777" w:rsidR="00C16D6A" w:rsidRPr="00E66711" w:rsidRDefault="00000000" w:rsidP="00C16D6A">
      <w:pPr>
        <w:pStyle w:val="NormalWeb"/>
        <w:spacing w:before="0" w:beforeAutospacing="0" w:after="180" w:afterAutospacing="0" w:line="360" w:lineRule="auto"/>
        <w:jc w:val="both"/>
        <w:rPr>
          <w:color w:val="000000" w:themeColor="text1"/>
          <w:shd w:val="clear" w:color="auto" w:fill="FFFFFF"/>
        </w:rPr>
      </w:pPr>
      <w:r w:rsidRPr="00E66711">
        <w:rPr>
          <w:color w:val="000000" w:themeColor="text1"/>
          <w:shd w:val="clear" w:color="auto" w:fill="FFFFFF"/>
        </w:rPr>
        <w:t>Henry, C., Brock, A., Sekul, F., Lalejini, A., McInnis, J., and Accounting, H., 2022. CASE COMPETITION: THE COCA-COLA COMPANY. Case Studies: A Study of Accounting Practices and Concepts, p.62.</w:t>
      </w:r>
    </w:p>
    <w:p w14:paraId="43AC6076" w14:textId="77777777" w:rsidR="00C16D6A" w:rsidRPr="00E66711" w:rsidRDefault="00000000" w:rsidP="00C16D6A">
      <w:pPr>
        <w:pStyle w:val="NormalWeb"/>
        <w:spacing w:before="0" w:beforeAutospacing="0" w:after="180" w:afterAutospacing="0" w:line="360" w:lineRule="auto"/>
        <w:jc w:val="both"/>
        <w:rPr>
          <w:color w:val="000000" w:themeColor="text1"/>
          <w:shd w:val="clear" w:color="auto" w:fill="FFFFFF"/>
        </w:rPr>
      </w:pPr>
      <w:r w:rsidRPr="00E66711">
        <w:rPr>
          <w:color w:val="000000" w:themeColor="text1"/>
          <w:shd w:val="clear" w:color="auto" w:fill="FFFFFF"/>
        </w:rPr>
        <w:t>Israel, K.F., 2018. The income effect was reconsidered. Available at SSRN 3289600.</w:t>
      </w:r>
    </w:p>
    <w:p w14:paraId="46FD5D9E" w14:textId="77777777" w:rsidR="00C16D6A" w:rsidRPr="00E66711" w:rsidRDefault="00000000" w:rsidP="00C16D6A">
      <w:pPr>
        <w:pStyle w:val="NormalWeb"/>
        <w:spacing w:before="0" w:beforeAutospacing="0" w:after="180" w:afterAutospacing="0" w:line="360" w:lineRule="auto"/>
        <w:jc w:val="both"/>
        <w:rPr>
          <w:color w:val="000000" w:themeColor="text1"/>
          <w:shd w:val="clear" w:color="auto" w:fill="FFFFFF"/>
        </w:rPr>
      </w:pPr>
      <w:r w:rsidRPr="00E66711">
        <w:rPr>
          <w:color w:val="000000" w:themeColor="text1"/>
          <w:shd w:val="clear" w:color="auto" w:fill="FFFFFF"/>
        </w:rPr>
        <w:t>Liu, S., 2021. A Report on Strategic Analysis and Recommendations of Coca-Cola. International Journal of Frontiers in Sociology, 3(17).</w:t>
      </w:r>
    </w:p>
    <w:p w14:paraId="00FD4C92"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Macrotrends.net. 2022. Coca-Cola Revenue 2010-2022 | KO. [online] Available at: &lt;https://www.macrotrends.net/stocks/charts/KO/cocacola/revenue&gt; [Accessed 6 August 2022].</w:t>
      </w:r>
    </w:p>
    <w:p w14:paraId="106F2C2C"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Ons.gov.uk. 2022. Average household income, UK - Office for National Statistics. [online] Available at: &lt;https://www.ons.gov.uk/peoplepopulationandcommunity/personalandhouseholdfinances/incomeandwealth/bulletins/householddisposableincomeandinequality/financialyearending2021&gt; [Accessed 6 August 2022].</w:t>
      </w:r>
    </w:p>
    <w:p w14:paraId="13FE5121"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Statista. 2022. Coca-Cola's number of employees worldwide 2021 | Statista. [online] Available at: &lt;https://www.statista.com/statistics/254562/coca-colas-number-of-employees-worldwide/&gt; [Accessed 6 August 2022].</w:t>
      </w:r>
    </w:p>
    <w:p w14:paraId="1E7B265C"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lastRenderedPageBreak/>
        <w:t>Statista. 2022. Top UK soft drink brands, by grocery sales, value 2018 | Statista. [online] Available at: &lt;https://www.statista.com/statistics/296662/soft-drink-brand-ranking-in-the-united-kingdom-uk-by-grocery-market-value/&gt; [Accessed 6 August 2022].</w:t>
      </w:r>
    </w:p>
    <w:p w14:paraId="757B5E90"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Strimpel, Z., Boland, B., Foy, B., Evans, B., Rumsby, B., Brown, O., Westerman, L., Rumsby, B., Boland, B., Rumsby, B., Gill, B., McDonagh, M., Penna, B., Cogley, B., Ashworth, B., Ashworth, B., Uttley, B., Ashton, B., Uttley, B. and Boland, B., 2022. Coca-Cola. [online] The Telegraph. Available at: &lt;https://www.telegraph.co.uk/coca-cola/&gt; [Accessed 6 August 2022].</w:t>
      </w:r>
    </w:p>
    <w:p w14:paraId="18E7B948" w14:textId="77777777" w:rsidR="00C16D6A" w:rsidRPr="00E66711" w:rsidRDefault="00000000" w:rsidP="00C16D6A">
      <w:pPr>
        <w:pStyle w:val="NormalWeb"/>
        <w:spacing w:before="0" w:beforeAutospacing="0" w:after="180" w:afterAutospacing="0" w:line="360" w:lineRule="auto"/>
        <w:jc w:val="both"/>
        <w:rPr>
          <w:color w:val="000000" w:themeColor="text1"/>
          <w:shd w:val="clear" w:color="auto" w:fill="FFFFFF"/>
        </w:rPr>
      </w:pPr>
      <w:r w:rsidRPr="00E66711">
        <w:rPr>
          <w:color w:val="000000" w:themeColor="text1"/>
          <w:shd w:val="clear" w:color="auto" w:fill="FFFFFF"/>
        </w:rPr>
        <w:t>Stürner, M.L., 2021. Equity Valuation: Coca-Cola Company (Doctoral dissertation, Universidade Catolica Portuguesa (Portugal)).</w:t>
      </w:r>
    </w:p>
    <w:p w14:paraId="0CBBBDE0"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The Sun. 2022. Coca-Cola and Pepsi prices soar by up to 16p a bottle - here's how much your favorite pop now costs. [online] Available at: &lt;https://www.thesun.co.uk/money/8537119/coca-cola-pepsi-prices-rise/&gt; [Accessed 6 August 2022].</w:t>
      </w:r>
    </w:p>
    <w:p w14:paraId="196FEF21" w14:textId="77777777" w:rsidR="00C16D6A" w:rsidRPr="00E66711" w:rsidRDefault="00000000" w:rsidP="00C16D6A">
      <w:pPr>
        <w:pStyle w:val="NormalWeb"/>
        <w:spacing w:before="0" w:beforeAutospacing="0" w:after="180" w:afterAutospacing="0" w:line="360" w:lineRule="auto"/>
        <w:jc w:val="both"/>
        <w:rPr>
          <w:color w:val="000000" w:themeColor="text1"/>
        </w:rPr>
      </w:pPr>
      <w:r w:rsidRPr="00E66711">
        <w:rPr>
          <w:color w:val="000000" w:themeColor="text1"/>
        </w:rPr>
        <w:t>Your Coca-Cola. 2022. [online] Available at: &lt;https://www.yourcoca-cola.co.uk/soft-drinks.list?utm_medium=cpc&amp;utm_source=google&amp;utm_campaign=D2C_2022_Media_Plan&amp;gclid=Cj0KCQjworiXBhDJARIsAMuzAuxfqLp7sRRNs4PZsvTgy04nLdn_hyRqbIKCjOSerpfpEUBNPB45mOwaAq4YEALw_wcB&amp;gclsrc=aw.ds&amp;pageNumber=2&gt; [Accessed 6 August 2022].</w:t>
      </w:r>
    </w:p>
    <w:p w14:paraId="763573AA" w14:textId="77777777" w:rsidR="00E97687" w:rsidRPr="00E66711" w:rsidRDefault="00E97687" w:rsidP="00C16D6A">
      <w:pPr>
        <w:spacing w:line="360" w:lineRule="auto"/>
        <w:rPr>
          <w:rFonts w:ascii="Times New Roman" w:hAnsi="Times New Roman" w:cs="Times New Roman"/>
          <w:sz w:val="24"/>
          <w:szCs w:val="24"/>
        </w:rPr>
      </w:pPr>
    </w:p>
    <w:sectPr w:rsidR="00E97687" w:rsidRPr="00E66711" w:rsidSect="00E66711">
      <w:footerReference w:type="default" r:id="rId15"/>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631A4" w14:textId="77777777" w:rsidR="003E3888" w:rsidRDefault="003E3888">
      <w:pPr>
        <w:spacing w:after="0" w:line="240" w:lineRule="auto"/>
      </w:pPr>
      <w:r>
        <w:separator/>
      </w:r>
    </w:p>
  </w:endnote>
  <w:endnote w:type="continuationSeparator" w:id="0">
    <w:p w14:paraId="7DDE10CF" w14:textId="77777777" w:rsidR="003E3888" w:rsidRDefault="003E3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387787"/>
      <w:docPartObj>
        <w:docPartGallery w:val="Page Numbers (Bottom of Page)"/>
        <w:docPartUnique/>
      </w:docPartObj>
    </w:sdtPr>
    <w:sdtEndPr>
      <w:rPr>
        <w:noProof/>
      </w:rPr>
    </w:sdtEndPr>
    <w:sdtContent>
      <w:p w14:paraId="16B42F1C" w14:textId="77777777" w:rsidR="00C16D6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800517" w14:textId="77777777" w:rsidR="00C16D6A" w:rsidRDefault="00C16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0BC4C" w14:textId="77777777" w:rsidR="003E3888" w:rsidRDefault="003E3888">
      <w:pPr>
        <w:spacing w:after="0" w:line="240" w:lineRule="auto"/>
      </w:pPr>
      <w:r>
        <w:separator/>
      </w:r>
    </w:p>
  </w:footnote>
  <w:footnote w:type="continuationSeparator" w:id="0">
    <w:p w14:paraId="7E04FAFC" w14:textId="77777777" w:rsidR="003E3888" w:rsidRDefault="003E38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85827"/>
    <w:multiLevelType w:val="hybridMultilevel"/>
    <w:tmpl w:val="C8AE5E96"/>
    <w:lvl w:ilvl="0" w:tplc="31D2CEE6">
      <w:start w:val="1"/>
      <w:numFmt w:val="decimal"/>
      <w:lvlText w:val="%1."/>
      <w:lvlJc w:val="left"/>
      <w:pPr>
        <w:ind w:left="720" w:hanging="360"/>
      </w:pPr>
      <w:rPr>
        <w:rFonts w:hint="default"/>
      </w:rPr>
    </w:lvl>
    <w:lvl w:ilvl="1" w:tplc="CBCAA9D0" w:tentative="1">
      <w:start w:val="1"/>
      <w:numFmt w:val="lowerLetter"/>
      <w:lvlText w:val="%2."/>
      <w:lvlJc w:val="left"/>
      <w:pPr>
        <w:ind w:left="1440" w:hanging="360"/>
      </w:pPr>
    </w:lvl>
    <w:lvl w:ilvl="2" w:tplc="FFB680BE" w:tentative="1">
      <w:start w:val="1"/>
      <w:numFmt w:val="lowerRoman"/>
      <w:lvlText w:val="%3."/>
      <w:lvlJc w:val="right"/>
      <w:pPr>
        <w:ind w:left="2160" w:hanging="180"/>
      </w:pPr>
    </w:lvl>
    <w:lvl w:ilvl="3" w:tplc="64EAE25C" w:tentative="1">
      <w:start w:val="1"/>
      <w:numFmt w:val="decimal"/>
      <w:lvlText w:val="%4."/>
      <w:lvlJc w:val="left"/>
      <w:pPr>
        <w:ind w:left="2880" w:hanging="360"/>
      </w:pPr>
    </w:lvl>
    <w:lvl w:ilvl="4" w:tplc="8F100340" w:tentative="1">
      <w:start w:val="1"/>
      <w:numFmt w:val="lowerLetter"/>
      <w:lvlText w:val="%5."/>
      <w:lvlJc w:val="left"/>
      <w:pPr>
        <w:ind w:left="3600" w:hanging="360"/>
      </w:pPr>
    </w:lvl>
    <w:lvl w:ilvl="5" w:tplc="EF960EBE" w:tentative="1">
      <w:start w:val="1"/>
      <w:numFmt w:val="lowerRoman"/>
      <w:lvlText w:val="%6."/>
      <w:lvlJc w:val="right"/>
      <w:pPr>
        <w:ind w:left="4320" w:hanging="180"/>
      </w:pPr>
    </w:lvl>
    <w:lvl w:ilvl="6" w:tplc="E1FE6794" w:tentative="1">
      <w:start w:val="1"/>
      <w:numFmt w:val="decimal"/>
      <w:lvlText w:val="%7."/>
      <w:lvlJc w:val="left"/>
      <w:pPr>
        <w:ind w:left="5040" w:hanging="360"/>
      </w:pPr>
    </w:lvl>
    <w:lvl w:ilvl="7" w:tplc="1FE05AFE" w:tentative="1">
      <w:start w:val="1"/>
      <w:numFmt w:val="lowerLetter"/>
      <w:lvlText w:val="%8."/>
      <w:lvlJc w:val="left"/>
      <w:pPr>
        <w:ind w:left="5760" w:hanging="360"/>
      </w:pPr>
    </w:lvl>
    <w:lvl w:ilvl="8" w:tplc="41BAD77E" w:tentative="1">
      <w:start w:val="1"/>
      <w:numFmt w:val="lowerRoman"/>
      <w:lvlText w:val="%9."/>
      <w:lvlJc w:val="right"/>
      <w:pPr>
        <w:ind w:left="6480" w:hanging="180"/>
      </w:pPr>
    </w:lvl>
  </w:abstractNum>
  <w:abstractNum w:abstractNumId="1" w15:restartNumberingAfterBreak="0">
    <w:nsid w:val="27AA5520"/>
    <w:multiLevelType w:val="hybridMultilevel"/>
    <w:tmpl w:val="E25A5238"/>
    <w:lvl w:ilvl="0" w:tplc="DDD2708C">
      <w:start w:val="1"/>
      <w:numFmt w:val="decimal"/>
      <w:lvlText w:val="%1."/>
      <w:lvlJc w:val="left"/>
      <w:pPr>
        <w:ind w:left="720" w:hanging="360"/>
      </w:pPr>
      <w:rPr>
        <w:rFonts w:hint="default"/>
      </w:rPr>
    </w:lvl>
    <w:lvl w:ilvl="1" w:tplc="0A666016" w:tentative="1">
      <w:start w:val="1"/>
      <w:numFmt w:val="lowerLetter"/>
      <w:lvlText w:val="%2."/>
      <w:lvlJc w:val="left"/>
      <w:pPr>
        <w:ind w:left="1440" w:hanging="360"/>
      </w:pPr>
    </w:lvl>
    <w:lvl w:ilvl="2" w:tplc="89D42F7C" w:tentative="1">
      <w:start w:val="1"/>
      <w:numFmt w:val="lowerRoman"/>
      <w:lvlText w:val="%3."/>
      <w:lvlJc w:val="right"/>
      <w:pPr>
        <w:ind w:left="2160" w:hanging="180"/>
      </w:pPr>
    </w:lvl>
    <w:lvl w:ilvl="3" w:tplc="00528BD8" w:tentative="1">
      <w:start w:val="1"/>
      <w:numFmt w:val="decimal"/>
      <w:lvlText w:val="%4."/>
      <w:lvlJc w:val="left"/>
      <w:pPr>
        <w:ind w:left="2880" w:hanging="360"/>
      </w:pPr>
    </w:lvl>
    <w:lvl w:ilvl="4" w:tplc="7A66032A" w:tentative="1">
      <w:start w:val="1"/>
      <w:numFmt w:val="lowerLetter"/>
      <w:lvlText w:val="%5."/>
      <w:lvlJc w:val="left"/>
      <w:pPr>
        <w:ind w:left="3600" w:hanging="360"/>
      </w:pPr>
    </w:lvl>
    <w:lvl w:ilvl="5" w:tplc="AB0EB8B0" w:tentative="1">
      <w:start w:val="1"/>
      <w:numFmt w:val="lowerRoman"/>
      <w:lvlText w:val="%6."/>
      <w:lvlJc w:val="right"/>
      <w:pPr>
        <w:ind w:left="4320" w:hanging="180"/>
      </w:pPr>
    </w:lvl>
    <w:lvl w:ilvl="6" w:tplc="EB164AD4" w:tentative="1">
      <w:start w:val="1"/>
      <w:numFmt w:val="decimal"/>
      <w:lvlText w:val="%7."/>
      <w:lvlJc w:val="left"/>
      <w:pPr>
        <w:ind w:left="5040" w:hanging="360"/>
      </w:pPr>
    </w:lvl>
    <w:lvl w:ilvl="7" w:tplc="097AFC8A" w:tentative="1">
      <w:start w:val="1"/>
      <w:numFmt w:val="lowerLetter"/>
      <w:lvlText w:val="%8."/>
      <w:lvlJc w:val="left"/>
      <w:pPr>
        <w:ind w:left="5760" w:hanging="360"/>
      </w:pPr>
    </w:lvl>
    <w:lvl w:ilvl="8" w:tplc="D9D43880" w:tentative="1">
      <w:start w:val="1"/>
      <w:numFmt w:val="lowerRoman"/>
      <w:lvlText w:val="%9."/>
      <w:lvlJc w:val="right"/>
      <w:pPr>
        <w:ind w:left="6480" w:hanging="180"/>
      </w:pPr>
    </w:lvl>
  </w:abstractNum>
  <w:abstractNum w:abstractNumId="2" w15:restartNumberingAfterBreak="0">
    <w:nsid w:val="70647B06"/>
    <w:multiLevelType w:val="hybridMultilevel"/>
    <w:tmpl w:val="9FBC5E6A"/>
    <w:lvl w:ilvl="0" w:tplc="D16A4AFE">
      <w:start w:val="1"/>
      <w:numFmt w:val="decimal"/>
      <w:lvlText w:val="%1."/>
      <w:lvlJc w:val="left"/>
      <w:pPr>
        <w:ind w:left="720" w:hanging="360"/>
      </w:pPr>
      <w:rPr>
        <w:rFonts w:hint="default"/>
      </w:rPr>
    </w:lvl>
    <w:lvl w:ilvl="1" w:tplc="75CCA3DE" w:tentative="1">
      <w:start w:val="1"/>
      <w:numFmt w:val="lowerLetter"/>
      <w:lvlText w:val="%2."/>
      <w:lvlJc w:val="left"/>
      <w:pPr>
        <w:ind w:left="1440" w:hanging="360"/>
      </w:pPr>
    </w:lvl>
    <w:lvl w:ilvl="2" w:tplc="FB626B86" w:tentative="1">
      <w:start w:val="1"/>
      <w:numFmt w:val="lowerRoman"/>
      <w:lvlText w:val="%3."/>
      <w:lvlJc w:val="right"/>
      <w:pPr>
        <w:ind w:left="2160" w:hanging="180"/>
      </w:pPr>
    </w:lvl>
    <w:lvl w:ilvl="3" w:tplc="6F2076A0" w:tentative="1">
      <w:start w:val="1"/>
      <w:numFmt w:val="decimal"/>
      <w:lvlText w:val="%4."/>
      <w:lvlJc w:val="left"/>
      <w:pPr>
        <w:ind w:left="2880" w:hanging="360"/>
      </w:pPr>
    </w:lvl>
    <w:lvl w:ilvl="4" w:tplc="7AD6F5F8" w:tentative="1">
      <w:start w:val="1"/>
      <w:numFmt w:val="lowerLetter"/>
      <w:lvlText w:val="%5."/>
      <w:lvlJc w:val="left"/>
      <w:pPr>
        <w:ind w:left="3600" w:hanging="360"/>
      </w:pPr>
    </w:lvl>
    <w:lvl w:ilvl="5" w:tplc="AE2E8FA8" w:tentative="1">
      <w:start w:val="1"/>
      <w:numFmt w:val="lowerRoman"/>
      <w:lvlText w:val="%6."/>
      <w:lvlJc w:val="right"/>
      <w:pPr>
        <w:ind w:left="4320" w:hanging="180"/>
      </w:pPr>
    </w:lvl>
    <w:lvl w:ilvl="6" w:tplc="B560AB98" w:tentative="1">
      <w:start w:val="1"/>
      <w:numFmt w:val="decimal"/>
      <w:lvlText w:val="%7."/>
      <w:lvlJc w:val="left"/>
      <w:pPr>
        <w:ind w:left="5040" w:hanging="360"/>
      </w:pPr>
    </w:lvl>
    <w:lvl w:ilvl="7" w:tplc="7F80E07C" w:tentative="1">
      <w:start w:val="1"/>
      <w:numFmt w:val="lowerLetter"/>
      <w:lvlText w:val="%8."/>
      <w:lvlJc w:val="left"/>
      <w:pPr>
        <w:ind w:left="5760" w:hanging="360"/>
      </w:pPr>
    </w:lvl>
    <w:lvl w:ilvl="8" w:tplc="76287494" w:tentative="1">
      <w:start w:val="1"/>
      <w:numFmt w:val="lowerRoman"/>
      <w:lvlText w:val="%9."/>
      <w:lvlJc w:val="right"/>
      <w:pPr>
        <w:ind w:left="6480" w:hanging="180"/>
      </w:pPr>
    </w:lvl>
  </w:abstractNum>
  <w:num w:numId="1" w16cid:durableId="1854031569">
    <w:abstractNumId w:val="2"/>
  </w:num>
  <w:num w:numId="2" w16cid:durableId="2145196873">
    <w:abstractNumId w:val="0"/>
  </w:num>
  <w:num w:numId="3" w16cid:durableId="1350837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51D"/>
    <w:rsid w:val="00014B65"/>
    <w:rsid w:val="00035494"/>
    <w:rsid w:val="00072A69"/>
    <w:rsid w:val="00106825"/>
    <w:rsid w:val="0014516B"/>
    <w:rsid w:val="00202A1C"/>
    <w:rsid w:val="00232ACA"/>
    <w:rsid w:val="002401BE"/>
    <w:rsid w:val="002819F6"/>
    <w:rsid w:val="002C206B"/>
    <w:rsid w:val="002D43E0"/>
    <w:rsid w:val="00323FEA"/>
    <w:rsid w:val="0035151A"/>
    <w:rsid w:val="00385C07"/>
    <w:rsid w:val="0039678B"/>
    <w:rsid w:val="003A1774"/>
    <w:rsid w:val="003A6F94"/>
    <w:rsid w:val="003C032F"/>
    <w:rsid w:val="003D23CC"/>
    <w:rsid w:val="003D697A"/>
    <w:rsid w:val="003E3888"/>
    <w:rsid w:val="003E5F03"/>
    <w:rsid w:val="004302A0"/>
    <w:rsid w:val="00585AFB"/>
    <w:rsid w:val="005C6FCF"/>
    <w:rsid w:val="006337D0"/>
    <w:rsid w:val="00672ED7"/>
    <w:rsid w:val="00686CF3"/>
    <w:rsid w:val="00692C1A"/>
    <w:rsid w:val="00696425"/>
    <w:rsid w:val="007225B5"/>
    <w:rsid w:val="007742B5"/>
    <w:rsid w:val="00895A1D"/>
    <w:rsid w:val="008A28A6"/>
    <w:rsid w:val="00900460"/>
    <w:rsid w:val="009440E9"/>
    <w:rsid w:val="00971273"/>
    <w:rsid w:val="009916CF"/>
    <w:rsid w:val="009B463F"/>
    <w:rsid w:val="00A071BE"/>
    <w:rsid w:val="00A45A32"/>
    <w:rsid w:val="00A66814"/>
    <w:rsid w:val="00A96E40"/>
    <w:rsid w:val="00AA4AC1"/>
    <w:rsid w:val="00AC1164"/>
    <w:rsid w:val="00AD77A4"/>
    <w:rsid w:val="00AE37E9"/>
    <w:rsid w:val="00B54CD8"/>
    <w:rsid w:val="00B85260"/>
    <w:rsid w:val="00BB2EAA"/>
    <w:rsid w:val="00BC7AE9"/>
    <w:rsid w:val="00BD6B9F"/>
    <w:rsid w:val="00C058FB"/>
    <w:rsid w:val="00C16D6A"/>
    <w:rsid w:val="00C61D75"/>
    <w:rsid w:val="00C95B1C"/>
    <w:rsid w:val="00CA0C65"/>
    <w:rsid w:val="00CA6AB7"/>
    <w:rsid w:val="00CC1586"/>
    <w:rsid w:val="00CE0B86"/>
    <w:rsid w:val="00CF1290"/>
    <w:rsid w:val="00D60B8D"/>
    <w:rsid w:val="00D65DB8"/>
    <w:rsid w:val="00D82A5F"/>
    <w:rsid w:val="00E01A8F"/>
    <w:rsid w:val="00E24C22"/>
    <w:rsid w:val="00E66711"/>
    <w:rsid w:val="00E85121"/>
    <w:rsid w:val="00E97687"/>
    <w:rsid w:val="00EA3146"/>
    <w:rsid w:val="00ED3EDC"/>
    <w:rsid w:val="00EE0818"/>
    <w:rsid w:val="00F0251D"/>
    <w:rsid w:val="00F76FAE"/>
    <w:rsid w:val="00FA7844"/>
    <w:rsid w:val="00FC3EBF"/>
    <w:rsid w:val="00FD0F71"/>
    <w:rsid w:val="00FE47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386E"/>
  <w15:chartTrackingRefBased/>
  <w15:docId w15:val="{666140A3-5C09-44E3-B6B3-42447417C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6814"/>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A66814"/>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B54CD8"/>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3FEA"/>
    <w:rPr>
      <w:color w:val="0563C1" w:themeColor="hyperlink"/>
      <w:u w:val="single"/>
    </w:rPr>
  </w:style>
  <w:style w:type="character" w:customStyle="1" w:styleId="UnresolvedMention1">
    <w:name w:val="Unresolved Mention1"/>
    <w:basedOn w:val="DefaultParagraphFont"/>
    <w:uiPriority w:val="99"/>
    <w:semiHidden/>
    <w:unhideWhenUsed/>
    <w:rsid w:val="00323FEA"/>
    <w:rPr>
      <w:color w:val="605E5C"/>
      <w:shd w:val="clear" w:color="auto" w:fill="E1DFDD"/>
    </w:rPr>
  </w:style>
  <w:style w:type="paragraph" w:styleId="ListParagraph">
    <w:name w:val="List Paragraph"/>
    <w:basedOn w:val="Normal"/>
    <w:uiPriority w:val="34"/>
    <w:qFormat/>
    <w:rsid w:val="0035151A"/>
    <w:pPr>
      <w:ind w:left="720"/>
      <w:contextualSpacing/>
    </w:pPr>
  </w:style>
  <w:style w:type="character" w:customStyle="1" w:styleId="Heading2Char">
    <w:name w:val="Heading 2 Char"/>
    <w:basedOn w:val="DefaultParagraphFont"/>
    <w:link w:val="Heading2"/>
    <w:uiPriority w:val="9"/>
    <w:rsid w:val="00A66814"/>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A66814"/>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B54CD8"/>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EA3146"/>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A3146"/>
    <w:pPr>
      <w:tabs>
        <w:tab w:val="right" w:leader="dot" w:pos="9016"/>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EA3146"/>
    <w:pPr>
      <w:spacing w:after="100"/>
      <w:ind w:left="220"/>
    </w:pPr>
  </w:style>
  <w:style w:type="paragraph" w:styleId="TOC3">
    <w:name w:val="toc 3"/>
    <w:basedOn w:val="Normal"/>
    <w:next w:val="Normal"/>
    <w:autoRedefine/>
    <w:uiPriority w:val="39"/>
    <w:unhideWhenUsed/>
    <w:rsid w:val="00EA3146"/>
    <w:pPr>
      <w:spacing w:after="100"/>
      <w:ind w:left="440"/>
    </w:pPr>
  </w:style>
  <w:style w:type="paragraph" w:styleId="NormalWeb">
    <w:name w:val="Normal (Web)"/>
    <w:basedOn w:val="Normal"/>
    <w:uiPriority w:val="99"/>
    <w:semiHidden/>
    <w:unhideWhenUsed/>
    <w:rsid w:val="00E9768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16D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D6A"/>
  </w:style>
  <w:style w:type="paragraph" w:styleId="Footer">
    <w:name w:val="footer"/>
    <w:basedOn w:val="Normal"/>
    <w:link w:val="FooterChar"/>
    <w:uiPriority w:val="99"/>
    <w:unhideWhenUsed/>
    <w:rsid w:val="00C16D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63364">
      <w:bodyDiv w:val="1"/>
      <w:marLeft w:val="0"/>
      <w:marRight w:val="0"/>
      <w:marTop w:val="0"/>
      <w:marBottom w:val="0"/>
      <w:divBdr>
        <w:top w:val="none" w:sz="0" w:space="0" w:color="auto"/>
        <w:left w:val="none" w:sz="0" w:space="0" w:color="auto"/>
        <w:bottom w:val="none" w:sz="0" w:space="0" w:color="auto"/>
        <w:right w:val="none" w:sz="0" w:space="0" w:color="auto"/>
      </w:divBdr>
    </w:div>
    <w:div w:id="61482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economics.deman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LL\Downloads\economics.deman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LL\Downloads\economics.deman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ownloads\economics.deman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ownloads\economics.deman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ownloads\economics.deman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Downloads\economics.demand.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solidFill>
                  <a:srgbClr val="FF0000"/>
                </a:solidFill>
              </a:rPr>
              <a:t>Demand supply equilibrium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ro-RO"/>
        </a:p>
      </c:txPr>
    </c:title>
    <c:autoTitleDeleted val="0"/>
    <c:plotArea>
      <c:layout/>
      <c:lineChart>
        <c:grouping val="standard"/>
        <c:varyColors val="0"/>
        <c:ser>
          <c:idx val="0"/>
          <c:order val="0"/>
          <c:tx>
            <c:strRef>
              <c:f>Sheet1!$B$4</c:f>
              <c:strCache>
                <c:ptCount val="1"/>
                <c:pt idx="0">
                  <c:v>Quantity demanded </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val>
            <c:numRef>
              <c:f>Sheet1!$B$5:$B$10</c:f>
              <c:numCache>
                <c:formatCode>General</c:formatCode>
                <c:ptCount val="6"/>
                <c:pt idx="0">
                  <c:v>1750</c:v>
                </c:pt>
                <c:pt idx="1">
                  <c:v>1500</c:v>
                </c:pt>
                <c:pt idx="2">
                  <c:v>1000</c:v>
                </c:pt>
                <c:pt idx="3">
                  <c:v>900</c:v>
                </c:pt>
                <c:pt idx="4">
                  <c:v>700</c:v>
                </c:pt>
                <c:pt idx="5">
                  <c:v>500</c:v>
                </c:pt>
              </c:numCache>
            </c:numRef>
          </c:val>
          <c:smooth val="0"/>
          <c:extLst>
            <c:ext xmlns:c16="http://schemas.microsoft.com/office/drawing/2014/chart" uri="{C3380CC4-5D6E-409C-BE32-E72D297353CC}">
              <c16:uniqueId val="{00000000-39BC-40A9-A884-5CB05C17875A}"/>
            </c:ext>
          </c:extLst>
        </c:ser>
        <c:ser>
          <c:idx val="1"/>
          <c:order val="1"/>
          <c:tx>
            <c:strRef>
              <c:f>Sheet1!$C$4</c:f>
              <c:strCache>
                <c:ptCount val="1"/>
                <c:pt idx="0">
                  <c:v>Quantity supplied</c:v>
                </c:pt>
              </c:strCache>
            </c:strRef>
          </c:tx>
          <c:spPr>
            <a:ln w="2222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val>
            <c:numRef>
              <c:f>Sheet1!$C$5:$C$10</c:f>
              <c:numCache>
                <c:formatCode>General</c:formatCode>
                <c:ptCount val="6"/>
                <c:pt idx="0">
                  <c:v>500</c:v>
                </c:pt>
                <c:pt idx="1">
                  <c:v>750</c:v>
                </c:pt>
                <c:pt idx="2">
                  <c:v>1000</c:v>
                </c:pt>
                <c:pt idx="3">
                  <c:v>1250</c:v>
                </c:pt>
                <c:pt idx="4">
                  <c:v>1500</c:v>
                </c:pt>
                <c:pt idx="5">
                  <c:v>1750</c:v>
                </c:pt>
              </c:numCache>
            </c:numRef>
          </c:val>
          <c:smooth val="0"/>
          <c:extLst>
            <c:ext xmlns:c16="http://schemas.microsoft.com/office/drawing/2014/chart" uri="{C3380CC4-5D6E-409C-BE32-E72D297353CC}">
              <c16:uniqueId val="{00000001-39BC-40A9-A884-5CB05C17875A}"/>
            </c:ext>
          </c:extLst>
        </c:ser>
        <c:ser>
          <c:idx val="2"/>
          <c:order val="2"/>
          <c:tx>
            <c:strRef>
              <c:f>Sheet1!$D$4</c:f>
              <c:strCache>
                <c:ptCount val="1"/>
                <c:pt idx="0">
                  <c:v>Price</c:v>
                </c:pt>
              </c:strCache>
            </c:strRef>
          </c:tx>
          <c:spPr>
            <a:ln w="2222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val>
            <c:numRef>
              <c:f>Sheet1!$D$5:$D$10</c:f>
              <c:numCache>
                <c:formatCode>General</c:formatCode>
                <c:ptCount val="6"/>
                <c:pt idx="0">
                  <c:v>0.5</c:v>
                </c:pt>
                <c:pt idx="1">
                  <c:v>1</c:v>
                </c:pt>
                <c:pt idx="2">
                  <c:v>1.5</c:v>
                </c:pt>
                <c:pt idx="3">
                  <c:v>1.75</c:v>
                </c:pt>
                <c:pt idx="4">
                  <c:v>2</c:v>
                </c:pt>
                <c:pt idx="5">
                  <c:v>2.5</c:v>
                </c:pt>
              </c:numCache>
            </c:numRef>
          </c:val>
          <c:smooth val="0"/>
          <c:extLst>
            <c:ext xmlns:c16="http://schemas.microsoft.com/office/drawing/2014/chart" uri="{C3380CC4-5D6E-409C-BE32-E72D297353CC}">
              <c16:uniqueId val="{00000002-39BC-40A9-A884-5CB05C17875A}"/>
            </c:ext>
          </c:extLst>
        </c:ser>
        <c:dLbls>
          <c:dLblPos val="ctr"/>
          <c:showLegendKey val="0"/>
          <c:showVal val="1"/>
          <c:showCatName val="0"/>
          <c:showSerName val="0"/>
          <c:showPercent val="0"/>
          <c:showBubbleSize val="0"/>
        </c:dLbls>
        <c:smooth val="0"/>
        <c:axId val="673968975"/>
        <c:axId val="673972719"/>
      </c:lineChart>
      <c:catAx>
        <c:axId val="673968975"/>
        <c:scaling>
          <c:orientation val="minMax"/>
        </c:scaling>
        <c:delete val="0"/>
        <c:axPos val="b"/>
        <c:majorGridlines>
          <c:spPr>
            <a:ln w="9525">
              <a:solidFill>
                <a:schemeClr val="dk1">
                  <a:lumMod val="15000"/>
                  <a:lumOff val="85000"/>
                  <a:alpha val="54000"/>
                </a:schemeClr>
              </a:solidFill>
              <a:round/>
            </a:ln>
            <a:effectLst/>
          </c:spPr>
        </c:majorGridlines>
        <c:minorGridlines>
          <c:spPr>
            <a:ln w="9525">
              <a:solidFill>
                <a:schemeClr val="dk1">
                  <a:lumMod val="15000"/>
                  <a:lumOff val="85000"/>
                  <a:alpha val="51000"/>
                </a:schemeClr>
              </a:solidFill>
              <a:round/>
            </a:ln>
            <a:effectLst/>
          </c:spPr>
        </c:min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ro-RO"/>
          </a:p>
        </c:txPr>
        <c:crossAx val="673972719"/>
        <c:crosses val="autoZero"/>
        <c:auto val="1"/>
        <c:lblAlgn val="ctr"/>
        <c:lblOffset val="100"/>
        <c:noMultiLvlLbl val="0"/>
      </c:catAx>
      <c:valAx>
        <c:axId val="673972719"/>
        <c:scaling>
          <c:orientation val="minMax"/>
        </c:scaling>
        <c:delete val="0"/>
        <c:axPos val="l"/>
        <c:majorGridlines>
          <c:spPr>
            <a:ln w="9525">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crossAx val="673968975"/>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legend>
    <c:plotVisOnly val="1"/>
    <c:dispBlanksAs val="gap"/>
    <c:showDLblsOverMax val="0"/>
  </c:chart>
  <c:spPr>
    <a:solidFill>
      <a:schemeClr val="lt1"/>
    </a:solidFill>
    <a:ln w="9525">
      <a:solidFill>
        <a:schemeClr val="accent1">
          <a:lumMod val="50000"/>
        </a:schemeClr>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Annual Reveue of Coca-Cola (GBP)</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o-RO"/>
        </a:p>
      </c:txPr>
    </c:title>
    <c:autoTitleDeleted val="0"/>
    <c:plotArea>
      <c:layout/>
      <c:lineChart>
        <c:grouping val="standard"/>
        <c:varyColors val="0"/>
        <c:ser>
          <c:idx val="0"/>
          <c:order val="0"/>
          <c:tx>
            <c:strRef>
              <c:f>Sheet2!$B$2</c:f>
              <c:strCache>
                <c:ptCount val="1"/>
                <c:pt idx="0">
                  <c:v>Year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Sheet2!$B$3:$B$7</c:f>
              <c:numCache>
                <c:formatCode>General</c:formatCode>
                <c:ptCount val="5"/>
                <c:pt idx="0">
                  <c:v>2021</c:v>
                </c:pt>
                <c:pt idx="1">
                  <c:v>2020</c:v>
                </c:pt>
                <c:pt idx="2">
                  <c:v>2019</c:v>
                </c:pt>
                <c:pt idx="3">
                  <c:v>2018</c:v>
                </c:pt>
                <c:pt idx="4">
                  <c:v>2017</c:v>
                </c:pt>
              </c:numCache>
            </c:numRef>
          </c:val>
          <c:smooth val="0"/>
          <c:extLst>
            <c:ext xmlns:c16="http://schemas.microsoft.com/office/drawing/2014/chart" uri="{C3380CC4-5D6E-409C-BE32-E72D297353CC}">
              <c16:uniqueId val="{00000000-7164-42F4-8370-CD993FE02B60}"/>
            </c:ext>
          </c:extLst>
        </c:ser>
        <c:ser>
          <c:idx val="1"/>
          <c:order val="1"/>
          <c:tx>
            <c:strRef>
              <c:f>Sheet2!$C$2</c:f>
              <c:strCache>
                <c:ptCount val="1"/>
                <c:pt idx="0">
                  <c:v>Revenue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trendline>
            <c:spPr>
              <a:ln w="19050" cap="rnd">
                <a:solidFill>
                  <a:schemeClr val="accent2"/>
                </a:solidFill>
              </a:ln>
              <a:effectLst/>
            </c:spPr>
            <c:trendlineType val="linear"/>
            <c:dispRSqr val="0"/>
            <c:dispEq val="0"/>
          </c:trendline>
          <c:val>
            <c:numRef>
              <c:f>Sheet2!$C$3:$C$7</c:f>
              <c:numCache>
                <c:formatCode>#,##0.00</c:formatCode>
                <c:ptCount val="5"/>
                <c:pt idx="0">
                  <c:v>32005.18</c:v>
                </c:pt>
                <c:pt idx="1">
                  <c:v>27332.29</c:v>
                </c:pt>
                <c:pt idx="2">
                  <c:v>30852.52</c:v>
                </c:pt>
                <c:pt idx="3">
                  <c:v>28396.97</c:v>
                </c:pt>
                <c:pt idx="4">
                  <c:v>29979.91</c:v>
                </c:pt>
              </c:numCache>
            </c:numRef>
          </c:val>
          <c:smooth val="0"/>
          <c:extLst>
            <c:ext xmlns:c16="http://schemas.microsoft.com/office/drawing/2014/chart" uri="{C3380CC4-5D6E-409C-BE32-E72D297353CC}">
              <c16:uniqueId val="{00000002-7164-42F4-8370-CD993FE02B60}"/>
            </c:ext>
          </c:extLst>
        </c:ser>
        <c:dLbls>
          <c:showLegendKey val="0"/>
          <c:showVal val="0"/>
          <c:showCatName val="0"/>
          <c:showSerName val="0"/>
          <c:showPercent val="0"/>
          <c:showBubbleSize val="0"/>
        </c:dLbls>
        <c:smooth val="0"/>
        <c:axId val="683323983"/>
        <c:axId val="683329391"/>
      </c:lineChart>
      <c:catAx>
        <c:axId val="683323983"/>
        <c:scaling>
          <c:orientation val="minMax"/>
        </c:scaling>
        <c:delete val="0"/>
        <c:axPos val="b"/>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683329391"/>
        <c:crosses val="autoZero"/>
        <c:auto val="1"/>
        <c:lblAlgn val="ctr"/>
        <c:lblOffset val="100"/>
        <c:noMultiLvlLbl val="0"/>
      </c:catAx>
      <c:valAx>
        <c:axId val="683329391"/>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683323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ro-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Price pattern of McDonalds' Cheeseburgers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Sheet3!$B$5</c:f>
              <c:strCache>
                <c:ptCount val="1"/>
                <c:pt idx="0">
                  <c:v>2015</c:v>
                </c:pt>
              </c:strCache>
            </c:strRef>
          </c:tx>
          <c:spPr>
            <a:solidFill>
              <a:schemeClr val="accent1">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Sheet3!$C$5</c:f>
              <c:numCache>
                <c:formatCode>General</c:formatCode>
                <c:ptCount val="1"/>
                <c:pt idx="0">
                  <c:v>99</c:v>
                </c:pt>
              </c:numCache>
            </c:numRef>
          </c:val>
          <c:extLst>
            <c:ext xmlns:c16="http://schemas.microsoft.com/office/drawing/2014/chart" uri="{C3380CC4-5D6E-409C-BE32-E72D297353CC}">
              <c16:uniqueId val="{00000000-D4DC-4AB7-8F30-C83B44767A2E}"/>
            </c:ext>
          </c:extLst>
        </c:ser>
        <c:ser>
          <c:idx val="1"/>
          <c:order val="1"/>
          <c:tx>
            <c:strRef>
              <c:f>Sheet3!$B$6</c:f>
              <c:strCache>
                <c:ptCount val="1"/>
                <c:pt idx="0">
                  <c:v>2016</c:v>
                </c:pt>
              </c:strCache>
            </c:strRef>
          </c:tx>
          <c:spPr>
            <a:solidFill>
              <a:schemeClr val="accent2">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Sheet3!$C$6</c:f>
              <c:numCache>
                <c:formatCode>General</c:formatCode>
                <c:ptCount val="1"/>
                <c:pt idx="0">
                  <c:v>99</c:v>
                </c:pt>
              </c:numCache>
            </c:numRef>
          </c:val>
          <c:extLst>
            <c:ext xmlns:c16="http://schemas.microsoft.com/office/drawing/2014/chart" uri="{C3380CC4-5D6E-409C-BE32-E72D297353CC}">
              <c16:uniqueId val="{00000001-D4DC-4AB7-8F30-C83B44767A2E}"/>
            </c:ext>
          </c:extLst>
        </c:ser>
        <c:ser>
          <c:idx val="2"/>
          <c:order val="2"/>
          <c:tx>
            <c:strRef>
              <c:f>Sheet3!$B$7</c:f>
              <c:strCache>
                <c:ptCount val="1"/>
                <c:pt idx="0">
                  <c:v>2017</c:v>
                </c:pt>
              </c:strCache>
            </c:strRef>
          </c:tx>
          <c:spPr>
            <a:solidFill>
              <a:schemeClr val="accent3">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Sheet3!$C$7</c:f>
              <c:numCache>
                <c:formatCode>General</c:formatCode>
                <c:ptCount val="1"/>
                <c:pt idx="0">
                  <c:v>99</c:v>
                </c:pt>
              </c:numCache>
            </c:numRef>
          </c:val>
          <c:extLst>
            <c:ext xmlns:c16="http://schemas.microsoft.com/office/drawing/2014/chart" uri="{C3380CC4-5D6E-409C-BE32-E72D297353CC}">
              <c16:uniqueId val="{00000002-D4DC-4AB7-8F30-C83B44767A2E}"/>
            </c:ext>
          </c:extLst>
        </c:ser>
        <c:ser>
          <c:idx val="3"/>
          <c:order val="3"/>
          <c:tx>
            <c:strRef>
              <c:f>Sheet3!$B$8</c:f>
              <c:strCache>
                <c:ptCount val="1"/>
                <c:pt idx="0">
                  <c:v>2018</c:v>
                </c:pt>
              </c:strCache>
            </c:strRef>
          </c:tx>
          <c:spPr>
            <a:solidFill>
              <a:schemeClr val="accent4">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Sheet3!$C$8</c:f>
              <c:numCache>
                <c:formatCode>General</c:formatCode>
                <c:ptCount val="1"/>
                <c:pt idx="0">
                  <c:v>99</c:v>
                </c:pt>
              </c:numCache>
            </c:numRef>
          </c:val>
          <c:extLst>
            <c:ext xmlns:c16="http://schemas.microsoft.com/office/drawing/2014/chart" uri="{C3380CC4-5D6E-409C-BE32-E72D297353CC}">
              <c16:uniqueId val="{00000003-D4DC-4AB7-8F30-C83B44767A2E}"/>
            </c:ext>
          </c:extLst>
        </c:ser>
        <c:ser>
          <c:idx val="4"/>
          <c:order val="4"/>
          <c:tx>
            <c:strRef>
              <c:f>Sheet3!$B$9</c:f>
              <c:strCache>
                <c:ptCount val="1"/>
                <c:pt idx="0">
                  <c:v>2019</c:v>
                </c:pt>
              </c:strCache>
            </c:strRef>
          </c:tx>
          <c:spPr>
            <a:solidFill>
              <a:schemeClr val="accent5">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Sheet3!$C$9</c:f>
              <c:numCache>
                <c:formatCode>General</c:formatCode>
                <c:ptCount val="1"/>
                <c:pt idx="0">
                  <c:v>99</c:v>
                </c:pt>
              </c:numCache>
            </c:numRef>
          </c:val>
          <c:extLst>
            <c:ext xmlns:c16="http://schemas.microsoft.com/office/drawing/2014/chart" uri="{C3380CC4-5D6E-409C-BE32-E72D297353CC}">
              <c16:uniqueId val="{00000004-D4DC-4AB7-8F30-C83B44767A2E}"/>
            </c:ext>
          </c:extLst>
        </c:ser>
        <c:ser>
          <c:idx val="5"/>
          <c:order val="5"/>
          <c:tx>
            <c:strRef>
              <c:f>Sheet3!$B$10</c:f>
              <c:strCache>
                <c:ptCount val="1"/>
                <c:pt idx="0">
                  <c:v>2020</c:v>
                </c:pt>
              </c:strCache>
            </c:strRef>
          </c:tx>
          <c:spPr>
            <a:solidFill>
              <a:schemeClr val="accent6">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Sheet3!$C$10</c:f>
              <c:numCache>
                <c:formatCode>General</c:formatCode>
                <c:ptCount val="1"/>
                <c:pt idx="0">
                  <c:v>99</c:v>
                </c:pt>
              </c:numCache>
            </c:numRef>
          </c:val>
          <c:extLst>
            <c:ext xmlns:c16="http://schemas.microsoft.com/office/drawing/2014/chart" uri="{C3380CC4-5D6E-409C-BE32-E72D297353CC}">
              <c16:uniqueId val="{00000005-D4DC-4AB7-8F30-C83B44767A2E}"/>
            </c:ext>
          </c:extLst>
        </c:ser>
        <c:ser>
          <c:idx val="6"/>
          <c:order val="6"/>
          <c:tx>
            <c:strRef>
              <c:f>Sheet3!$B$11</c:f>
              <c:strCache>
                <c:ptCount val="1"/>
                <c:pt idx="0">
                  <c:v>2021</c:v>
                </c:pt>
              </c:strCache>
            </c:strRef>
          </c:tx>
          <c:spPr>
            <a:solidFill>
              <a:schemeClr val="accent1">
                <a:lumMod val="60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Sheet3!$C$11</c:f>
              <c:numCache>
                <c:formatCode>General</c:formatCode>
                <c:ptCount val="1"/>
                <c:pt idx="0">
                  <c:v>99</c:v>
                </c:pt>
              </c:numCache>
            </c:numRef>
          </c:val>
          <c:extLst>
            <c:ext xmlns:c16="http://schemas.microsoft.com/office/drawing/2014/chart" uri="{C3380CC4-5D6E-409C-BE32-E72D297353CC}">
              <c16:uniqueId val="{00000006-D4DC-4AB7-8F30-C83B44767A2E}"/>
            </c:ext>
          </c:extLst>
        </c:ser>
        <c:ser>
          <c:idx val="7"/>
          <c:order val="7"/>
          <c:tx>
            <c:strRef>
              <c:f>Sheet3!$B$12</c:f>
              <c:strCache>
                <c:ptCount val="1"/>
                <c:pt idx="0">
                  <c:v>2022</c:v>
                </c:pt>
              </c:strCache>
            </c:strRef>
          </c:tx>
          <c:spPr>
            <a:solidFill>
              <a:schemeClr val="accent2">
                <a:lumMod val="60000"/>
                <a:alpha val="85000"/>
              </a:schemeClr>
            </a:solidFill>
            <a:ln w="9525">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Sheet3!$C$4</c:f>
              <c:strCache>
                <c:ptCount val="1"/>
                <c:pt idx="0">
                  <c:v>Price (Pence)</c:v>
                </c:pt>
              </c:strCache>
            </c:strRef>
          </c:cat>
          <c:val>
            <c:numRef>
              <c:f>Sheet3!$C$12</c:f>
              <c:numCache>
                <c:formatCode>General</c:formatCode>
                <c:ptCount val="1"/>
                <c:pt idx="0">
                  <c:v>119</c:v>
                </c:pt>
              </c:numCache>
            </c:numRef>
          </c:val>
          <c:extLst>
            <c:ext xmlns:c16="http://schemas.microsoft.com/office/drawing/2014/chart" uri="{C3380CC4-5D6E-409C-BE32-E72D297353CC}">
              <c16:uniqueId val="{00000007-D4DC-4AB7-8F30-C83B44767A2E}"/>
            </c:ext>
          </c:extLst>
        </c:ser>
        <c:dLbls>
          <c:dLblPos val="inEnd"/>
          <c:showLegendKey val="0"/>
          <c:showVal val="1"/>
          <c:showCatName val="0"/>
          <c:showSerName val="0"/>
          <c:showPercent val="0"/>
          <c:showBubbleSize val="0"/>
        </c:dLbls>
        <c:gapWidth val="65"/>
        <c:axId val="1743814863"/>
        <c:axId val="1743813615"/>
      </c:barChart>
      <c:catAx>
        <c:axId val="1743814863"/>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1743813615"/>
        <c:crosses val="autoZero"/>
        <c:auto val="1"/>
        <c:lblAlgn val="ctr"/>
        <c:lblOffset val="100"/>
        <c:noMultiLvlLbl val="0"/>
      </c:catAx>
      <c:valAx>
        <c:axId val="1743813615"/>
        <c:scaling>
          <c:orientation val="minMax"/>
        </c:scaling>
        <c:delete val="1"/>
        <c:axPos val="l"/>
        <c:majorGridlines>
          <c:spPr>
            <a:ln w="9525">
              <a:gradFill rotWithShape="1">
                <a:gsLst>
                  <a:gs pos="0">
                    <a:schemeClr val="lt1">
                      <a:lumMod val="75000"/>
                      <a:alpha val="36000"/>
                    </a:schemeClr>
                  </a:gs>
                  <a:gs pos="100000">
                    <a:schemeClr val="dk1">
                      <a:lumMod val="95000"/>
                      <a:lumOff val="5000"/>
                      <a:alpha val="42000"/>
                    </a:schemeClr>
                  </a:gs>
                </a:gsLst>
                <a:lin ang="5400000" scaled="0"/>
              </a:gradFill>
              <a:round/>
            </a:ln>
            <a:effectLst/>
          </c:spPr>
        </c:majorGridlines>
        <c:numFmt formatCode="General" sourceLinked="1"/>
        <c:majorTickMark val="none"/>
        <c:minorTickMark val="none"/>
        <c:tickLblPos val="nextTo"/>
        <c:crossAx val="174381486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cap="none" spc="0" normalizeH="0" baseline="0">
                <a:solidFill>
                  <a:schemeClr val="dk1">
                    <a:lumMod val="50000"/>
                    <a:lumOff val="50000"/>
                  </a:schemeClr>
                </a:solidFill>
                <a:latin typeface="Times New Roman" panose="02020603050405020304" pitchFamily="18" charset="0"/>
                <a:ea typeface="+mj-ea"/>
                <a:cs typeface="Times New Roman" panose="02020603050405020304" pitchFamily="18" charset="0"/>
              </a:defRPr>
            </a:pPr>
            <a:r>
              <a:rPr lang="en-US">
                <a:solidFill>
                  <a:srgbClr val="FF0000"/>
                </a:solidFill>
              </a:rPr>
              <a:t>Disposable income of last 5 years </a:t>
            </a:r>
          </a:p>
        </c:rich>
      </c:tx>
      <c:overlay val="0"/>
      <c:spPr>
        <a:noFill/>
        <a:ln>
          <a:noFill/>
        </a:ln>
        <a:effectLst/>
      </c:spPr>
      <c:txPr>
        <a:bodyPr rot="0" spcFirstLastPara="1" vertOverflow="ellipsis" vert="horz" wrap="square" anchor="ctr" anchorCtr="1"/>
        <a:lstStyle/>
        <a:p>
          <a:pPr>
            <a:defRPr sz="1440" b="1" i="0" u="none" strike="noStrike" kern="1200" cap="none" spc="0" normalizeH="0" baseline="0">
              <a:solidFill>
                <a:schemeClr val="dk1">
                  <a:lumMod val="50000"/>
                  <a:lumOff val="50000"/>
                </a:schemeClr>
              </a:solidFill>
              <a:latin typeface="Times New Roman" panose="02020603050405020304" pitchFamily="18" charset="0"/>
              <a:ea typeface="+mj-ea"/>
              <a:cs typeface="Times New Roman" panose="02020603050405020304" pitchFamily="18" charset="0"/>
            </a:defRPr>
          </a:pPr>
          <a:endParaRPr lang="ro-RO"/>
        </a:p>
      </c:txPr>
    </c:title>
    <c:autoTitleDeleted val="0"/>
    <c:plotArea>
      <c:layout/>
      <c:barChart>
        <c:barDir val="col"/>
        <c:grouping val="clustered"/>
        <c:varyColors val="0"/>
        <c:ser>
          <c:idx val="0"/>
          <c:order val="0"/>
          <c:tx>
            <c:strRef>
              <c:f>Sheet4!$C$5</c:f>
              <c:strCache>
                <c:ptCount val="1"/>
                <c:pt idx="0">
                  <c:v>2016/17</c:v>
                </c:pt>
              </c:strCache>
            </c:strRef>
          </c:tx>
          <c:spPr>
            <a:solidFill>
              <a:schemeClr val="accent1"/>
            </a:solidFill>
            <a:ln>
              <a:noFill/>
            </a:ln>
            <a:effectLst/>
          </c:spPr>
          <c:invertIfNegative val="0"/>
          <c:cat>
            <c:strRef>
              <c:f>Sheet4!$D$4:$E$4</c:f>
              <c:strCache>
                <c:ptCount val="2"/>
                <c:pt idx="0">
                  <c:v>Mean equivalised disposable income</c:v>
                </c:pt>
                <c:pt idx="1">
                  <c:v>Median equivalised disposable income</c:v>
                </c:pt>
              </c:strCache>
            </c:strRef>
          </c:cat>
          <c:val>
            <c:numRef>
              <c:f>Sheet4!$D$5:$E$5</c:f>
              <c:numCache>
                <c:formatCode>General</c:formatCode>
                <c:ptCount val="2"/>
                <c:pt idx="0">
                  <c:v>36621</c:v>
                </c:pt>
                <c:pt idx="1">
                  <c:v>30026</c:v>
                </c:pt>
              </c:numCache>
            </c:numRef>
          </c:val>
          <c:extLst>
            <c:ext xmlns:c16="http://schemas.microsoft.com/office/drawing/2014/chart" uri="{C3380CC4-5D6E-409C-BE32-E72D297353CC}">
              <c16:uniqueId val="{00000000-2F85-4189-AE6E-1C7B16AC495D}"/>
            </c:ext>
          </c:extLst>
        </c:ser>
        <c:ser>
          <c:idx val="1"/>
          <c:order val="1"/>
          <c:tx>
            <c:strRef>
              <c:f>Sheet4!$C$6</c:f>
              <c:strCache>
                <c:ptCount val="1"/>
                <c:pt idx="0">
                  <c:v>2017/18</c:v>
                </c:pt>
              </c:strCache>
            </c:strRef>
          </c:tx>
          <c:spPr>
            <a:solidFill>
              <a:schemeClr val="accent2"/>
            </a:solidFill>
            <a:ln>
              <a:noFill/>
            </a:ln>
            <a:effectLst/>
          </c:spPr>
          <c:invertIfNegative val="0"/>
          <c:cat>
            <c:strRef>
              <c:f>Sheet4!$D$4:$E$4</c:f>
              <c:strCache>
                <c:ptCount val="2"/>
                <c:pt idx="0">
                  <c:v>Mean equivalised disposable income</c:v>
                </c:pt>
                <c:pt idx="1">
                  <c:v>Median equivalised disposable income</c:v>
                </c:pt>
              </c:strCache>
            </c:strRef>
          </c:cat>
          <c:val>
            <c:numRef>
              <c:f>Sheet4!$D$6:$E$6</c:f>
              <c:numCache>
                <c:formatCode>General</c:formatCode>
                <c:ptCount val="2"/>
                <c:pt idx="0">
                  <c:v>36017</c:v>
                </c:pt>
                <c:pt idx="1">
                  <c:v>29308</c:v>
                </c:pt>
              </c:numCache>
            </c:numRef>
          </c:val>
          <c:extLst>
            <c:ext xmlns:c16="http://schemas.microsoft.com/office/drawing/2014/chart" uri="{C3380CC4-5D6E-409C-BE32-E72D297353CC}">
              <c16:uniqueId val="{00000001-2F85-4189-AE6E-1C7B16AC495D}"/>
            </c:ext>
          </c:extLst>
        </c:ser>
        <c:ser>
          <c:idx val="2"/>
          <c:order val="2"/>
          <c:tx>
            <c:strRef>
              <c:f>Sheet4!$C$7</c:f>
              <c:strCache>
                <c:ptCount val="1"/>
                <c:pt idx="0">
                  <c:v>2018/19</c:v>
                </c:pt>
              </c:strCache>
            </c:strRef>
          </c:tx>
          <c:spPr>
            <a:solidFill>
              <a:schemeClr val="accent3"/>
            </a:solidFill>
            <a:ln>
              <a:noFill/>
            </a:ln>
            <a:effectLst/>
          </c:spPr>
          <c:invertIfNegative val="0"/>
          <c:cat>
            <c:strRef>
              <c:f>Sheet4!$D$4:$E$4</c:f>
              <c:strCache>
                <c:ptCount val="2"/>
                <c:pt idx="0">
                  <c:v>Mean equivalised disposable income</c:v>
                </c:pt>
                <c:pt idx="1">
                  <c:v>Median equivalised disposable income</c:v>
                </c:pt>
              </c:strCache>
            </c:strRef>
          </c:cat>
          <c:val>
            <c:numRef>
              <c:f>Sheet4!$D$7:$E$7</c:f>
              <c:numCache>
                <c:formatCode>General</c:formatCode>
                <c:ptCount val="2"/>
                <c:pt idx="0">
                  <c:v>36397</c:v>
                </c:pt>
                <c:pt idx="1">
                  <c:v>29548</c:v>
                </c:pt>
              </c:numCache>
            </c:numRef>
          </c:val>
          <c:extLst>
            <c:ext xmlns:c16="http://schemas.microsoft.com/office/drawing/2014/chart" uri="{C3380CC4-5D6E-409C-BE32-E72D297353CC}">
              <c16:uniqueId val="{00000002-2F85-4189-AE6E-1C7B16AC495D}"/>
            </c:ext>
          </c:extLst>
        </c:ser>
        <c:ser>
          <c:idx val="3"/>
          <c:order val="3"/>
          <c:tx>
            <c:strRef>
              <c:f>Sheet4!$C$8</c:f>
              <c:strCache>
                <c:ptCount val="1"/>
                <c:pt idx="0">
                  <c:v>2019/20</c:v>
                </c:pt>
              </c:strCache>
            </c:strRef>
          </c:tx>
          <c:spPr>
            <a:solidFill>
              <a:schemeClr val="accent4"/>
            </a:solidFill>
            <a:ln>
              <a:noFill/>
            </a:ln>
            <a:effectLst/>
          </c:spPr>
          <c:invertIfNegative val="0"/>
          <c:cat>
            <c:strRef>
              <c:f>Sheet4!$D$4:$E$4</c:f>
              <c:strCache>
                <c:ptCount val="2"/>
                <c:pt idx="0">
                  <c:v>Mean equivalised disposable income</c:v>
                </c:pt>
                <c:pt idx="1">
                  <c:v>Median equivalised disposable income</c:v>
                </c:pt>
              </c:strCache>
            </c:strRef>
          </c:cat>
          <c:val>
            <c:numRef>
              <c:f>Sheet4!$D$8:$E$8</c:f>
              <c:numCache>
                <c:formatCode>General</c:formatCode>
                <c:ptCount val="2"/>
                <c:pt idx="0">
                  <c:v>37839</c:v>
                </c:pt>
                <c:pt idx="1">
                  <c:v>30762</c:v>
                </c:pt>
              </c:numCache>
            </c:numRef>
          </c:val>
          <c:extLst>
            <c:ext xmlns:c16="http://schemas.microsoft.com/office/drawing/2014/chart" uri="{C3380CC4-5D6E-409C-BE32-E72D297353CC}">
              <c16:uniqueId val="{00000003-2F85-4189-AE6E-1C7B16AC495D}"/>
            </c:ext>
          </c:extLst>
        </c:ser>
        <c:ser>
          <c:idx val="4"/>
          <c:order val="4"/>
          <c:tx>
            <c:strRef>
              <c:f>Sheet4!$C$9</c:f>
              <c:strCache>
                <c:ptCount val="1"/>
                <c:pt idx="0">
                  <c:v>2020/21</c:v>
                </c:pt>
              </c:strCache>
            </c:strRef>
          </c:tx>
          <c:spPr>
            <a:solidFill>
              <a:schemeClr val="accent5"/>
            </a:solidFill>
            <a:ln>
              <a:noFill/>
            </a:ln>
            <a:effectLst/>
          </c:spPr>
          <c:invertIfNegative val="0"/>
          <c:cat>
            <c:strRef>
              <c:f>Sheet4!$D$4:$E$4</c:f>
              <c:strCache>
                <c:ptCount val="2"/>
                <c:pt idx="0">
                  <c:v>Mean equivalised disposable income</c:v>
                </c:pt>
                <c:pt idx="1">
                  <c:v>Median equivalised disposable income</c:v>
                </c:pt>
              </c:strCache>
            </c:strRef>
          </c:cat>
          <c:val>
            <c:numRef>
              <c:f>Sheet4!$D$9:$E$9</c:f>
              <c:numCache>
                <c:formatCode>General</c:formatCode>
                <c:ptCount val="2"/>
                <c:pt idx="0">
                  <c:v>37622</c:v>
                </c:pt>
                <c:pt idx="1">
                  <c:v>31385</c:v>
                </c:pt>
              </c:numCache>
            </c:numRef>
          </c:val>
          <c:extLst>
            <c:ext xmlns:c16="http://schemas.microsoft.com/office/drawing/2014/chart" uri="{C3380CC4-5D6E-409C-BE32-E72D297353CC}">
              <c16:uniqueId val="{00000004-2F85-4189-AE6E-1C7B16AC495D}"/>
            </c:ext>
          </c:extLst>
        </c:ser>
        <c:dLbls>
          <c:showLegendKey val="0"/>
          <c:showVal val="0"/>
          <c:showCatName val="0"/>
          <c:showSerName val="0"/>
          <c:showPercent val="0"/>
          <c:showBubbleSize val="0"/>
        </c:dLbls>
        <c:gapWidth val="267"/>
        <c:overlap val="-43"/>
        <c:axId val="2128850448"/>
        <c:axId val="2128842128"/>
      </c:barChart>
      <c:catAx>
        <c:axId val="2128850448"/>
        <c:scaling>
          <c:orientation val="minMax"/>
        </c:scaling>
        <c:delete val="0"/>
        <c:axPos val="b"/>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200" b="0" i="0" u="none" strike="noStrike" kern="1200" cap="none" spc="0" normalizeH="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ro-RO"/>
          </a:p>
        </c:txPr>
        <c:crossAx val="2128842128"/>
        <c:crosses val="autoZero"/>
        <c:auto val="1"/>
        <c:lblAlgn val="ctr"/>
        <c:lblOffset val="100"/>
        <c:noMultiLvlLbl val="0"/>
      </c:catAx>
      <c:valAx>
        <c:axId val="2128842128"/>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ro-RO"/>
          </a:p>
        </c:txPr>
        <c:crossAx val="212885044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ro-RO"/>
        </a:p>
      </c:txPr>
    </c:legend>
    <c:plotVisOnly val="1"/>
    <c:dispBlanksAs val="gap"/>
    <c:showDLblsOverMax val="0"/>
  </c:chart>
  <c:spPr>
    <a:solidFill>
      <a:schemeClr val="lt1"/>
    </a:solidFill>
    <a:ln w="9525">
      <a:solidFill>
        <a:schemeClr val="tx1"/>
      </a:solidFill>
      <a:round/>
    </a:ln>
    <a:effectLst/>
  </c:spPr>
  <c:txPr>
    <a:bodyPr/>
    <a:lstStyle/>
    <a:p>
      <a:pPr>
        <a:defRPr sz="1200">
          <a:latin typeface="Times New Roman" panose="02020603050405020304" pitchFamily="18" charset="0"/>
          <a:cs typeface="Times New Roman" panose="02020603050405020304" pitchFamily="18" charset="0"/>
        </a:defRPr>
      </a:pPr>
      <a:endParaRPr lang="ro-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Grocery</a:t>
            </a:r>
            <a:r>
              <a:rPr lang="en-US" baseline="0"/>
              <a:t> Sales Value of different beverages brand in the UK in 2018</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E2-4030-9DB7-FE63A8F5E8D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E2-4030-9DB7-FE63A8F5E8D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E2-4030-9DB7-FE63A8F5E8D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E2-4030-9DB7-FE63A8F5E8D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E2-4030-9DB7-FE63A8F5E8D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7E2-4030-9DB7-FE63A8F5E8DE}"/>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07E2-4030-9DB7-FE63A8F5E8DE}"/>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07E2-4030-9DB7-FE63A8F5E8DE}"/>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07E2-4030-9DB7-FE63A8F5E8DE}"/>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07E2-4030-9DB7-FE63A8F5E8D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Sheet4!$C$28:$C$37</c:f>
              <c:strCache>
                <c:ptCount val="10"/>
                <c:pt idx="0">
                  <c:v>Private Label</c:v>
                </c:pt>
                <c:pt idx="1">
                  <c:v>Coca Cola (non alcoholic beverages)</c:v>
                </c:pt>
                <c:pt idx="2">
                  <c:v>Pepsi (non alcoholic beverages)</c:v>
                </c:pt>
                <c:pt idx="3">
                  <c:v>Innocent</c:v>
                </c:pt>
                <c:pt idx="4">
                  <c:v>Lucozade</c:v>
                </c:pt>
                <c:pt idx="5">
                  <c:v>Robinsons</c:v>
                </c:pt>
                <c:pt idx="6">
                  <c:v>Red Bull</c:v>
                </c:pt>
                <c:pt idx="7">
                  <c:v>Fanta</c:v>
                </c:pt>
                <c:pt idx="8">
                  <c:v>Schweppes (non alcoholic beverages)</c:v>
                </c:pt>
                <c:pt idx="9">
                  <c:v>Fever-Tree (non alcoholic beverages)</c:v>
                </c:pt>
              </c:strCache>
            </c:strRef>
          </c:cat>
          <c:val>
            <c:numRef>
              <c:f>Sheet4!$D$28:$D$37</c:f>
              <c:numCache>
                <c:formatCode>General</c:formatCode>
                <c:ptCount val="10"/>
                <c:pt idx="0" formatCode="#,##0.00">
                  <c:v>1342.9</c:v>
                </c:pt>
                <c:pt idx="1">
                  <c:v>896.4</c:v>
                </c:pt>
                <c:pt idx="2">
                  <c:v>386.3</c:v>
                </c:pt>
                <c:pt idx="3">
                  <c:v>247.5</c:v>
                </c:pt>
                <c:pt idx="4">
                  <c:v>235.1</c:v>
                </c:pt>
                <c:pt idx="5">
                  <c:v>218</c:v>
                </c:pt>
                <c:pt idx="6">
                  <c:v>145.9</c:v>
                </c:pt>
                <c:pt idx="7">
                  <c:v>123.5</c:v>
                </c:pt>
                <c:pt idx="8">
                  <c:v>114.7</c:v>
                </c:pt>
                <c:pt idx="9">
                  <c:v>113.9</c:v>
                </c:pt>
              </c:numCache>
            </c:numRef>
          </c:val>
          <c:extLst>
            <c:ext xmlns:c16="http://schemas.microsoft.com/office/drawing/2014/chart" uri="{C3380CC4-5D6E-409C-BE32-E72D297353CC}">
              <c16:uniqueId val="{00000014-07E2-4030-9DB7-FE63A8F5E8D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US" sz="1200" b="1">
                <a:solidFill>
                  <a:srgbClr val="C00000"/>
                </a:solidFill>
                <a:latin typeface="Times New Roman" panose="02020603050405020304" pitchFamily="18" charset="0"/>
                <a:cs typeface="Times New Roman" panose="02020603050405020304" pitchFamily="18" charset="0"/>
              </a:rPr>
              <a:t>Price comparison of Coca-Cola and Pepsi</a:t>
            </a:r>
          </a:p>
        </c:rich>
      </c:tx>
      <c:overlay val="0"/>
      <c:spPr>
        <a:noFill/>
        <a:ln>
          <a:noFill/>
        </a:ln>
        <a:effectLst/>
      </c:spPr>
      <c:txPr>
        <a:bodyPr rot="0" spcFirstLastPara="1" vertOverflow="ellipsis" vert="horz" wrap="square" anchor="ctr" anchorCtr="1"/>
        <a:lstStyle/>
        <a:p>
          <a:pPr>
            <a:defRPr sz="1440" b="0"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ro-RO"/>
        </a:p>
      </c:txPr>
    </c:title>
    <c:autoTitleDeleted val="0"/>
    <c:plotArea>
      <c:layout>
        <c:manualLayout>
          <c:layoutTarget val="inner"/>
          <c:xMode val="edge"/>
          <c:yMode val="edge"/>
          <c:x val="8.3153717731486096E-2"/>
          <c:y val="0.1624537967236854"/>
          <c:w val="0.89655796150481193"/>
          <c:h val="0.56412766112569257"/>
        </c:manualLayout>
      </c:layout>
      <c:lineChart>
        <c:grouping val="stacked"/>
        <c:varyColors val="0"/>
        <c:ser>
          <c:idx val="0"/>
          <c:order val="0"/>
          <c:tx>
            <c:strRef>
              <c:f>Sheet5!$C$5</c:f>
              <c:strCache>
                <c:ptCount val="1"/>
                <c:pt idx="0">
                  <c:v>Price in 2018 (£)</c:v>
                </c:pt>
              </c:strCache>
            </c:strRef>
          </c:tx>
          <c:spPr>
            <a:ln w="19050" cap="rnd">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ro-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Sheet5!$B$6:$B$11</c:f>
              <c:strCache>
                <c:ptCount val="6"/>
                <c:pt idx="0">
                  <c:v>Coca-Cola (1.5 Litre)</c:v>
                </c:pt>
                <c:pt idx="1">
                  <c:v>Pepsi (1.5 Litre)</c:v>
                </c:pt>
                <c:pt idx="2">
                  <c:v>Coca-Cola (2 Litre)</c:v>
                </c:pt>
                <c:pt idx="3">
                  <c:v>Pepsi (2 Litre)</c:v>
                </c:pt>
                <c:pt idx="4">
                  <c:v>Coca-Cola (0.5 Litre)</c:v>
                </c:pt>
                <c:pt idx="5">
                  <c:v>Pespi (0.5 Litre)</c:v>
                </c:pt>
              </c:strCache>
            </c:strRef>
          </c:cat>
          <c:val>
            <c:numRef>
              <c:f>Sheet5!$C$6:$C$11</c:f>
              <c:numCache>
                <c:formatCode>General</c:formatCode>
                <c:ptCount val="6"/>
                <c:pt idx="0">
                  <c:v>1.93</c:v>
                </c:pt>
                <c:pt idx="1">
                  <c:v>1.36</c:v>
                </c:pt>
                <c:pt idx="2">
                  <c:v>1.74</c:v>
                </c:pt>
                <c:pt idx="3">
                  <c:v>1.55</c:v>
                </c:pt>
                <c:pt idx="4">
                  <c:v>1.45</c:v>
                </c:pt>
                <c:pt idx="5">
                  <c:v>1.28</c:v>
                </c:pt>
              </c:numCache>
            </c:numRef>
          </c:val>
          <c:smooth val="0"/>
          <c:extLst>
            <c:ext xmlns:c16="http://schemas.microsoft.com/office/drawing/2014/chart" uri="{C3380CC4-5D6E-409C-BE32-E72D297353CC}">
              <c16:uniqueId val="{00000000-0F73-4CC4-8E40-70DF56EBE714}"/>
            </c:ext>
          </c:extLst>
        </c:ser>
        <c:ser>
          <c:idx val="1"/>
          <c:order val="1"/>
          <c:tx>
            <c:strRef>
              <c:f>Sheet5!$D$5</c:f>
              <c:strCache>
                <c:ptCount val="1"/>
                <c:pt idx="0">
                  <c:v>Price in 2019 (£)</c:v>
                </c:pt>
              </c:strCache>
            </c:strRef>
          </c:tx>
          <c:spPr>
            <a:ln w="19050" cap="rnd">
              <a:solidFill>
                <a:schemeClr val="accent2">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2"/>
                    </a:solidFill>
                    <a:latin typeface="+mn-lt"/>
                    <a:ea typeface="+mn-ea"/>
                    <a:cs typeface="+mn-cs"/>
                  </a:defRPr>
                </a:pPr>
                <a:endParaRPr lang="ro-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Sheet5!$B$6:$B$11</c:f>
              <c:strCache>
                <c:ptCount val="6"/>
                <c:pt idx="0">
                  <c:v>Coca-Cola (1.5 Litre)</c:v>
                </c:pt>
                <c:pt idx="1">
                  <c:v>Pepsi (1.5 Litre)</c:v>
                </c:pt>
                <c:pt idx="2">
                  <c:v>Coca-Cola (2 Litre)</c:v>
                </c:pt>
                <c:pt idx="3">
                  <c:v>Pepsi (2 Litre)</c:v>
                </c:pt>
                <c:pt idx="4">
                  <c:v>Coca-Cola (0.5 Litre)</c:v>
                </c:pt>
                <c:pt idx="5">
                  <c:v>Pespi (0.5 Litre)</c:v>
                </c:pt>
              </c:strCache>
            </c:strRef>
          </c:cat>
          <c:val>
            <c:numRef>
              <c:f>Sheet5!$D$6:$D$11</c:f>
              <c:numCache>
                <c:formatCode>General</c:formatCode>
                <c:ptCount val="6"/>
                <c:pt idx="0">
                  <c:v>1.99</c:v>
                </c:pt>
                <c:pt idx="1">
                  <c:v>1.39</c:v>
                </c:pt>
                <c:pt idx="2">
                  <c:v>1.9</c:v>
                </c:pt>
                <c:pt idx="3">
                  <c:v>1.66</c:v>
                </c:pt>
                <c:pt idx="4">
                  <c:v>1.48</c:v>
                </c:pt>
                <c:pt idx="5">
                  <c:v>1.32</c:v>
                </c:pt>
              </c:numCache>
            </c:numRef>
          </c:val>
          <c:smooth val="0"/>
          <c:extLst>
            <c:ext xmlns:c16="http://schemas.microsoft.com/office/drawing/2014/chart" uri="{C3380CC4-5D6E-409C-BE32-E72D297353CC}">
              <c16:uniqueId val="{00000001-0F73-4CC4-8E40-70DF56EBE714}"/>
            </c:ext>
          </c:extLst>
        </c:ser>
        <c:dLbls>
          <c:dLblPos val="ctr"/>
          <c:showLegendKey val="0"/>
          <c:showVal val="1"/>
          <c:showCatName val="0"/>
          <c:showSerName val="0"/>
          <c:showPercent val="0"/>
          <c:showBubbleSize val="0"/>
        </c:dLbls>
        <c:marker val="1"/>
        <c:smooth val="0"/>
        <c:axId val="2126762624"/>
        <c:axId val="2126765120"/>
      </c:lineChart>
      <c:catAx>
        <c:axId val="2126762624"/>
        <c:scaling>
          <c:orientation val="minMax"/>
        </c:scaling>
        <c:delete val="0"/>
        <c:axPos val="b"/>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ro-RO"/>
          </a:p>
        </c:txPr>
        <c:crossAx val="2126765120"/>
        <c:crosses val="autoZero"/>
        <c:auto val="1"/>
        <c:lblAlgn val="ctr"/>
        <c:lblOffset val="100"/>
        <c:noMultiLvlLbl val="0"/>
      </c:catAx>
      <c:valAx>
        <c:axId val="2126765120"/>
        <c:scaling>
          <c:orientation val="minMax"/>
        </c:scaling>
        <c:delete val="1"/>
        <c:axPos val="l"/>
        <c:numFmt formatCode="General" sourceLinked="1"/>
        <c:majorTickMark val="none"/>
        <c:minorTickMark val="none"/>
        <c:tickLblPos val="nextTo"/>
        <c:crossAx val="2126762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tx1"/>
      </a:solidFill>
      <a:round/>
    </a:ln>
    <a:effectLst/>
  </c:spPr>
  <c:txPr>
    <a:bodyPr/>
    <a:lstStyle/>
    <a:p>
      <a:pPr>
        <a:defRPr/>
      </a:pPr>
      <a:endParaRPr lang="ro-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Disposable income of last 5 years </a:t>
            </a:r>
          </a:p>
          <a:p>
            <a:pPr>
              <a:defRPr/>
            </a:pPr>
            <a:endParaRPr lang="en-US"/>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ro-RO"/>
        </a:p>
      </c:txPr>
    </c:title>
    <c:autoTitleDeleted val="0"/>
    <c:plotArea>
      <c:layout/>
      <c:barChart>
        <c:barDir val="bar"/>
        <c:grouping val="clustered"/>
        <c:varyColors val="0"/>
        <c:ser>
          <c:idx val="0"/>
          <c:order val="0"/>
          <c:spPr>
            <a:gradFill rotWithShape="1">
              <a:gsLst>
                <a:gs pos="0">
                  <a:schemeClr val="accent1"/>
                </a:gs>
                <a:gs pos="51000">
                  <a:schemeClr val="accent1">
                    <a:alpha val="75000"/>
                  </a:schemeClr>
                </a:gs>
                <a:gs pos="75000">
                  <a:schemeClr val="accent1">
                    <a:lumMod val="60000"/>
                    <a:lumOff val="40000"/>
                  </a:schemeClr>
                </a:gs>
                <a:gs pos="100000">
                  <a:schemeClr val="accent1">
                    <a:lumMod val="20000"/>
                    <a:lumOff val="80000"/>
                    <a:alpha val="15000"/>
                  </a:schemeClr>
                </a:gs>
              </a:gsLst>
              <a:lin ang="10800000" scaled="1"/>
            </a:gradFill>
            <a:ln>
              <a:noFill/>
            </a:ln>
            <a:effectLst/>
          </c:spPr>
          <c:invertIfNegative val="0"/>
          <c:cat>
            <c:strRef>
              <c:f>Sheet4!$C$4:$C$9</c:f>
              <c:strCache>
                <c:ptCount val="6"/>
                <c:pt idx="0">
                  <c:v>Year</c:v>
                </c:pt>
                <c:pt idx="1">
                  <c:v>2016/17</c:v>
                </c:pt>
                <c:pt idx="2">
                  <c:v>2017/18</c:v>
                </c:pt>
                <c:pt idx="3">
                  <c:v>2018/19</c:v>
                </c:pt>
                <c:pt idx="4">
                  <c:v>2019/20</c:v>
                </c:pt>
                <c:pt idx="5">
                  <c:v>2020/21</c:v>
                </c:pt>
              </c:strCache>
            </c:strRef>
          </c:cat>
          <c:val>
            <c:numRef>
              <c:f>Sheet4!$D$4:$D$9</c:f>
              <c:numCache>
                <c:formatCode>General</c:formatCode>
                <c:ptCount val="6"/>
                <c:pt idx="0">
                  <c:v>0</c:v>
                </c:pt>
                <c:pt idx="1">
                  <c:v>36621</c:v>
                </c:pt>
                <c:pt idx="2">
                  <c:v>36017</c:v>
                </c:pt>
                <c:pt idx="3">
                  <c:v>36397</c:v>
                </c:pt>
                <c:pt idx="4">
                  <c:v>37839</c:v>
                </c:pt>
                <c:pt idx="5">
                  <c:v>37622</c:v>
                </c:pt>
              </c:numCache>
            </c:numRef>
          </c:val>
          <c:extLst>
            <c:ext xmlns:c16="http://schemas.microsoft.com/office/drawing/2014/chart" uri="{C3380CC4-5D6E-409C-BE32-E72D297353CC}">
              <c16:uniqueId val="{00000000-9AB6-495A-8DF8-E0171CD4FA7F}"/>
            </c:ext>
          </c:extLst>
        </c:ser>
        <c:ser>
          <c:idx val="1"/>
          <c:order val="1"/>
          <c:spPr>
            <a:gradFill rotWithShape="1">
              <a:gsLst>
                <a:gs pos="0">
                  <a:schemeClr val="accent2"/>
                </a:gs>
                <a:gs pos="51000">
                  <a:schemeClr val="accent2">
                    <a:alpha val="75000"/>
                  </a:schemeClr>
                </a:gs>
                <a:gs pos="75000">
                  <a:schemeClr val="accent2">
                    <a:lumMod val="60000"/>
                    <a:lumOff val="40000"/>
                  </a:schemeClr>
                </a:gs>
                <a:gs pos="100000">
                  <a:schemeClr val="accent2">
                    <a:lumMod val="20000"/>
                    <a:lumOff val="80000"/>
                    <a:alpha val="15000"/>
                  </a:schemeClr>
                </a:gs>
              </a:gsLst>
              <a:lin ang="10800000" scaled="1"/>
            </a:gradFill>
            <a:ln>
              <a:noFill/>
            </a:ln>
            <a:effectLst/>
          </c:spPr>
          <c:invertIfNegative val="0"/>
          <c:cat>
            <c:strRef>
              <c:f>Sheet4!$C$4:$C$9</c:f>
              <c:strCache>
                <c:ptCount val="6"/>
                <c:pt idx="0">
                  <c:v>Year</c:v>
                </c:pt>
                <c:pt idx="1">
                  <c:v>2016/17</c:v>
                </c:pt>
                <c:pt idx="2">
                  <c:v>2017/18</c:v>
                </c:pt>
                <c:pt idx="3">
                  <c:v>2018/19</c:v>
                </c:pt>
                <c:pt idx="4">
                  <c:v>2019/20</c:v>
                </c:pt>
                <c:pt idx="5">
                  <c:v>2020/21</c:v>
                </c:pt>
              </c:strCache>
            </c:strRef>
          </c:cat>
          <c:val>
            <c:numRef>
              <c:f>Sheet4!$E$4:$E$9</c:f>
              <c:numCache>
                <c:formatCode>General</c:formatCode>
                <c:ptCount val="6"/>
                <c:pt idx="0">
                  <c:v>0</c:v>
                </c:pt>
                <c:pt idx="1">
                  <c:v>30026</c:v>
                </c:pt>
                <c:pt idx="2">
                  <c:v>29308</c:v>
                </c:pt>
                <c:pt idx="3">
                  <c:v>29548</c:v>
                </c:pt>
                <c:pt idx="4">
                  <c:v>30762</c:v>
                </c:pt>
                <c:pt idx="5">
                  <c:v>31385</c:v>
                </c:pt>
              </c:numCache>
            </c:numRef>
          </c:val>
          <c:extLst>
            <c:ext xmlns:c16="http://schemas.microsoft.com/office/drawing/2014/chart" uri="{C3380CC4-5D6E-409C-BE32-E72D297353CC}">
              <c16:uniqueId val="{00000001-9AB6-495A-8DF8-E0171CD4FA7F}"/>
            </c:ext>
          </c:extLst>
        </c:ser>
        <c:ser>
          <c:idx val="2"/>
          <c:order val="2"/>
          <c:spPr>
            <a:gradFill rotWithShape="1">
              <a:gsLst>
                <a:gs pos="0">
                  <a:schemeClr val="accent3"/>
                </a:gs>
                <a:gs pos="51000">
                  <a:schemeClr val="accent3">
                    <a:alpha val="75000"/>
                  </a:schemeClr>
                </a:gs>
                <a:gs pos="75000">
                  <a:schemeClr val="accent3">
                    <a:lumMod val="60000"/>
                    <a:lumOff val="40000"/>
                  </a:schemeClr>
                </a:gs>
                <a:gs pos="100000">
                  <a:schemeClr val="accent3">
                    <a:lumMod val="20000"/>
                    <a:lumOff val="80000"/>
                    <a:alpha val="15000"/>
                  </a:schemeClr>
                </a:gs>
              </a:gsLst>
              <a:lin ang="10800000" scaled="1"/>
            </a:gradFill>
            <a:ln>
              <a:noFill/>
            </a:ln>
            <a:effectLst/>
          </c:spPr>
          <c:invertIfNegative val="0"/>
          <c:cat>
            <c:strRef>
              <c:f>Sheet4!$C$4:$C$9</c:f>
              <c:strCache>
                <c:ptCount val="6"/>
                <c:pt idx="0">
                  <c:v>Year</c:v>
                </c:pt>
                <c:pt idx="1">
                  <c:v>2016/17</c:v>
                </c:pt>
                <c:pt idx="2">
                  <c:v>2017/18</c:v>
                </c:pt>
                <c:pt idx="3">
                  <c:v>2018/19</c:v>
                </c:pt>
                <c:pt idx="4">
                  <c:v>2019/20</c:v>
                </c:pt>
                <c:pt idx="5">
                  <c:v>2020/21</c:v>
                </c:pt>
              </c:strCache>
            </c:strRef>
          </c:cat>
          <c:val>
            <c:numRef>
              <c:f>Sheet4!$F$4:$F$9</c:f>
              <c:numCache>
                <c:formatCode>General</c:formatCode>
                <c:ptCount val="6"/>
              </c:numCache>
            </c:numRef>
          </c:val>
          <c:extLst>
            <c:ext xmlns:c16="http://schemas.microsoft.com/office/drawing/2014/chart" uri="{C3380CC4-5D6E-409C-BE32-E72D297353CC}">
              <c16:uniqueId val="{00000002-9AB6-495A-8DF8-E0171CD4FA7F}"/>
            </c:ext>
          </c:extLst>
        </c:ser>
        <c:ser>
          <c:idx val="3"/>
          <c:order val="3"/>
          <c:spPr>
            <a:gradFill rotWithShape="1">
              <a:gsLst>
                <a:gs pos="0">
                  <a:schemeClr val="accent4"/>
                </a:gs>
                <a:gs pos="51000">
                  <a:schemeClr val="accent4">
                    <a:alpha val="75000"/>
                  </a:schemeClr>
                </a:gs>
                <a:gs pos="75000">
                  <a:schemeClr val="accent4">
                    <a:lumMod val="60000"/>
                    <a:lumOff val="40000"/>
                  </a:schemeClr>
                </a:gs>
                <a:gs pos="100000">
                  <a:schemeClr val="accent4">
                    <a:lumMod val="20000"/>
                    <a:lumOff val="80000"/>
                    <a:alpha val="15000"/>
                  </a:schemeClr>
                </a:gs>
              </a:gsLst>
              <a:lin ang="10800000" scaled="1"/>
            </a:gradFill>
            <a:ln>
              <a:noFill/>
            </a:ln>
            <a:effectLst/>
          </c:spPr>
          <c:invertIfNegative val="0"/>
          <c:cat>
            <c:strRef>
              <c:f>Sheet4!$C$4:$C$9</c:f>
              <c:strCache>
                <c:ptCount val="6"/>
                <c:pt idx="0">
                  <c:v>Year</c:v>
                </c:pt>
                <c:pt idx="1">
                  <c:v>2016/17</c:v>
                </c:pt>
                <c:pt idx="2">
                  <c:v>2017/18</c:v>
                </c:pt>
                <c:pt idx="3">
                  <c:v>2018/19</c:v>
                </c:pt>
                <c:pt idx="4">
                  <c:v>2019/20</c:v>
                </c:pt>
                <c:pt idx="5">
                  <c:v>2020/21</c:v>
                </c:pt>
              </c:strCache>
            </c:strRef>
          </c:cat>
          <c:val>
            <c:numRef>
              <c:f>Sheet4!$G$4:$G$9</c:f>
              <c:numCache>
                <c:formatCode>General</c:formatCode>
                <c:ptCount val="6"/>
              </c:numCache>
            </c:numRef>
          </c:val>
          <c:extLst>
            <c:ext xmlns:c16="http://schemas.microsoft.com/office/drawing/2014/chart" uri="{C3380CC4-5D6E-409C-BE32-E72D297353CC}">
              <c16:uniqueId val="{00000003-9AB6-495A-8DF8-E0171CD4FA7F}"/>
            </c:ext>
          </c:extLst>
        </c:ser>
        <c:ser>
          <c:idx val="4"/>
          <c:order val="4"/>
          <c:spPr>
            <a:gradFill rotWithShape="1">
              <a:gsLst>
                <a:gs pos="0">
                  <a:schemeClr val="accent5"/>
                </a:gs>
                <a:gs pos="51000">
                  <a:schemeClr val="accent5">
                    <a:alpha val="75000"/>
                  </a:schemeClr>
                </a:gs>
                <a:gs pos="75000">
                  <a:schemeClr val="accent5">
                    <a:lumMod val="60000"/>
                    <a:lumOff val="40000"/>
                  </a:schemeClr>
                </a:gs>
                <a:gs pos="100000">
                  <a:schemeClr val="accent5">
                    <a:lumMod val="20000"/>
                    <a:lumOff val="80000"/>
                    <a:alpha val="15000"/>
                  </a:schemeClr>
                </a:gs>
              </a:gsLst>
              <a:lin ang="10800000" scaled="1"/>
            </a:gradFill>
            <a:ln>
              <a:noFill/>
            </a:ln>
            <a:effectLst/>
          </c:spPr>
          <c:invertIfNegative val="0"/>
          <c:cat>
            <c:strRef>
              <c:f>Sheet4!$C$4:$C$9</c:f>
              <c:strCache>
                <c:ptCount val="6"/>
                <c:pt idx="0">
                  <c:v>Year</c:v>
                </c:pt>
                <c:pt idx="1">
                  <c:v>2016/17</c:v>
                </c:pt>
                <c:pt idx="2">
                  <c:v>2017/18</c:v>
                </c:pt>
                <c:pt idx="3">
                  <c:v>2018/19</c:v>
                </c:pt>
                <c:pt idx="4">
                  <c:v>2019/20</c:v>
                </c:pt>
                <c:pt idx="5">
                  <c:v>2020/21</c:v>
                </c:pt>
              </c:strCache>
            </c:strRef>
          </c:cat>
          <c:val>
            <c:numRef>
              <c:f>Sheet4!$H$4:$H$9</c:f>
              <c:numCache>
                <c:formatCode>General</c:formatCode>
                <c:ptCount val="6"/>
              </c:numCache>
            </c:numRef>
          </c:val>
          <c:extLst>
            <c:ext xmlns:c16="http://schemas.microsoft.com/office/drawing/2014/chart" uri="{C3380CC4-5D6E-409C-BE32-E72D297353CC}">
              <c16:uniqueId val="{00000004-9AB6-495A-8DF8-E0171CD4FA7F}"/>
            </c:ext>
          </c:extLst>
        </c:ser>
        <c:dLbls>
          <c:showLegendKey val="0"/>
          <c:showVal val="0"/>
          <c:showCatName val="0"/>
          <c:showSerName val="0"/>
          <c:showPercent val="0"/>
          <c:showBubbleSize val="0"/>
        </c:dLbls>
        <c:gapWidth val="326"/>
        <c:overlap val="-58"/>
        <c:axId val="60475728"/>
        <c:axId val="60473648"/>
      </c:barChart>
      <c:catAx>
        <c:axId val="60475728"/>
        <c:scaling>
          <c:orientation val="minMax"/>
        </c:scaling>
        <c:delete val="0"/>
        <c:axPos val="l"/>
        <c:numFmt formatCode="General" sourceLinked="1"/>
        <c:majorTickMark val="none"/>
        <c:minorTickMark val="none"/>
        <c:tickLblPos val="nextTo"/>
        <c:spPr>
          <a:noFill/>
          <a:ln w="19050">
            <a:solidFill>
              <a:schemeClr val="tx1">
                <a:lumMod val="15000"/>
                <a:lumOff val="85000"/>
              </a:schemeClr>
            </a:solidFill>
            <a:round/>
            <a:headEnd w="sm" len="sm"/>
            <a:tailEnd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60473648"/>
        <c:crosses val="autoZero"/>
        <c:auto val="1"/>
        <c:lblAlgn val="ctr"/>
        <c:lblOffset val="100"/>
        <c:noMultiLvlLbl val="0"/>
      </c:catAx>
      <c:valAx>
        <c:axId val="60473648"/>
        <c:scaling>
          <c:orientation val="minMax"/>
        </c:scaling>
        <c:delete val="0"/>
        <c:axPos val="b"/>
        <c:majorGridlines>
          <c:spPr>
            <a:ln w="9525">
              <a:gradFill rotWithShape="1">
                <a:gsLst>
                  <a:gs pos="0">
                    <a:schemeClr val="tx1">
                      <a:lumMod val="15000"/>
                      <a:lumOff val="85000"/>
                    </a:schemeClr>
                  </a:gs>
                  <a:gs pos="9900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60475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85000"/>
      </a:schemeClr>
    </a:solidFill>
    <a:ln w="9525">
      <a:solidFill>
        <a:srgbClr val="FF0000"/>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alpha val="54000"/>
          </a:schemeClr>
        </a:solidFill>
        <a:round/>
      </a:ln>
    </cs:spPr>
  </cs:gridlineMajor>
  <cs:gridlineMinor>
    <cs:lnRef idx="0"/>
    <cs:fillRef idx="0"/>
    <cs:effectRef idx="0"/>
    <cs:fontRef idx="minor">
      <a:schemeClr val="dk1"/>
    </cs:fontRef>
    <cs:spPr>
      <a:ln w="9525">
        <a:solidFill>
          <a:schemeClr val="dk1">
            <a:lumMod val="15000"/>
            <a:lumOff val="85000"/>
            <a:alpha val="51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rotWithShape="1">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a:solidFill>
          <a:schemeClr val="tx1">
            <a:lumMod val="15000"/>
            <a:lumOff val="85000"/>
          </a:schemeClr>
        </a:solidFill>
        <a:round/>
        <a:headEnd w="sm" len="sm"/>
        <a:tailEnd w="sm" len="sm"/>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dk1"/>
    </cs:fontRef>
    <cs:spPr>
      <a:gradFill rotWithShape="1">
        <a:gsLst>
          <a:gs pos="0">
            <a:schemeClr val="phClr"/>
          </a:gs>
          <a:gs pos="51000">
            <a:schemeClr val="phClr">
              <a:alpha val="75000"/>
            </a:schemeClr>
          </a:gs>
          <a:gs pos="75000">
            <a:schemeClr val="phClr">
              <a:lumMod val="60000"/>
              <a:lumOff val="40000"/>
            </a:schemeClr>
          </a:gs>
          <a:gs pos="100000">
            <a:schemeClr val="phClr">
              <a:lumMod val="20000"/>
              <a:lumOff val="80000"/>
              <a:alpha val="15000"/>
            </a:schemeClr>
          </a:gs>
        </a:gsLst>
        <a:lin ang="10800000" scaled="1"/>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46000">
            <a:schemeClr val="phClr"/>
          </a:gs>
          <a:gs pos="100000">
            <a:schemeClr val="phClr">
              <a:lumMod val="20000"/>
              <a:lumOff val="80000"/>
              <a:alpha val="0"/>
            </a:schemeClr>
          </a:gs>
        </a:gsLst>
        <a:path path="circle">
          <a:fillToRect l="50000" t="-80000" r="50000" b="180000"/>
        </a:path>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tx1">
                <a:lumMod val="15000"/>
                <a:lumOff val="85000"/>
              </a:schemeClr>
            </a:gs>
            <a:gs pos="9900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864D8-FCFF-4B80-BB8A-CC4953D22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17</Pages>
  <Words>3175</Words>
  <Characters>18420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Raman</dc:creator>
  <cp:lastModifiedBy>Raluca Botanoiu</cp:lastModifiedBy>
  <cp:revision>8</cp:revision>
  <dcterms:created xsi:type="dcterms:W3CDTF">2022-08-05T13:44:00Z</dcterms:created>
  <dcterms:modified xsi:type="dcterms:W3CDTF">2022-08-29T22:16:00Z</dcterms:modified>
</cp:coreProperties>
</file>