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Debate Presentation: Euthanasia and Assisted Suicide for Older People in the UK</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Name: Sawsan Alam Elhuda </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ID number: 201735</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UWTSD</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Course Code and Name: BMHP6009_BIRMS</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Living with Care: The Older Person, Component one</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Lecturer: Liz Tilly</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Date: 22.06.2023</w:t>
      </w: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Debate Presentation: Euthanasia and Assisted Suicide for Older People in the UK</w:t>
      </w:r>
    </w:p>
    <w:p>
      <w:pPr>
        <w:spacing w:before="0" w:after="16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Good [morning/afternoon], respected judges, fellow students, and faculty members. Today, our team will present the arguments against the practice of euthanasia and assisted suicide for older people in the UK. We will define euthanasia and assisted suicide, examine the laws governing these practices, discuss end-of-life care and its availability, and explore relevant legislation, policy, and theories of aging. Finally, we will address the importance of planning for the end of life. Our objective is to provide a comprehensive understanding of the topic and present a critical analysis of the arguments against euthanasia and assisted suicide in the context of older people.</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Definition of Euthanasia and Assisted Suicide:</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Euthanasia is the act of intentionally ending a person’s life to relieve their suffering, while assisted suicide involves providing assistance to an individual in ending their own life (Young et al., 2019). It is crucial to establish these definitions to ensure a clear understanding of the topic under discussion.</w:t>
      </w: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are the laws governing euthanasia and assisted suicide in the UK (perhaps in comparison with other countries).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United Kingdom, euthanasia and assisted suicide are currently illegal. The Suicide Act of 1961 explicitly criminalizes assisting or encouraging suicide, and those found guilty of such offenses can face up to 14 years of imprisonment (Scopetti et al., 2023). The law is designed to protect vulnerable individuals and uphold the sanctity of life. It is worth noting that the law does not prevent the withdrawal of life-sustaining treatment or the administration of pain relief, even if it may hasten death as a secondary effect.</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comparison with other countries, the UK’s stance on euthanasia and assisted suicide is more conservative. Some countries have legalized euthanasia or assisted suicide under specific circumstances. For instance, the Netherlands and Belgium permit euthanasia and assisted suicide when certain strict criteria are met, such as unbearable suffering and the presence of a terminal illness. In these countries, physicians are legally protected when carrying out these procedures.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Other countries, such as Switzerland and some states in the United States (e.g., Oregon, Washington, and California), have legalized assisted suicide, allowing mentally competent adults with a prognosis of fewer than six months to live to request medical assistance to hasten their death (Kumar et al., 2021). These countries and states have established safeguards and regulations to ensure the procedure is performed ethically and in accordance with the law.</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Opponents raise concerns about potential abuses, the sanctity of life, and the potential devaluation of palliative care. They argue that safeguards may not be foolproof, leaving vulnerable individuals at risk. Opponents emphasize the importance of improving access to quality palliative care, which focuses on pain and symptom management, psychological support, and holistic care for patients and their families.</w:t>
      </w: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End of life and palliative care as well as how and where this is delivered.</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End-of-life care and palliative care are crucial aspects of providing compassionate support to individuals nearing the end of their lives. As we oppose euthanasia and assisted suicide, we recognize the importance of highlighting the benefits and significance of end-of-life care in the UK.</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UK, end-of-life and palliative care are primarily delivered through various channels, including:</w:t>
      </w:r>
    </w:p>
    <w:p>
      <w:pPr>
        <w:numPr>
          <w:ilvl w:val="0"/>
          <w:numId w:val="13"/>
        </w:numPr>
        <w:spacing w:before="0" w:after="160" w:line="48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Hospices: Hospices are specialized care facilities that offer comprehensive end-of-life care. They provide a comfortable environment, expert medical care, pain management, emotional support, and counseling services to individuals and their families. Hospices focus on promoting dignity, respect, and the highest possible quality of life during the end-of-life journey.</w:t>
      </w:r>
    </w:p>
    <w:p>
      <w:pPr>
        <w:numPr>
          <w:ilvl w:val="0"/>
          <w:numId w:val="13"/>
        </w:numPr>
        <w:spacing w:before="0" w:after="160" w:line="48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Home-Based Care: Many individuals prefer to receive end-of-life care in the comfort of their own homes. Home-based palliative care services aim to meet the needs of patients by providing medical assistance, symptom management, nursing care, and emotional support. This approach allows individuals to remain in familiar surroundings and receive care tailored to their specific requirements.</w:t>
      </w:r>
    </w:p>
    <w:p>
      <w:pPr>
        <w:numPr>
          <w:ilvl w:val="0"/>
          <w:numId w:val="13"/>
        </w:numPr>
        <w:spacing w:before="0" w:after="160" w:line="48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Hospitals: Hospitals play a crucial role in delivering end-of-life care, particularly for patients with complex medical needs or those who require specialized interventions. Hospitals provide access to medical expertise, advanced treatments, pain management, and other supportive services. However, the hospital environment may not always align with the preferences of individuals seeking a more personalized and intimate care experience.</w:t>
      </w:r>
    </w:p>
    <w:p>
      <w:pPr>
        <w:numPr>
          <w:ilvl w:val="0"/>
          <w:numId w:val="13"/>
        </w:numPr>
        <w:spacing w:before="0" w:after="160" w:line="48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Community Services: Various community-based organizations and healthcare professionals contribute to the delivery of end-of-life care. These services include palliative care teams, home healthcare providers, social workers, chaplains, and bereavement support groups. They work collaboratively to address the diverse needs of patients and their families within the community setting.</w:t>
      </w:r>
    </w:p>
    <w:p>
      <w:pPr>
        <w:spacing w:before="0" w:after="160" w:line="480"/>
        <w:ind w:right="0" w:left="0" w:firstLine="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enhancing these services, we can provide comprehensive physical, emotional, and spiritual support to older individuals facing the end of their lives. Through adequate pain management, emotional counseling, and compassionate care, we can alleviate suffering and ensure individuals maintain their dignity throughout their final journey.</w:t>
      </w:r>
    </w:p>
    <w:p>
      <w:pPr>
        <w:spacing w:before="0" w:after="16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gap between need and availability of end-of-life care.</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opponents of euthanasia and assisted suicide, we recognize the existing gap between the need for end-of-life care and its availability. This disparity poses significant challenges for older people and their families, emphasizing the importance of addressing this issue to ensure a compassionate approach to end-of-life support.</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1.Insufficient Resources: The demand for end-of-life care often exceeds the available resources, resulting in limited access and long waiting lists. Hospices and specialized care facilities may have capacity constraints, making it difficult for individuals to access the care they require in a timely manner. The shortage of trained healthcare professionals, including palliative care specialists, further contributes to the gap in service delivery.</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2.Geographic Disparities: Disparities in access to end-of-life care services exist between urban and rural areas. Rural communities often face challenges in terms of limited healthcare facilities and difficulties in transportation to specialized care centers. This inequality can disproportionately affect older people living in remote areas, exacerbating the gap between their needs and the available services.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3.Awareness and Education: Lack of awareness and understanding about end-of-life care options and services can hinder individuals from seeking appropriate support. Many older people and their families may not be aware of the benefits of palliative care or the availability of hospice services. Education campaigns and community outreach programs are essential to bridge this knowledge gap and ensure individuals are informed about their options.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4.Communication and Decision-Making: Effective communication between healthcare professionals, patients, and families is crucial in ensuring that end-of-life care aligns with individuals’ preferences and values. However, challenges can arise when healthcare providers fail to engage in meaningful discussions about end-of-life care planning, including advanced care directives and goals of treatment. This lack of communication can lead to misunderstandings and make it difficult for individuals to access the care they desire.</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5.Cultural and Language Barriers: Cultural and linguistic diversity among older populations can present barriers to accessing appropriate end-of-life care. Some individuals may hold cultural beliefs or religious values that influence their preferences for care. Language barriers can also impact effective communication, limiting the ability to fully understand and address the needs of older people from diverse backgrounds.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Addressing the gap between need and availability of end-of-life care requires a multifaceted approach for instance;</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1.Increased Funding and Resources: Governments and healthcare systems should allocate sufficient funding and resources to expand end-of-life care services. This includes investing in the recruitment and training of healthcare professionals specializing in palliative care, as well as expanding the capacity of hospices and community-based services.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2.Improved Access in Underserved Areas: Efforts should be made to address geographic disparities by establishing mobile palliative care units, telehealth services, and partnerships between urban and rural healthcare facilities. These initiatives can enhance access to end-of-life care in underserved regions.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3.Education and Awareness Campaigns: Public education campaigns should be implemented to raise awareness about end-of-life care options, advance care planning, and the benefits of palliative care. These campaigns should target both older individuals and healthcare professionals to ensure informed decision-making and better access to appropriate services.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4.Cultural Sensitivity and Language Support: Healthcare providers should receive training in cultural competence to ensure they can effectively address the needs and preferences of individuals from diverse cultural backgrounds. Language support services should also be available to overcome language barriers and facilitate clear communication.</w:t>
      </w: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Legislation, policy and theories of ageing, which are relevant to older people approaching the end of their lives particularly with regard</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Legislation and Policy:</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Legislation and policy provide the legal framework within which end-of-life care is delivered and regulated. They establish guidelines, safeguards, and protections for both patients and healthcare providers. In the UK, legislation such as the Mental Capacity Act and the Care Act helps ensure that the rights and autonomy of older people are respected, even when they may lack decision-making capacity (Roggi &amp; Picozzi, 2021). These laws emphasize the importance of making decisions in the best interest of the individual and promote person-centered care.</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Theories of Aging:</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Theories of aging, such as the bioethical principle of autonomy, are relevant when considering the care and support of older people approaching the end of their lives. Autonomy emphasizes an individual’s right to make decisions about their own life, including medical treatment and end-of-life choices (Lew et al., 2022). However, theories of aging also recognize the importance of a comprehensive approach that considers not only autonomy but also the well-being and social context of the individual.</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Ethical Considerations: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Ethical considerations are integral to the care of older people at the end of their lives. The principle of beneficence, which focuses on promoting the well-being of individuals, guides the provision of palliative care and support services. The principle of non-maleficence ensures that harm is minimized and that interventions are undertaken with the best interest of the individual in mind. These ethical principles underpin the approach of providing compassionate care and ensuring a dignified end-of-life experience.</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Protection of Vulnerable Individuals: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Legislation and policy also address the protection of vulnerable individuals, particularly when making decisions about their care and end-of-life choices. Safeguards are in place to prevent coercion, exploitation, and the potential for abuse. The legal framework aims to ensure that older people are not subjected to undue influence or pressured into making decisions that are not in their best interest.</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Planning for end of life (living wills, DNR’s etc)</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Planning for the end of life is an essential aspect of ensuring that individuals’ wishes and preferences are respected during their final stages. As opponents of euthanasia and assisted suicide, we recognize the importance of advance care planning, which includes tools such as living wills and do-not-resuscitate (DNR) orders.</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Living Wills: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Living wills, also known as advance directives, allow individuals to express their healthcare preferences and decisions in advance. They outline the medical treatments they would like to receive or refuse if they become unable to communicate or make decisions. Living wills can include instructions regarding life-sustaining treatments, such as ventilators, feeding tubes, or cardiopulmonary resuscitation (CPR) (Calati et al., 2021). By creating a living will, individuals retain autonomy over their medical care and ensure their choices are respected, even when they are no longer able to express them.</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Do-Not-Resuscitate (DNR) Orders:</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DNR orders are medical instructions indicating that an individual does not wish to receive CPR if their heart or breathing stops. DNR orders are often discussed and agreed upon between patients, their families, and healthcare professionals. They respect an individual’s decision to forgo resuscitative measures and allow for a natural death. DNR orders provide clarity and prevent unnecessary interventions, particularly in situations where resuscitation may not be beneficial or align with an individual’s preferences.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Communication and Shared Decision-Making</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Effective communication and shared decision-making are integral to end-of-life planning. Engaging in open and honest conversations with healthcare providers, family members, and loved ones can help individuals articulate their values, goals, and treatment preferences (Castelli Dransart et al., 2021). This collaborative approach ensures that decisions made about end-of-life care align with an individual’s wishes and respect their dignity.</w:t>
      </w:r>
    </w:p>
    <w:p>
      <w:pPr>
        <w:spacing w:before="0" w:after="16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Supportive Care and Palliative Care:</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Planning for the end of life also involves considering the availability of supportive care and palliative care services. These services focus on providing relief from pain and other distressing symptoms, addressing emotional and spiritual needs, and offering support to individuals and their families. By accessing palliative care, individuals can receive comprehensive support that enhances their quality of life and ensures that their physical, emotional, and spiritual needs are met throughout their end-of-life journey (Nath et al., 2021).</w:t>
      </w: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opponents of euthanasia and assisted suicide, we have examined various aspects related to end-of-life care for older people in the UK. We have emphasized the importance of comprehensive palliative care, addressing the gap between need and availability, and the significance of legislation, policy, and advance care planning. By prioritizing access to high-quality end-of-life care, promoting autonomy, and fostering open communication, we can provide compassionate support to older individuals nearing the end of their lives. Through these efforts, we uphold the value of preserving dignity, promoting comfort, and ensuring that every individual’s end-of-life journey is met with compassion and care.</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Calati, R., Olie, E., Dassa, D., Gramaglia, C., Guillaume, S., Madeddu, F., &amp; Courtet, P. (2021). Euthanasia and assisted suicide in psychiatric patients: a systematic review of the literature. </w:t>
      </w:r>
      <w:r>
        <w:rPr>
          <w:rFonts w:ascii="Times New Roman" w:hAnsi="Times New Roman" w:cs="Times New Roman" w:eastAsia="Times New Roman"/>
          <w:i/>
          <w:color w:val="auto"/>
          <w:spacing w:val="0"/>
          <w:position w:val="0"/>
          <w:sz w:val="24"/>
          <w:shd w:fill="auto" w:val="clear"/>
        </w:rPr>
        <w:t xml:space="preserve">Journal of Psychiatric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135</w:t>
      </w:r>
      <w:r>
        <w:rPr>
          <w:rFonts w:ascii="Times New Roman" w:hAnsi="Times New Roman" w:cs="Times New Roman" w:eastAsia="Times New Roman"/>
          <w:color w:val="auto"/>
          <w:spacing w:val="0"/>
          <w:position w:val="0"/>
          <w:sz w:val="24"/>
          <w:shd w:fill="auto" w:val="clear"/>
        </w:rPr>
        <w:t xml:space="preserve">, 153-173.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https://doi.org/10.1016/j.jpsychires.2020.12.006</w:t>
        </w:r>
      </w:hyperlink>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Castelli Dransart, D. A., Lapierre, S., Erlangsen, A., Canetto, S. S., Heisel, M., Draper, B., ... &amp; Wyart, M. (2021). A systematic review of older adults’ request for or attitude toward euthanasia or assisted-suicide. </w:t>
      </w:r>
      <w:r>
        <w:rPr>
          <w:rFonts w:ascii="Times New Roman" w:hAnsi="Times New Roman" w:cs="Times New Roman" w:eastAsia="Times New Roman"/>
          <w:i/>
          <w:color w:val="auto"/>
          <w:spacing w:val="0"/>
          <w:position w:val="0"/>
          <w:sz w:val="24"/>
          <w:shd w:fill="auto" w:val="clear"/>
        </w:rPr>
        <w:t xml:space="preserve">Aging &amp; mental health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25</w:t>
      </w:r>
      <w:r>
        <w:rPr>
          <w:rFonts w:ascii="Times New Roman" w:hAnsi="Times New Roman" w:cs="Times New Roman" w:eastAsia="Times New Roman"/>
          <w:color w:val="auto"/>
          <w:spacing w:val="0"/>
          <w:position w:val="0"/>
          <w:sz w:val="24"/>
          <w:shd w:fill="auto" w:val="clear"/>
        </w:rPr>
        <w:t xml:space="preserve">(3), 420-430.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https://doi.org/10.1080/13607863.2019.1697201</w:t>
        </w:r>
      </w:hyperlink>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Kumar, A., Mehra, A., &amp; Avasthi, A. (2021). Euthanasia: A Debate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For and Against.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Journal of Postgraduate Medicine, Education and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55</w:t>
      </w:r>
      <w:r>
        <w:rPr>
          <w:rFonts w:ascii="Times New Roman" w:hAnsi="Times New Roman" w:cs="Times New Roman" w:eastAsia="Times New Roman"/>
          <w:color w:val="auto"/>
          <w:spacing w:val="0"/>
          <w:position w:val="0"/>
          <w:sz w:val="24"/>
          <w:shd w:fill="auto" w:val="clear"/>
        </w:rPr>
        <w:t xml:space="preserve">(2), 91-96.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https://www.jpmer.com/doi/JPMER/pdf/10.5005/jp-journals-10028-1437</w:t>
        </w:r>
      </w:hyperlink>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Lew, B., Lester, D., Mustapha, F. I., Yip, P., Chen, Y. Y., Panirselvam, R. R., ... &amp; Siau, C. S. (2022). Decriminalizing suicide attempt in the 21st century: an examination of suicide rates in countries that penalize suicide, a critical review. </w:t>
      </w:r>
      <w:r>
        <w:rPr>
          <w:rFonts w:ascii="Times New Roman" w:hAnsi="Times New Roman" w:cs="Times New Roman" w:eastAsia="Times New Roman"/>
          <w:i/>
          <w:color w:val="auto"/>
          <w:spacing w:val="0"/>
          <w:position w:val="0"/>
          <w:sz w:val="24"/>
          <w:shd w:fill="auto" w:val="clear"/>
        </w:rPr>
        <w:t xml:space="preserve">BMC psychiatry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22</w:t>
      </w:r>
      <w:r>
        <w:rPr>
          <w:rFonts w:ascii="Times New Roman" w:hAnsi="Times New Roman" w:cs="Times New Roman" w:eastAsia="Times New Roman"/>
          <w:color w:val="auto"/>
          <w:spacing w:val="0"/>
          <w:position w:val="0"/>
          <w:sz w:val="24"/>
          <w:shd w:fill="auto" w:val="clear"/>
        </w:rPr>
        <w:t xml:space="preserve">(1), 424.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https://doi.org/10.1186/s12888-022-04060-5</w:t>
        </w:r>
      </w:hyperlink>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Nath, U., Regnard, C., Lee, M., Lloyd, K. A., &amp; Wiblin, L. (2021). Physician-assisted suicide and physician-assisted euthanasia: evidence from abroad and implications for UK neurologists. </w:t>
      </w:r>
      <w:r>
        <w:rPr>
          <w:rFonts w:ascii="Times New Roman" w:hAnsi="Times New Roman" w:cs="Times New Roman" w:eastAsia="Times New Roman"/>
          <w:i/>
          <w:color w:val="auto"/>
          <w:spacing w:val="0"/>
          <w:position w:val="0"/>
          <w:sz w:val="24"/>
          <w:shd w:fill="auto" w:val="clear"/>
        </w:rPr>
        <w:t xml:space="preserve">Practical Neurology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21</w:t>
      </w:r>
      <w:r>
        <w:rPr>
          <w:rFonts w:ascii="Times New Roman" w:hAnsi="Times New Roman" w:cs="Times New Roman" w:eastAsia="Times New Roman"/>
          <w:color w:val="auto"/>
          <w:spacing w:val="0"/>
          <w:position w:val="0"/>
          <w:sz w:val="24"/>
          <w:shd w:fill="auto" w:val="clear"/>
        </w:rPr>
        <w:t xml:space="preserve">(3), 205-211.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http://dx.doi.org/10.1136/practneurol-2020-002811</w:t>
        </w:r>
      </w:hyperlink>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Roggi, S., &amp; Picozzi, M. (2021, December). Is left ventricular assist device deactivation ethically acceptable? A study on the euthanasia debate. In </w:t>
      </w:r>
      <w:r>
        <w:rPr>
          <w:rFonts w:ascii="Times New Roman" w:hAnsi="Times New Roman" w:cs="Times New Roman" w:eastAsia="Times New Roman"/>
          <w:i/>
          <w:color w:val="auto"/>
          <w:spacing w:val="0"/>
          <w:position w:val="0"/>
          <w:sz w:val="24"/>
          <w:shd w:fill="auto" w:val="clear"/>
        </w:rPr>
        <w:t xml:space="preserve">Hec Forum</w:t>
      </w:r>
      <w:r>
        <w:rPr>
          <w:rFonts w:ascii="Times New Roman" w:hAnsi="Times New Roman" w:cs="Times New Roman" w:eastAsia="Times New Roman"/>
          <w:color w:val="auto"/>
          <w:spacing w:val="0"/>
          <w:position w:val="0"/>
          <w:sz w:val="24"/>
          <w:shd w:fill="auto" w:val="clear"/>
        </w:rPr>
        <w:t xml:space="preserve"> (Vol. 33, No. 4, pp. 325-343). Dordrecht: Springer Netherlands.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https://doi.org/10.1007/s10730-020-09408-6</w:t>
        </w:r>
      </w:hyperlink>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Scopetti, M., Morena, D., Padovano, M., Manetti, F., Di Fazio, N., Delogu, G., ... &amp; Fineschi, V. (2023, May). Assisted Suicide and Euthanasia in Mental Disorders: Ethical Positions in the Debate between Proportionality, Dignity, and the Right to Die. In </w:t>
      </w:r>
      <w:r>
        <w:rPr>
          <w:rFonts w:ascii="Times New Roman" w:hAnsi="Times New Roman" w:cs="Times New Roman" w:eastAsia="Times New Roman"/>
          <w:i/>
          <w:color w:val="auto"/>
          <w:spacing w:val="0"/>
          <w:position w:val="0"/>
          <w:sz w:val="24"/>
          <w:shd w:fill="auto" w:val="clear"/>
        </w:rPr>
        <w:t xml:space="preserve">Healthcare</w:t>
      </w:r>
      <w:r>
        <w:rPr>
          <w:rFonts w:ascii="Times New Roman" w:hAnsi="Times New Roman" w:cs="Times New Roman" w:eastAsia="Times New Roman"/>
          <w:color w:val="auto"/>
          <w:spacing w:val="0"/>
          <w:position w:val="0"/>
          <w:sz w:val="24"/>
          <w:shd w:fill="auto" w:val="clear"/>
        </w:rPr>
        <w:t xml:space="preserve"> (Vol. 11, No. 10, p. 1470). MDPI.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https://doi.org/10.3390/healthcare11101470</w:t>
        </w:r>
      </w:hyperlink>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Young, J., Egan, R., Walker, S., Graham-DeMello, A., &amp; Jackson, C. (2019). The euthanasia debate: synthesising the evidence on New Zealander's attitudes. </w:t>
      </w:r>
      <w:r>
        <w:rPr>
          <w:rFonts w:ascii="Times New Roman" w:hAnsi="Times New Roman" w:cs="Times New Roman" w:eastAsia="Times New Roman"/>
          <w:i/>
          <w:color w:val="auto"/>
          <w:spacing w:val="0"/>
          <w:position w:val="0"/>
          <w:sz w:val="24"/>
          <w:shd w:fill="auto" w:val="clear"/>
        </w:rPr>
        <w:t xml:space="preserve">K</w:t>
      </w:r>
      <w:r>
        <w:rPr>
          <w:rFonts w:ascii="Times New Roman" w:hAnsi="Times New Roman" w:cs="Times New Roman" w:eastAsia="Times New Roman"/>
          <w:i/>
          <w:color w:val="auto"/>
          <w:spacing w:val="0"/>
          <w:position w:val="0"/>
          <w:sz w:val="24"/>
          <w:shd w:fill="auto" w:val="clear"/>
        </w:rPr>
        <w:t xml:space="preserve">ōtuitui: New Zealand Journal of Social Sciences Online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14</w:t>
      </w:r>
      <w:r>
        <w:rPr>
          <w:rFonts w:ascii="Times New Roman" w:hAnsi="Times New Roman" w:cs="Times New Roman" w:eastAsia="Times New Roman"/>
          <w:color w:val="auto"/>
          <w:spacing w:val="0"/>
          <w:position w:val="0"/>
          <w:sz w:val="24"/>
          <w:shd w:fill="auto" w:val="clear"/>
        </w:rPr>
        <w:t xml:space="preserve">(1), 1-21.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https://doi.org/10.1080/1177083X.2018.1532915</w:t>
        </w:r>
      </w:hyperlink>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186/s12888-022-04060-5" Id="docRId3" Type="http://schemas.openxmlformats.org/officeDocument/2006/relationships/hyperlink" /><Relationship TargetMode="External" Target="https://doi.org/10.1080/1177083X.2018.1532915" Id="docRId7" Type="http://schemas.openxmlformats.org/officeDocument/2006/relationships/hyperlink" /><Relationship TargetMode="External" Target="https://doi.org/10.1016/j.jpsychires.2020.12.006" Id="docRId0" Type="http://schemas.openxmlformats.org/officeDocument/2006/relationships/hyperlink" /><Relationship TargetMode="External" Target="https://www.jpmer.com/doi/JPMER/pdf/10.5005/jp-journals-10028-1437" Id="docRId2" Type="http://schemas.openxmlformats.org/officeDocument/2006/relationships/hyperlink" /><Relationship TargetMode="External" Target="http://dx.doi.org/10.1136/practneurol-2020-002811" Id="docRId4" Type="http://schemas.openxmlformats.org/officeDocument/2006/relationships/hyperlink" /><Relationship TargetMode="External" Target="https://doi.org/10.3390/healthcare11101470" Id="docRId6" Type="http://schemas.openxmlformats.org/officeDocument/2006/relationships/hyperlink" /><Relationship Target="numbering.xml" Id="docRId8" Type="http://schemas.openxmlformats.org/officeDocument/2006/relationships/numbering" /><Relationship TargetMode="External" Target="https://doi.org/10.1080/13607863.2019.1697201" Id="docRId1" Type="http://schemas.openxmlformats.org/officeDocument/2006/relationships/hyperlink" /><Relationship TargetMode="External" Target="https://doi.org/10.1007/s10730-020-09408-6" Id="docRId5" Type="http://schemas.openxmlformats.org/officeDocument/2006/relationships/hyperlink" /><Relationship Target="styles.xml" Id="docRId9" Type="http://schemas.openxmlformats.org/officeDocument/2006/relationships/styles" /></Relationships>
</file>