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4EAA7A" w14:textId="77777777" w:rsidR="000300DF" w:rsidRPr="00074402" w:rsidRDefault="000300DF" w:rsidP="000300DF">
      <w:pPr>
        <w:spacing w:line="360" w:lineRule="auto"/>
        <w:rPr>
          <w:rFonts w:ascii="Arial" w:hAnsi="Arial" w:cs="Arial"/>
          <w:szCs w:val="24"/>
        </w:rPr>
      </w:pPr>
      <w:bookmarkStart w:id="0" w:name="_Hlk119323191"/>
      <w:r w:rsidRPr="00074402">
        <w:rPr>
          <w:rFonts w:ascii="Arial" w:hAnsi="Arial" w:cs="Arial"/>
          <w:noProof/>
          <w:szCs w:val="24"/>
        </w:rPr>
        <w:drawing>
          <wp:anchor distT="0" distB="0" distL="114300" distR="114300" simplePos="0" relativeHeight="251659264" behindDoc="0" locked="0" layoutInCell="1" allowOverlap="1" wp14:anchorId="456C6366" wp14:editId="6A2E2C19">
            <wp:simplePos x="0" y="0"/>
            <wp:positionH relativeFrom="column">
              <wp:posOffset>214489</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4EEE9A1" w14:textId="77777777" w:rsidR="000300DF" w:rsidRPr="00074402" w:rsidRDefault="000300DF" w:rsidP="000300DF">
      <w:pPr>
        <w:spacing w:line="360" w:lineRule="auto"/>
        <w:rPr>
          <w:rFonts w:ascii="Arial" w:hAnsi="Arial" w:cs="Arial"/>
          <w:szCs w:val="24"/>
        </w:rPr>
      </w:pPr>
    </w:p>
    <w:p w14:paraId="6C85A120" w14:textId="77777777" w:rsidR="000300DF" w:rsidRPr="00074402" w:rsidRDefault="000300DF" w:rsidP="000300DF">
      <w:pPr>
        <w:spacing w:line="360" w:lineRule="auto"/>
        <w:rPr>
          <w:rFonts w:ascii="Arial" w:hAnsi="Arial" w:cs="Arial"/>
          <w:szCs w:val="24"/>
        </w:rPr>
      </w:pPr>
    </w:p>
    <w:p w14:paraId="5D832815" w14:textId="77777777" w:rsidR="000300DF" w:rsidRPr="00074402" w:rsidRDefault="000300DF" w:rsidP="000300DF">
      <w:pPr>
        <w:spacing w:line="360" w:lineRule="auto"/>
        <w:rPr>
          <w:rFonts w:ascii="Arial" w:hAnsi="Arial" w:cs="Arial"/>
          <w:szCs w:val="24"/>
        </w:rPr>
      </w:pPr>
    </w:p>
    <w:p w14:paraId="0BA59735" w14:textId="77777777" w:rsidR="000300DF" w:rsidRDefault="000300DF" w:rsidP="000300DF">
      <w:pPr>
        <w:tabs>
          <w:tab w:val="left" w:pos="6540"/>
        </w:tabs>
        <w:spacing w:line="360" w:lineRule="auto"/>
        <w:rPr>
          <w:rFonts w:ascii="Arial" w:hAnsi="Arial" w:cs="Arial"/>
          <w:sz w:val="28"/>
          <w:szCs w:val="28"/>
        </w:rPr>
      </w:pPr>
    </w:p>
    <w:p w14:paraId="6AA67D1B" w14:textId="77777777" w:rsidR="000300DF" w:rsidRPr="00C83A82" w:rsidRDefault="000300DF" w:rsidP="000300DF">
      <w:pPr>
        <w:tabs>
          <w:tab w:val="left" w:pos="6540"/>
        </w:tabs>
        <w:spacing w:line="360" w:lineRule="auto"/>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Tania Begum</w:t>
      </w:r>
    </w:p>
    <w:p w14:paraId="101A5F23" w14:textId="77777777" w:rsidR="000300DF" w:rsidRPr="00C83A82" w:rsidRDefault="000300DF" w:rsidP="000300DF">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2441716</w:t>
      </w:r>
    </w:p>
    <w:p w14:paraId="5EC06B86" w14:textId="1CD1081D" w:rsidR="000300DF" w:rsidRPr="00C83A82" w:rsidRDefault="000300DF" w:rsidP="000300DF">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proofErr w:type="spellStart"/>
      <w:r>
        <w:rPr>
          <w:rFonts w:ascii="Arial" w:hAnsi="Arial" w:cs="Arial"/>
          <w:sz w:val="28"/>
          <w:szCs w:val="28"/>
          <w:lang w:val="nl-NL"/>
        </w:rPr>
        <w:t>Introduction</w:t>
      </w:r>
      <w:proofErr w:type="spellEnd"/>
      <w:r>
        <w:rPr>
          <w:rFonts w:ascii="Arial" w:hAnsi="Arial" w:cs="Arial"/>
          <w:sz w:val="28"/>
          <w:szCs w:val="28"/>
          <w:lang w:val="nl-NL"/>
        </w:rPr>
        <w:t xml:space="preserve"> </w:t>
      </w:r>
      <w:proofErr w:type="spellStart"/>
      <w:r>
        <w:rPr>
          <w:rFonts w:ascii="Arial" w:hAnsi="Arial" w:cs="Arial"/>
          <w:sz w:val="28"/>
          <w:szCs w:val="28"/>
          <w:lang w:val="nl-NL"/>
        </w:rPr>
        <w:t>to</w:t>
      </w:r>
      <w:proofErr w:type="spellEnd"/>
      <w:r>
        <w:rPr>
          <w:rFonts w:ascii="Arial" w:hAnsi="Arial" w:cs="Arial"/>
          <w:sz w:val="28"/>
          <w:szCs w:val="28"/>
          <w:lang w:val="nl-NL"/>
        </w:rPr>
        <w:t xml:space="preserve"> </w:t>
      </w:r>
      <w:r>
        <w:rPr>
          <w:rFonts w:ascii="Arial" w:hAnsi="Arial" w:cs="Arial"/>
          <w:sz w:val="28"/>
          <w:szCs w:val="28"/>
          <w:lang w:val="nl-NL"/>
        </w:rPr>
        <w:t xml:space="preserve">Health </w:t>
      </w:r>
      <w:proofErr w:type="spellStart"/>
      <w:r>
        <w:rPr>
          <w:rFonts w:ascii="Arial" w:hAnsi="Arial" w:cs="Arial"/>
          <w:sz w:val="28"/>
          <w:szCs w:val="28"/>
          <w:lang w:val="nl-NL"/>
        </w:rPr>
        <w:t>and</w:t>
      </w:r>
      <w:proofErr w:type="spellEnd"/>
      <w:r>
        <w:rPr>
          <w:rFonts w:ascii="Arial" w:hAnsi="Arial" w:cs="Arial"/>
          <w:sz w:val="28"/>
          <w:szCs w:val="28"/>
          <w:lang w:val="nl-NL"/>
        </w:rPr>
        <w:t xml:space="preserve"> </w:t>
      </w:r>
      <w:proofErr w:type="spellStart"/>
      <w:r>
        <w:rPr>
          <w:rFonts w:ascii="Arial" w:hAnsi="Arial" w:cs="Arial"/>
          <w:sz w:val="28"/>
          <w:szCs w:val="28"/>
          <w:lang w:val="nl-NL"/>
        </w:rPr>
        <w:t>Social</w:t>
      </w:r>
      <w:proofErr w:type="spellEnd"/>
      <w:r>
        <w:rPr>
          <w:rFonts w:ascii="Arial" w:hAnsi="Arial" w:cs="Arial"/>
          <w:sz w:val="28"/>
          <w:szCs w:val="28"/>
          <w:lang w:val="nl-NL"/>
        </w:rPr>
        <w:t xml:space="preserve"> care</w:t>
      </w:r>
    </w:p>
    <w:p w14:paraId="16E9DB29" w14:textId="753F59FA" w:rsidR="000300DF" w:rsidRPr="0020413D" w:rsidRDefault="000300DF" w:rsidP="000300DF">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proofErr w:type="gramStart"/>
      <w:r w:rsidRPr="0020413D">
        <w:rPr>
          <w:rFonts w:ascii="Arial" w:hAnsi="Arial" w:cs="Arial"/>
          <w:b/>
          <w:bCs/>
          <w:sz w:val="28"/>
          <w:szCs w:val="28"/>
        </w:rPr>
        <w:t>code</w:t>
      </w:r>
      <w:r w:rsidRPr="0020413D">
        <w:rPr>
          <w:rFonts w:ascii="Arial" w:hAnsi="Arial" w:cs="Arial"/>
          <w:sz w:val="28"/>
          <w:szCs w:val="28"/>
        </w:rPr>
        <w:t>:</w:t>
      </w:r>
      <w:r>
        <w:rPr>
          <w:rFonts w:ascii="Arial" w:hAnsi="Arial" w:cs="Arial"/>
          <w:sz w:val="28"/>
          <w:szCs w:val="28"/>
        </w:rPr>
        <w:t>LCHS</w:t>
      </w:r>
      <w:proofErr w:type="gramEnd"/>
      <w:r>
        <w:rPr>
          <w:rFonts w:ascii="Arial" w:hAnsi="Arial" w:cs="Arial"/>
          <w:sz w:val="28"/>
          <w:szCs w:val="28"/>
        </w:rPr>
        <w:t>400</w:t>
      </w:r>
      <w:r>
        <w:rPr>
          <w:rFonts w:ascii="Arial" w:hAnsi="Arial" w:cs="Arial"/>
          <w:sz w:val="28"/>
          <w:szCs w:val="28"/>
        </w:rPr>
        <w:t>3</w:t>
      </w:r>
    </w:p>
    <w:p w14:paraId="24896174" w14:textId="78EA4DD3" w:rsidR="000300DF" w:rsidRDefault="000300DF" w:rsidP="000300DF">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r>
        <w:t>:</w:t>
      </w:r>
      <w:proofErr w:type="gramEnd"/>
      <w:r>
        <w:t xml:space="preserve"> </w:t>
      </w:r>
      <w:r w:rsidRPr="000300DF">
        <w:rPr>
          <w:sz w:val="28"/>
          <w:szCs w:val="28"/>
        </w:rPr>
        <w:t>Mohammad Aliyu</w:t>
      </w:r>
    </w:p>
    <w:bookmarkEnd w:id="0"/>
    <w:p w14:paraId="6409F0DA" w14:textId="77777777" w:rsidR="003A72F2" w:rsidRDefault="003A72F2"/>
    <w:p w14:paraId="63D9FF94" w14:textId="77777777" w:rsidR="000300DF" w:rsidRDefault="000300DF"/>
    <w:p w14:paraId="4467960E" w14:textId="77777777" w:rsidR="000300DF" w:rsidRDefault="000300DF"/>
    <w:p w14:paraId="41469E24" w14:textId="77777777" w:rsidR="000300DF" w:rsidRDefault="000300DF"/>
    <w:p w14:paraId="691A1431" w14:textId="77777777" w:rsidR="000300DF" w:rsidRDefault="000300DF"/>
    <w:p w14:paraId="03CEA93F" w14:textId="77777777" w:rsidR="000300DF" w:rsidRPr="000300DF" w:rsidRDefault="000300DF" w:rsidP="000300DF">
      <w:pPr>
        <w:rPr>
          <w:color w:val="D86DCB" w:themeColor="accent5" w:themeTint="99"/>
          <w:sz w:val="32"/>
          <w:szCs w:val="32"/>
        </w:rPr>
      </w:pPr>
      <w:r w:rsidRPr="000300DF">
        <w:rPr>
          <w:color w:val="D86DCB" w:themeColor="accent5" w:themeTint="99"/>
          <w:sz w:val="32"/>
          <w:szCs w:val="32"/>
        </w:rPr>
        <w:t>The Importance of Communication, Administrative Skills and Collaborative Working in Health and Social Care: A Case Study of Mrs Mann</w:t>
      </w:r>
    </w:p>
    <w:p w14:paraId="2A3F94D4" w14:textId="77777777" w:rsidR="000300DF" w:rsidRDefault="000300DF" w:rsidP="000300DF"/>
    <w:p w14:paraId="643D52AB" w14:textId="1369F7FD" w:rsidR="000300DF" w:rsidRPr="000300DF" w:rsidRDefault="000300DF" w:rsidP="000300DF">
      <w:pPr>
        <w:rPr>
          <w:color w:val="D86DCB" w:themeColor="accent5" w:themeTint="99"/>
          <w:sz w:val="28"/>
          <w:szCs w:val="28"/>
        </w:rPr>
      </w:pPr>
      <w:r w:rsidRPr="000300DF">
        <w:rPr>
          <w:color w:val="D86DCB" w:themeColor="accent5" w:themeTint="99"/>
          <w:sz w:val="28"/>
          <w:szCs w:val="28"/>
        </w:rPr>
        <w:t xml:space="preserve">Introduction </w:t>
      </w:r>
    </w:p>
    <w:p w14:paraId="1F99592B" w14:textId="77777777" w:rsidR="000300DF" w:rsidRDefault="000300DF" w:rsidP="000300DF"/>
    <w:p w14:paraId="626268C9" w14:textId="3DA43D0A" w:rsidR="000300DF" w:rsidRDefault="000300DF" w:rsidP="000300DF">
      <w:r>
        <w:t xml:space="preserve">Effective practice in health and social care relies on clear communication, accurate administrative processes, and strong collaborative working between professionals. These elements are essential to ensuring that service users receive safe, person-centred, and high-quality care. When communication or record keeping is ineffective, it can lead to serious consequences, including delays in treatment, increased risk of harm, and reduced quality of life for individuals receiving </w:t>
      </w:r>
      <w:r>
        <w:t>care. Sharing</w:t>
      </w:r>
      <w:r>
        <w:t xml:space="preserve"> and record keeping resulted in a delay in adjusting her medication, demonstrating the potential risks associated with ineffective professional practice. This case emphasises the importance of timely information exchange, accurate documentation, and coordinated working among healthcare </w:t>
      </w:r>
      <w:r>
        <w:t>professionals. This</w:t>
      </w:r>
      <w:r>
        <w:t xml:space="preserve"> assignment will examine three key areas central to effective health and social care practice: </w:t>
      </w:r>
      <w:r>
        <w:lastRenderedPageBreak/>
        <w:t>communication, administrative skills, and collaborative working. It will explore how these elements contribute to positive outcomes for service users and how failures in these areas can compromise care. The discussion will be supported by relevant legislation, including the Equality Act 2010 and the Data Protection Act 2018, as well as recognised communication models used in health and social care settings. By applying these principles to Mrs Mann’s case, this assignment will demonstrate how effective professional practice can protect service users and promote safe, inclusive, and high-quality care.</w:t>
      </w:r>
    </w:p>
    <w:p w14:paraId="745AD9F5" w14:textId="77777777" w:rsidR="000300DF" w:rsidRDefault="000300DF" w:rsidP="000300DF"/>
    <w:p w14:paraId="5C687E45" w14:textId="556E7329" w:rsidR="000300DF" w:rsidRDefault="000300DF" w:rsidP="000300DF">
      <w:r w:rsidRPr="000300DF">
        <w:rPr>
          <w:color w:val="D86DCB" w:themeColor="accent5" w:themeTint="99"/>
          <w:sz w:val="28"/>
          <w:szCs w:val="28"/>
        </w:rPr>
        <w:t>The Importance of Effective Communication in Mrs Mann’s Care</w:t>
      </w:r>
    </w:p>
    <w:p w14:paraId="2FC0F70E" w14:textId="77777777" w:rsidR="000300DF" w:rsidRDefault="000300DF" w:rsidP="000300DF"/>
    <w:p w14:paraId="18D2B3B2" w14:textId="77777777" w:rsidR="000300DF" w:rsidRDefault="000300DF" w:rsidP="000300DF">
      <w:r>
        <w:t>Effective communication is a fundamental skill in health and social care as it ensures that service users receive safe, person-centred care. In Mrs Mann’s case, poor communication contributed to a delay in medication adjustment, which could have negatively affected her health. Clear communication between professionals, service users, and family members is essential to prevent misunderstandings and errors.</w:t>
      </w:r>
    </w:p>
    <w:p w14:paraId="664484CF" w14:textId="77777777" w:rsidR="000300DF" w:rsidRDefault="000300DF" w:rsidP="000300DF"/>
    <w:p w14:paraId="6DA7EE89" w14:textId="77777777" w:rsidR="000300DF" w:rsidRDefault="000300DF" w:rsidP="000300DF">
      <w:r>
        <w:t>Communication with Mrs Mann should be respectful, clear, and adapted to her individual needs. Health and social care professionals must ensure that information is shared using appropriate language, avoiding medical jargon, and checking understanding. Involving Mrs Mann’s family members is also important, particularly if they support her daily care or decision-making. This promotes transparency and helps build trust between professionals and the service user (Trevithick, 2018).</w:t>
      </w:r>
    </w:p>
    <w:p w14:paraId="5E76E8D7" w14:textId="77777777" w:rsidR="000300DF" w:rsidRDefault="000300DF" w:rsidP="000300DF"/>
    <w:p w14:paraId="12CF6FAD" w14:textId="77777777" w:rsidR="000300DF" w:rsidRDefault="000300DF" w:rsidP="000300DF">
      <w:r>
        <w:t>The Equality Act 2010 plays a key role in communication as it requires professionals to make reasonable adjustments to meet individual needs. For example, if Mrs Mann has hearing difficulties, visual impairments, or language barriers, alternative communication methods such as written information, visual aids, or interpreters should be used (Equality Act 2010). Failure to do so could be considered discriminatory and may prevent Mrs Mann from fully participating in her care.</w:t>
      </w:r>
    </w:p>
    <w:p w14:paraId="3AFC0515" w14:textId="77777777" w:rsidR="000300DF" w:rsidRDefault="000300DF" w:rsidP="000300DF"/>
    <w:p w14:paraId="715BCA2C" w14:textId="68939DB6" w:rsidR="000300DF" w:rsidRDefault="000300DF" w:rsidP="000300DF">
      <w:r>
        <w:t xml:space="preserve">One communication model that is particularly relevant is the SOLER model, which focuses on non-verbal communication. SOLER stands for Sit squarely, Open posture, </w:t>
      </w:r>
      <w:r>
        <w:t>lean</w:t>
      </w:r>
      <w:r>
        <w:t xml:space="preserve"> towards the person, Eye contact, and </w:t>
      </w:r>
      <w:r>
        <w:t>relax</w:t>
      </w:r>
      <w:r>
        <w:t>. Using this model can help professionals show attentiveness, empathy, and respect when communicating with Mrs Mann. Positive body language can reassure her, encourage openness, and improve the quality of interactions (Egan, 2014).</w:t>
      </w:r>
    </w:p>
    <w:p w14:paraId="6967E820" w14:textId="77777777" w:rsidR="000300DF" w:rsidRDefault="000300DF" w:rsidP="000300DF"/>
    <w:p w14:paraId="7B631DAB" w14:textId="16F8CF9C" w:rsidR="000300DF" w:rsidRDefault="000300DF" w:rsidP="000300DF">
      <w:r>
        <w:t>Effective communication also supports informed consent. Mrs Mann has the right to understand her treatment options and be involved in decisions about her care. By communicating clearly and compassionately, professionals can empower her and promote independence. Overall, good communication reduces risk, improves care quality, and supports equality and dignity in health and social care.</w:t>
      </w:r>
    </w:p>
    <w:p w14:paraId="4EA891B5" w14:textId="01B45C0B" w:rsidR="000300DF" w:rsidRPr="000300DF" w:rsidRDefault="000300DF" w:rsidP="000300DF">
      <w:pPr>
        <w:rPr>
          <w:color w:val="D86DCB" w:themeColor="accent5" w:themeTint="99"/>
          <w:sz w:val="28"/>
          <w:szCs w:val="28"/>
        </w:rPr>
      </w:pPr>
      <w:r w:rsidRPr="000300DF">
        <w:rPr>
          <w:color w:val="D86DCB" w:themeColor="accent5" w:themeTint="99"/>
          <w:sz w:val="28"/>
          <w:szCs w:val="28"/>
        </w:rPr>
        <w:lastRenderedPageBreak/>
        <w:t xml:space="preserve">The Importance of Good Administrative Skills in Professional Practice </w:t>
      </w:r>
    </w:p>
    <w:p w14:paraId="7F8F2572" w14:textId="0B43879B" w:rsidR="000300DF" w:rsidRDefault="000300DF" w:rsidP="000300DF">
      <w:r>
        <w:t>Good administrative skills are essential in health and social care as they ensure accurate record keeping, confidentiality, and continuity of care. In Mrs Mann’s case, a failure in record keeping and communication led to a delay in adjusting her medication. This highlights how poor administration can directly affect service user safety.</w:t>
      </w:r>
      <w:r w:rsidRPr="000300DF">
        <w:t xml:space="preserve"> </w:t>
      </w:r>
      <w:r>
        <w:t>Administrative skills are essential in health and social care as they ensure that accurate, up-to-date information is recorded and shared appropriately. Good administration includes maintaining care plans, medication records, risk assessments, and confidential service user information. Accurate documentation supports continuity of care and enables professionals to make informed decisions that promote service user safety.</w:t>
      </w:r>
    </w:p>
    <w:p w14:paraId="319C7BB7" w14:textId="77777777" w:rsidR="000300DF" w:rsidRDefault="000300DF" w:rsidP="000300DF"/>
    <w:p w14:paraId="5B42EFEC" w14:textId="77777777" w:rsidR="000300DF" w:rsidRDefault="000300DF" w:rsidP="000300DF">
      <w:r>
        <w:t>In Mrs Mann’s case, poor record keeping contributed to a delay in medication adjustment. This indicates that information may not have been recorded correctly or communicated in a timely manner. Inaccurate or incomplete records can lead to medication errors, duplicated work, or inappropriate care. Effective administrative practice helps to prevent these risks by ensuring information is clear, accessible, and reliable.</w:t>
      </w:r>
    </w:p>
    <w:p w14:paraId="31FB25C6" w14:textId="77777777" w:rsidR="000300DF" w:rsidRDefault="000300DF" w:rsidP="000300DF"/>
    <w:p w14:paraId="33EAB8E0" w14:textId="0AE4EC22" w:rsidR="000300DF" w:rsidRDefault="000300DF" w:rsidP="000300DF">
      <w:r>
        <w:t>Legislation such as the Data Protection Act 2018 requires that personal information is handled lawfully, securely, and confidentially. Adhering to these legal requirements ensures that service users’ rights are protected while allowing professionals to share information appropriately. Therefore, strong administrative skills are vital in supporting safe, effective, and lawful care delivery.</w:t>
      </w:r>
    </w:p>
    <w:p w14:paraId="4EC34756" w14:textId="77777777" w:rsidR="000300DF" w:rsidRDefault="000300DF" w:rsidP="000300DF"/>
    <w:p w14:paraId="34947F8A" w14:textId="77777777" w:rsidR="000300DF" w:rsidRDefault="000300DF" w:rsidP="000300DF">
      <w:r>
        <w:t>Accurate record keeping ensures that all professionals involved in Mrs Mann’s care have access to up-to-date and reliable information. Records should be clear, factual, dated, and signed to maintain accountability. This allows professionals to make informed decisions and reduces the risk of errors, such as incorrect medication or missed treatments (Health and Care Professions Council, 2022).</w:t>
      </w:r>
    </w:p>
    <w:p w14:paraId="3FEDAE0B" w14:textId="77777777" w:rsidR="000300DF" w:rsidRDefault="000300DF" w:rsidP="000300DF"/>
    <w:p w14:paraId="1C3ABED4" w14:textId="77777777" w:rsidR="000300DF" w:rsidRDefault="000300DF" w:rsidP="000300DF">
      <w:r>
        <w:t>The Data Protection Act 2018 is a key piece of legislation that governs how personal information must be handled. It states that data should be stored securely, used lawfully, and shared only with authorised individuals. In Mrs Mann’s care, professionals must ensure her medical records are kept confidential and accessed only when necessary. Breaches of data protection could lead to loss of trust and legal consequences for organisations.</w:t>
      </w:r>
    </w:p>
    <w:p w14:paraId="14B794E6" w14:textId="77777777" w:rsidR="000300DF" w:rsidRDefault="000300DF" w:rsidP="000300DF"/>
    <w:p w14:paraId="61D7F2C6" w14:textId="77777777" w:rsidR="000300DF" w:rsidRDefault="000300DF" w:rsidP="000300DF">
      <w:r>
        <w:t>Good administrative practice also supports effective communication between professionals. Clear documentation ensures that important information, such as medication changes or care plans, is shared accurately. This is particularly important in multi-disciplinary settings where several professionals are involved in one service user’s care (Department of Health and Social Care, 2021).</w:t>
      </w:r>
    </w:p>
    <w:p w14:paraId="3489911D" w14:textId="77777777" w:rsidR="000300DF" w:rsidRDefault="000300DF" w:rsidP="000300DF"/>
    <w:p w14:paraId="1C90D0B1" w14:textId="77777777" w:rsidR="000300DF" w:rsidRDefault="000300DF" w:rsidP="000300DF">
      <w:r>
        <w:lastRenderedPageBreak/>
        <w:t>Policies and procedures within health and social care organisations guide administrative practice. Following these policies ensures consistency, professionalism, and compliance with legislation. For example, incident reporting systems allow mistakes to be reviewed and improvements to be made, helping to prevent similar issues in the future.</w:t>
      </w:r>
    </w:p>
    <w:p w14:paraId="7AA2D0E4" w14:textId="77777777" w:rsidR="000300DF" w:rsidRDefault="000300DF" w:rsidP="000300DF"/>
    <w:p w14:paraId="5334BCAE" w14:textId="77777777" w:rsidR="000300DF" w:rsidRDefault="000300DF" w:rsidP="000300DF">
      <w:r>
        <w:t>In summary, strong administrative skills protect service users like Mrs Mann by ensuring accurate information sharing, legal compliance, and safe, effective care delivery.</w:t>
      </w:r>
    </w:p>
    <w:p w14:paraId="293730CF" w14:textId="77777777" w:rsidR="000300DF" w:rsidRDefault="000300DF" w:rsidP="000300DF"/>
    <w:p w14:paraId="4558479F" w14:textId="5EA08D77" w:rsidR="000300DF" w:rsidRDefault="000300DF" w:rsidP="000300DF"/>
    <w:p w14:paraId="66C0711B" w14:textId="77777777" w:rsidR="000300DF" w:rsidRDefault="000300DF" w:rsidP="000300DF"/>
    <w:p w14:paraId="7FC00A8C" w14:textId="50600537" w:rsidR="000300DF" w:rsidRPr="000300DF" w:rsidRDefault="000300DF" w:rsidP="000300DF">
      <w:pPr>
        <w:rPr>
          <w:color w:val="D86DCB" w:themeColor="accent5" w:themeTint="99"/>
          <w:sz w:val="28"/>
          <w:szCs w:val="28"/>
        </w:rPr>
      </w:pPr>
      <w:r w:rsidRPr="000300DF">
        <w:rPr>
          <w:color w:val="D86DCB" w:themeColor="accent5" w:themeTint="99"/>
          <w:sz w:val="28"/>
          <w:szCs w:val="28"/>
        </w:rPr>
        <w:t xml:space="preserve">The Importance of Collaborative Working in Mrs Mann’s Care </w:t>
      </w:r>
    </w:p>
    <w:p w14:paraId="056192BA" w14:textId="77777777" w:rsidR="000300DF" w:rsidRDefault="000300DF" w:rsidP="000300DF"/>
    <w:p w14:paraId="0B469269" w14:textId="77777777" w:rsidR="000300DF" w:rsidRDefault="000300DF" w:rsidP="000300DF">
      <w:r>
        <w:t>Collaborative working involves professionals from different disciplines working together to meet the needs of a service user. In Mrs Mann’s care, this may include her GP, physiotherapist, and care workers. Effective collaboration ensures that care is holistic, coordinated, and centred on the service user.</w:t>
      </w:r>
    </w:p>
    <w:p w14:paraId="2D6B7966" w14:textId="77777777" w:rsidR="000300DF" w:rsidRDefault="000300DF" w:rsidP="000300DF"/>
    <w:p w14:paraId="0F1CFAD3" w14:textId="77777777" w:rsidR="000300DF" w:rsidRDefault="000300DF" w:rsidP="000300DF">
      <w:r>
        <w:t>One benefit of collaborative working is shared expertise. Each professional brings specialist knowledge, allowing for better decision-making and improved outcomes. For example, a physiotherapist may focus on mobility, while the GP manages medication, and care workers support daily living needs (NHS England, 2022).</w:t>
      </w:r>
    </w:p>
    <w:p w14:paraId="65CF300A" w14:textId="77777777" w:rsidR="000300DF" w:rsidRDefault="000300DF" w:rsidP="000300DF"/>
    <w:p w14:paraId="5872E319" w14:textId="77777777" w:rsidR="000300DF" w:rsidRDefault="000300DF" w:rsidP="000300DF">
      <w:r>
        <w:t>However, challenges can arise in multi-agency working. These may include poor communication, unclear roles, and differences in professional priorities. In Mrs Mann’s case, a lack of effective collaboration contributed to delayed treatment. To overcome these challenges, regular team meetings, clear communication channels, and shared care plans should be used.</w:t>
      </w:r>
    </w:p>
    <w:p w14:paraId="4A7F0C66" w14:textId="77777777" w:rsidR="000300DF" w:rsidRDefault="000300DF" w:rsidP="000300DF"/>
    <w:p w14:paraId="070B887D" w14:textId="77777777" w:rsidR="000300DF" w:rsidRDefault="000300DF" w:rsidP="000300DF">
      <w:r>
        <w:t>Strategies such as information sharing protocols and joint training sessions can improve collaboration. Respecting each professional’s role and maintaining open communication helps ensure that everyone is working towards the same goal: the wellbeing of Mrs Mann. Collaborative working ultimately improves safety, efficiency, and quality of care.</w:t>
      </w:r>
    </w:p>
    <w:p w14:paraId="607FD84F" w14:textId="77777777" w:rsidR="000300DF" w:rsidRDefault="000300DF" w:rsidP="000300DF"/>
    <w:p w14:paraId="239A31AE" w14:textId="55A2B903" w:rsidR="000300DF" w:rsidRDefault="000300DF" w:rsidP="000300DF"/>
    <w:p w14:paraId="6D70B806" w14:textId="77777777" w:rsidR="000300DF" w:rsidRDefault="000300DF" w:rsidP="000300DF"/>
    <w:p w14:paraId="1850B9E4" w14:textId="7CDA169E" w:rsidR="000300DF" w:rsidRPr="000300DF" w:rsidRDefault="000300DF" w:rsidP="000300DF">
      <w:pPr>
        <w:rPr>
          <w:color w:val="D86DCB" w:themeColor="accent5" w:themeTint="99"/>
          <w:sz w:val="28"/>
          <w:szCs w:val="28"/>
        </w:rPr>
      </w:pPr>
      <w:r w:rsidRPr="000300DF">
        <w:rPr>
          <w:color w:val="D86DCB" w:themeColor="accent5" w:themeTint="99"/>
          <w:sz w:val="28"/>
          <w:szCs w:val="28"/>
        </w:rPr>
        <w:t xml:space="preserve">Conclusion </w:t>
      </w:r>
    </w:p>
    <w:p w14:paraId="6BF80F1B" w14:textId="77777777" w:rsidR="000300DF" w:rsidRDefault="000300DF" w:rsidP="000300DF"/>
    <w:p w14:paraId="7831F698" w14:textId="54A81E21" w:rsidR="000300DF" w:rsidRDefault="000300DF" w:rsidP="000300DF">
      <w:r>
        <w:lastRenderedPageBreak/>
        <w:t xml:space="preserve">Mrs Mann’s case highlights the fundamental importance of effective communication, accurate administration, and collaborative working in the delivery of safe, person-centred care. Clear and inclusive communication is essential to ensure that individuals </w:t>
      </w:r>
      <w:r>
        <w:t>can</w:t>
      </w:r>
      <w:r>
        <w:t xml:space="preserve"> understand, engage with, and actively participate in decisions about their care. In this case, the use of interpreters and recognised communication models, supported by the Equality Act 2010, plays a crucial role in reducing language barriers and promoting equity within healthcare services.</w:t>
      </w:r>
    </w:p>
    <w:p w14:paraId="2FCE2E6A" w14:textId="77777777" w:rsidR="000300DF" w:rsidRDefault="000300DF" w:rsidP="000300DF"/>
    <w:p w14:paraId="13D76277" w14:textId="77777777" w:rsidR="000300DF" w:rsidRDefault="000300DF" w:rsidP="000300DF">
      <w:r>
        <w:t>Alongside communication, robust administrative practice is vital to maintaining patient safety and service quality. Adherence to professional standards and the Data Protection Act 2018 supports accurate documentation and secure information sharing, reducing the risk of errors and misunderstandings. The case also demonstrates the value of collaborative, multi-agency working in creating coordinated care pathways that enhance continuity, minimise risk, and support effective rehabilitation outcomes.</w:t>
      </w:r>
    </w:p>
    <w:p w14:paraId="48E92D6C" w14:textId="77777777" w:rsidR="000300DF" w:rsidRDefault="000300DF" w:rsidP="000300DF"/>
    <w:p w14:paraId="19B300C5" w14:textId="348058EF" w:rsidR="000300DF" w:rsidRDefault="000300DF" w:rsidP="000300DF">
      <w:r>
        <w:t>The delayed medication incident clearly illustrates how quickly patient safety can be compromised when communication, documentation, or partnership working breaks down. Such failures emphasise the need for consistent processes and shared accountability across care teams. Overall, strengthening communication strategies, administrative accuracy, and inter-professional collaboration would significantly enhance the quality, safety, and effectiveness of care provided to Mrs Mann, ensuring her needs are met in a holistic and respectful manner.</w:t>
      </w:r>
    </w:p>
    <w:p w14:paraId="033156B8" w14:textId="77777777" w:rsidR="000300DF" w:rsidRDefault="000300DF" w:rsidP="000300DF"/>
    <w:p w14:paraId="16D87975" w14:textId="6E58FEC1" w:rsidR="000300DF" w:rsidRPr="000300DF" w:rsidRDefault="000300DF" w:rsidP="000300DF">
      <w:pPr>
        <w:rPr>
          <w:color w:val="D86DCB" w:themeColor="accent5" w:themeTint="99"/>
          <w:sz w:val="28"/>
          <w:szCs w:val="28"/>
        </w:rPr>
      </w:pPr>
      <w:r w:rsidRPr="000300DF">
        <w:rPr>
          <w:color w:val="D86DCB" w:themeColor="accent5" w:themeTint="99"/>
          <w:sz w:val="28"/>
          <w:szCs w:val="28"/>
        </w:rPr>
        <w:t>Reference List</w:t>
      </w:r>
    </w:p>
    <w:p w14:paraId="09B84238" w14:textId="77777777" w:rsidR="000300DF" w:rsidRDefault="000300DF" w:rsidP="000300DF"/>
    <w:p w14:paraId="7CD1181C" w14:textId="77777777" w:rsidR="000300DF" w:rsidRDefault="000300DF" w:rsidP="000300DF">
      <w:r>
        <w:t>Department of Health and Social Care (2021) Working together to safeguard people. London: DHSC.</w:t>
      </w:r>
    </w:p>
    <w:p w14:paraId="7C96EC18" w14:textId="77777777" w:rsidR="000300DF" w:rsidRDefault="000300DF" w:rsidP="000300DF"/>
    <w:p w14:paraId="44EC5393" w14:textId="77777777" w:rsidR="000300DF" w:rsidRDefault="000300DF" w:rsidP="000300DF">
      <w:r>
        <w:t xml:space="preserve">Egan, G. (2014) The skilled helper. 10th </w:t>
      </w:r>
      <w:proofErr w:type="spellStart"/>
      <w:r>
        <w:t>edn</w:t>
      </w:r>
      <w:proofErr w:type="spellEnd"/>
      <w:r>
        <w:t>. Boston: Cengage Learning.</w:t>
      </w:r>
    </w:p>
    <w:p w14:paraId="394EF5CF" w14:textId="77777777" w:rsidR="000300DF" w:rsidRDefault="000300DF" w:rsidP="000300DF"/>
    <w:p w14:paraId="2538E403" w14:textId="77777777" w:rsidR="000300DF" w:rsidRDefault="000300DF" w:rsidP="000300DF">
      <w:r>
        <w:t>Equality Act 2010. London: The Stationery Office.</w:t>
      </w:r>
    </w:p>
    <w:p w14:paraId="12900A74" w14:textId="77777777" w:rsidR="000300DF" w:rsidRDefault="000300DF" w:rsidP="000300DF"/>
    <w:p w14:paraId="3AEDC2EE" w14:textId="77777777" w:rsidR="000300DF" w:rsidRDefault="000300DF" w:rsidP="000300DF">
      <w:r>
        <w:t>Health and Care Professions Council (2022) Standards of conduct, performance and ethics. London: HCPC.</w:t>
      </w:r>
    </w:p>
    <w:p w14:paraId="4E5C068B" w14:textId="77777777" w:rsidR="000300DF" w:rsidRDefault="000300DF" w:rsidP="000300DF"/>
    <w:p w14:paraId="3B73D36B" w14:textId="788DADFF" w:rsidR="000300DF" w:rsidRDefault="000300DF" w:rsidP="000300DF">
      <w:r>
        <w:t xml:space="preserve">NHS England (2022) </w:t>
      </w:r>
      <w:r>
        <w:t>multi-disciplinary</w:t>
      </w:r>
      <w:r>
        <w:t xml:space="preserve"> team working. London: NHS England.</w:t>
      </w:r>
    </w:p>
    <w:p w14:paraId="6582904D" w14:textId="77777777" w:rsidR="000300DF" w:rsidRDefault="000300DF" w:rsidP="000300DF"/>
    <w:p w14:paraId="243DF7E6" w14:textId="5CE6D168" w:rsidR="000300DF" w:rsidRDefault="000300DF" w:rsidP="000300DF">
      <w:r>
        <w:t xml:space="preserve">Trevithick, P. (2018) Social work skills and knowledge. 4th </w:t>
      </w:r>
      <w:proofErr w:type="spellStart"/>
      <w:r>
        <w:t>edn</w:t>
      </w:r>
      <w:proofErr w:type="spellEnd"/>
      <w:r>
        <w:t>. Maidenhead: Open University Press.</w:t>
      </w:r>
    </w:p>
    <w:p w14:paraId="78F36E4F" w14:textId="3264F548" w:rsidR="000300DF" w:rsidRDefault="000300DF" w:rsidP="000300DF"/>
    <w:sectPr w:rsidR="000300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0DF"/>
    <w:rsid w:val="000300DF"/>
    <w:rsid w:val="003A66CD"/>
    <w:rsid w:val="003A72F2"/>
    <w:rsid w:val="00A50F9B"/>
    <w:rsid w:val="00BE476A"/>
    <w:rsid w:val="00C85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868509"/>
  <w15:chartTrackingRefBased/>
  <w15:docId w15:val="{068DA552-B58F-A34E-84CE-78EDED343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0DF"/>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0300D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300D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300DF"/>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300DF"/>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0300DF"/>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0300DF"/>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0300DF"/>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0300DF"/>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0300DF"/>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0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00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00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00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00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00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0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0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0DF"/>
    <w:rPr>
      <w:rFonts w:eastAsiaTheme="majorEastAsia" w:cstheme="majorBidi"/>
      <w:color w:val="272727" w:themeColor="text1" w:themeTint="D8"/>
    </w:rPr>
  </w:style>
  <w:style w:type="paragraph" w:styleId="Title">
    <w:name w:val="Title"/>
    <w:basedOn w:val="Normal"/>
    <w:next w:val="Normal"/>
    <w:link w:val="TitleChar"/>
    <w:uiPriority w:val="10"/>
    <w:qFormat/>
    <w:rsid w:val="000300DF"/>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300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0DF"/>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300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0DF"/>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0300DF"/>
    <w:rPr>
      <w:i/>
      <w:iCs/>
      <w:color w:val="404040" w:themeColor="text1" w:themeTint="BF"/>
    </w:rPr>
  </w:style>
  <w:style w:type="paragraph" w:styleId="ListParagraph">
    <w:name w:val="List Paragraph"/>
    <w:basedOn w:val="Normal"/>
    <w:uiPriority w:val="34"/>
    <w:qFormat/>
    <w:rsid w:val="000300DF"/>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0300DF"/>
    <w:rPr>
      <w:i/>
      <w:iCs/>
      <w:color w:val="0F4761" w:themeColor="accent1" w:themeShade="BF"/>
    </w:rPr>
  </w:style>
  <w:style w:type="paragraph" w:styleId="IntenseQuote">
    <w:name w:val="Intense Quote"/>
    <w:basedOn w:val="Normal"/>
    <w:next w:val="Normal"/>
    <w:link w:val="IntenseQuoteChar"/>
    <w:uiPriority w:val="30"/>
    <w:qFormat/>
    <w:rsid w:val="000300D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0300DF"/>
    <w:rPr>
      <w:i/>
      <w:iCs/>
      <w:color w:val="0F4761" w:themeColor="accent1" w:themeShade="BF"/>
    </w:rPr>
  </w:style>
  <w:style w:type="character" w:styleId="IntenseReference">
    <w:name w:val="Intense Reference"/>
    <w:basedOn w:val="DefaultParagraphFont"/>
    <w:uiPriority w:val="32"/>
    <w:qFormat/>
    <w:rsid w:val="000300D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6</Pages>
  <Words>1640</Words>
  <Characters>9353</Characters>
  <Application>Microsoft Office Word</Application>
  <DocSecurity>0</DocSecurity>
  <Lines>77</Lines>
  <Paragraphs>21</Paragraphs>
  <ScaleCrop>false</ScaleCrop>
  <Company/>
  <LinksUpToDate>false</LinksUpToDate>
  <CharactersWithSpaces>10972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Begum (2441716)</dc:creator>
  <cp:keywords/>
  <dc:description/>
  <cp:lastModifiedBy>Tania Begum (2441716)</cp:lastModifiedBy>
  <cp:revision>1</cp:revision>
  <dcterms:created xsi:type="dcterms:W3CDTF">2025-12-15T22:36:00Z</dcterms:created>
  <dcterms:modified xsi:type="dcterms:W3CDTF">2025-12-15T23:02:00Z</dcterms:modified>
</cp:coreProperties>
</file>