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38"/>
      </w:tblGrid>
      <w:tr w:rsidR="00F927A1" w:rsidRPr="005D3F07" w14:paraId="68CAA39D" w14:textId="77777777" w:rsidTr="001344E4">
        <w:trPr>
          <w:trHeight w:val="4149"/>
        </w:trPr>
        <w:tc>
          <w:tcPr>
            <w:tcW w:w="10838" w:type="dxa"/>
            <w:shd w:val="clear" w:color="auto" w:fill="auto"/>
          </w:tcPr>
          <w:p w14:paraId="02F8EE88" w14:textId="1E9EB24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56BC7">
              <w:rPr>
                <w:rFonts w:ascii="Times New Roman" w:hAnsi="Times New Roman" w:cs="Times New Roman"/>
                <w:b/>
                <w:color w:val="auto"/>
                <w:sz w:val="48"/>
              </w:rPr>
              <w:t xml:space="preserve">Lucy </w:t>
            </w:r>
            <w:r w:rsidR="002144BD">
              <w:rPr>
                <w:rFonts w:ascii="Times New Roman" w:hAnsi="Times New Roman" w:cs="Times New Roman"/>
                <w:b/>
                <w:color w:val="auto"/>
                <w:sz w:val="48"/>
              </w:rPr>
              <w:t>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54757A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4186">
              <w:rPr>
                <w:rFonts w:ascii="Times New Roman" w:hAnsi="Times New Roman" w:cs="Times New Roman"/>
                <w:b/>
                <w:color w:val="auto"/>
                <w:sz w:val="48"/>
              </w:rPr>
              <w:t xml:space="preserve"> Lucy.Thomas@swansea.gov.uk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FE9891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344E4">
              <w:rPr>
                <w:rFonts w:ascii="Times New Roman" w:hAnsi="Times New Roman" w:cs="Times New Roman"/>
                <w:b/>
                <w:color w:val="auto"/>
                <w:sz w:val="48"/>
              </w:rPr>
              <w:t xml:space="preserve"> 2319221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26347E5" w14:textId="77777777" w:rsidR="00A53628" w:rsidRPr="00777213" w:rsidRDefault="00A53628" w:rsidP="00A53628">
            <w:pPr>
              <w:jc w:val="both"/>
              <w:rPr>
                <w:color w:val="auto"/>
                <w:sz w:val="24"/>
                <w:szCs w:val="24"/>
                <w:highlight w:val="yellow"/>
              </w:rPr>
            </w:pPr>
            <w:r w:rsidRPr="004B64F9">
              <w:rPr>
                <w:color w:val="auto"/>
                <w:sz w:val="24"/>
                <w:szCs w:val="24"/>
              </w:rPr>
              <w:t xml:space="preserve">The main piece of legislation for social services within Wales is the </w:t>
            </w:r>
            <w:r w:rsidRPr="004B64F9">
              <w:rPr>
                <w:i/>
                <w:iCs/>
                <w:color w:val="auto"/>
                <w:sz w:val="24"/>
                <w:szCs w:val="24"/>
              </w:rPr>
              <w:t xml:space="preserve">Social Service and Well-being (Wales) Act 2014 </w:t>
            </w:r>
            <w:r w:rsidRPr="004B64F9">
              <w:rPr>
                <w:color w:val="auto"/>
                <w:sz w:val="24"/>
                <w:szCs w:val="24"/>
              </w:rPr>
              <w:t xml:space="preserve">(SSWWA). Part-7 of the act </w:t>
            </w:r>
            <w:r w:rsidRPr="004B64F9">
              <w:rPr>
                <w:i/>
                <w:iCs/>
                <w:color w:val="auto"/>
                <w:sz w:val="24"/>
                <w:szCs w:val="24"/>
              </w:rPr>
              <w:t xml:space="preserve">SSWWA </w:t>
            </w:r>
            <w:r w:rsidRPr="004B64F9">
              <w:rPr>
                <w:color w:val="auto"/>
                <w:sz w:val="24"/>
                <w:szCs w:val="24"/>
              </w:rPr>
              <w:t xml:space="preserve">the local authorities (LA) within Wales have 6 Safeguarding Boards across Wales that a represented by various professionals which includes the LA, health professionals, Police, NHS trust, probationary services, and others. The reasoning behind this is to create a space where multi-agent safeguarding for children can be promoted through advice and support (XXX Safeguarding Board, DN). The </w:t>
            </w:r>
            <w:r w:rsidRPr="004B64F9">
              <w:rPr>
                <w:i/>
                <w:iCs/>
                <w:color w:val="auto"/>
                <w:sz w:val="24"/>
                <w:szCs w:val="24"/>
              </w:rPr>
              <w:t xml:space="preserve">Children Act 1989 </w:t>
            </w:r>
            <w:r w:rsidRPr="004B64F9">
              <w:rPr>
                <w:color w:val="auto"/>
                <w:sz w:val="24"/>
                <w:szCs w:val="24"/>
              </w:rPr>
              <w:t xml:space="preserve">(CA) is used by Wales and England alongside </w:t>
            </w:r>
            <w:r w:rsidRPr="004B64F9">
              <w:rPr>
                <w:i/>
                <w:iCs/>
                <w:color w:val="auto"/>
                <w:sz w:val="24"/>
                <w:szCs w:val="24"/>
              </w:rPr>
              <w:t>SSWWA</w:t>
            </w:r>
            <w:r w:rsidRPr="004B64F9">
              <w:rPr>
                <w:color w:val="auto"/>
                <w:sz w:val="24"/>
                <w:szCs w:val="24"/>
              </w:rPr>
              <w:t xml:space="preserve">, </w:t>
            </w:r>
            <w:r w:rsidRPr="00777213">
              <w:rPr>
                <w:color w:val="auto"/>
                <w:sz w:val="24"/>
                <w:szCs w:val="24"/>
              </w:rPr>
              <w:t xml:space="preserve">however, practitioners will now predominantly utilise the SSWWA. SSWWA supports practitioners to focus predominantly on voice and control when supporting individuals achieving their wellbeing outcomes, as the framework offers effective guidance for practitioners to adhere to. </w:t>
            </w:r>
            <w:r w:rsidRPr="004B64F9">
              <w:rPr>
                <w:color w:val="auto"/>
                <w:sz w:val="24"/>
                <w:szCs w:val="24"/>
              </w:rPr>
              <w:t>There is current guidance that supports the legislation, the Wales Safeguarding Procedures that was published in 2019 has provided all professionals who are proceeding with safeguarding a child clear framework and guidance for practice.</w:t>
            </w:r>
          </w:p>
          <w:p w14:paraId="55C9EF96" w14:textId="77777777" w:rsidR="00A53628" w:rsidRPr="004B64F9" w:rsidRDefault="00A53628" w:rsidP="00A53628">
            <w:pPr>
              <w:jc w:val="both"/>
              <w:rPr>
                <w:color w:val="auto"/>
                <w:sz w:val="24"/>
                <w:szCs w:val="24"/>
              </w:rPr>
            </w:pPr>
          </w:p>
          <w:p w14:paraId="3EF92DB3" w14:textId="77777777" w:rsidR="00A53628" w:rsidRPr="004B64F9" w:rsidRDefault="00A53628" w:rsidP="00A53628">
            <w:pPr>
              <w:jc w:val="both"/>
              <w:rPr>
                <w:color w:val="auto"/>
                <w:sz w:val="24"/>
                <w:szCs w:val="24"/>
              </w:rPr>
            </w:pPr>
            <w:r w:rsidRPr="004B64F9">
              <w:rPr>
                <w:color w:val="auto"/>
                <w:sz w:val="24"/>
                <w:szCs w:val="24"/>
              </w:rPr>
              <w:t xml:space="preserve">The </w:t>
            </w:r>
            <w:r w:rsidRPr="004B64F9">
              <w:rPr>
                <w:i/>
                <w:iCs/>
                <w:color w:val="auto"/>
                <w:sz w:val="24"/>
                <w:szCs w:val="24"/>
              </w:rPr>
              <w:t>CA</w:t>
            </w:r>
            <w:r w:rsidRPr="004B64F9">
              <w:rPr>
                <w:color w:val="auto"/>
                <w:sz w:val="24"/>
                <w:szCs w:val="24"/>
              </w:rPr>
              <w:t xml:space="preserve"> under s.47 states that the LA has a legal duty to investigate any referral that raises concerns that could relate to a child at risk. If it has been identified that there are no immediate dangers to the child, s.21 of the </w:t>
            </w:r>
            <w:r w:rsidRPr="004B64F9">
              <w:rPr>
                <w:i/>
                <w:iCs/>
                <w:color w:val="auto"/>
                <w:sz w:val="24"/>
                <w:szCs w:val="24"/>
              </w:rPr>
              <w:t xml:space="preserve">SSWWA </w:t>
            </w:r>
            <w:r w:rsidRPr="004B64F9">
              <w:rPr>
                <w:color w:val="auto"/>
                <w:sz w:val="24"/>
                <w:szCs w:val="24"/>
              </w:rPr>
              <w:t xml:space="preserve">means that the LA has a duty within 42 days to complete an assessment for a child in need. In addition to this, if further support is required this could lead to a care and support plan, or a closure being created. </w:t>
            </w:r>
          </w:p>
          <w:p w14:paraId="785B0E8E" w14:textId="77777777" w:rsidR="00A53628" w:rsidRPr="004B64F9" w:rsidRDefault="00A53628" w:rsidP="00A53628">
            <w:pPr>
              <w:jc w:val="both"/>
              <w:rPr>
                <w:color w:val="auto"/>
                <w:sz w:val="24"/>
                <w:szCs w:val="24"/>
              </w:rPr>
            </w:pPr>
          </w:p>
          <w:p w14:paraId="584A5851" w14:textId="77777777" w:rsidR="00A53628" w:rsidRPr="004B64F9" w:rsidRDefault="00A53628" w:rsidP="00A53628">
            <w:pPr>
              <w:jc w:val="both"/>
              <w:rPr>
                <w:color w:val="auto"/>
                <w:sz w:val="24"/>
                <w:szCs w:val="24"/>
              </w:rPr>
            </w:pPr>
            <w:r w:rsidRPr="004B64F9">
              <w:rPr>
                <w:color w:val="auto"/>
                <w:sz w:val="24"/>
                <w:szCs w:val="24"/>
              </w:rPr>
              <w:t xml:space="preserve">Alternatively, if identified that the child is in immediate danger a few options would be considered in proceeding forward with the case, for example, s.43 under the </w:t>
            </w:r>
            <w:r w:rsidRPr="004B64F9">
              <w:rPr>
                <w:i/>
                <w:iCs/>
                <w:color w:val="auto"/>
                <w:sz w:val="24"/>
                <w:szCs w:val="24"/>
              </w:rPr>
              <w:t>CA</w:t>
            </w:r>
            <w:r w:rsidRPr="004B64F9">
              <w:rPr>
                <w:color w:val="auto"/>
                <w:sz w:val="24"/>
                <w:szCs w:val="24"/>
              </w:rPr>
              <w:t xml:space="preserve"> needs to be completed within 7 days as this grants permission to conduct an application for an assessment for a child without the consent of a parent. Following this, additional requests such as a protection order, carried out by the Police for 72 hours, can be applied for through the court in removing a child to ensure a place of safety. Within 15 days of this event, a child protection conference would take place to protect the child by creating a robust plan for identifying risks and sharing information by working with all professionals who are involved with the child. The professionals would conclude this by deciding if the child would need to be placed onto the </w:t>
            </w:r>
            <w:r w:rsidRPr="004B64F9">
              <w:rPr>
                <w:color w:val="auto"/>
                <w:sz w:val="24"/>
                <w:szCs w:val="24"/>
              </w:rPr>
              <w:lastRenderedPageBreak/>
              <w:t xml:space="preserve">child protection register if placed the LA has 10 working days to see the child due to them having a statutory duty as this result is recorded as the child being at risk of abuse, neglect or harm of the following: physical, sexual, emotional or psychological, financial or neglect. </w:t>
            </w:r>
            <w:r w:rsidRPr="004B64F9">
              <w:rPr>
                <w:i/>
                <w:iCs/>
                <w:color w:val="auto"/>
                <w:sz w:val="24"/>
                <w:szCs w:val="24"/>
              </w:rPr>
              <w:t xml:space="preserve">SSWWA </w:t>
            </w:r>
            <w:r w:rsidRPr="004B64F9">
              <w:rPr>
                <w:color w:val="auto"/>
                <w:sz w:val="24"/>
                <w:szCs w:val="24"/>
              </w:rPr>
              <w:t>under s.130 defines a child at risk as experiencing risk or at risk of abuse, neglect, or other kinds of harm, or has needs for care and support.</w:t>
            </w:r>
          </w:p>
          <w:p w14:paraId="372B09A5" w14:textId="77777777" w:rsidR="00A53628" w:rsidRPr="004B64F9" w:rsidRDefault="00A53628" w:rsidP="00A53628">
            <w:pPr>
              <w:jc w:val="both"/>
              <w:rPr>
                <w:color w:val="auto"/>
                <w:sz w:val="24"/>
                <w:szCs w:val="24"/>
              </w:rPr>
            </w:pPr>
          </w:p>
          <w:p w14:paraId="091DE034" w14:textId="77777777" w:rsidR="00A53628" w:rsidRPr="004B64F9" w:rsidRDefault="00A53628" w:rsidP="00A53628">
            <w:pPr>
              <w:jc w:val="both"/>
              <w:rPr>
                <w:color w:val="auto"/>
                <w:sz w:val="24"/>
                <w:szCs w:val="24"/>
              </w:rPr>
            </w:pPr>
            <w:r w:rsidRPr="004B64F9">
              <w:rPr>
                <w:color w:val="auto"/>
                <w:sz w:val="24"/>
                <w:szCs w:val="24"/>
              </w:rPr>
              <w:t>Signs of Safety approach is utilised within the local authority in which I am currently practicing in underpinning its practice (Turnell and Edwards, 1997). This approach uses a solution-focused and strength-based approach in assessing risk and their assessments (Bunn, 2013).</w:t>
            </w:r>
          </w:p>
          <w:p w14:paraId="60D8C669" w14:textId="17733677" w:rsidR="00FC0334" w:rsidRPr="00A53628" w:rsidRDefault="00A53628" w:rsidP="00FF7EBB">
            <w:pPr>
              <w:jc w:val="both"/>
              <w:rPr>
                <w:color w:val="auto"/>
                <w:sz w:val="24"/>
                <w:szCs w:val="24"/>
              </w:rPr>
            </w:pPr>
            <w:r w:rsidRPr="004B64F9">
              <w:rPr>
                <w:color w:val="auto"/>
                <w:sz w:val="24"/>
                <w:szCs w:val="24"/>
              </w:rPr>
              <w:t>(5</w:t>
            </w:r>
            <w:r>
              <w:rPr>
                <w:color w:val="auto"/>
                <w:sz w:val="24"/>
                <w:szCs w:val="24"/>
              </w:rPr>
              <w:t>32</w:t>
            </w:r>
            <w:r w:rsidRPr="004B64F9">
              <w:rPr>
                <w:color w:val="auto"/>
                <w:sz w:val="24"/>
                <w:szCs w:val="24"/>
              </w:rPr>
              <w:t xml:space="preserve"> words)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743EF54" w14:textId="77777777" w:rsidR="005D35A3" w:rsidRPr="004B64F9" w:rsidRDefault="005D35A3" w:rsidP="005D35A3">
            <w:pPr>
              <w:jc w:val="both"/>
              <w:rPr>
                <w:color w:val="auto"/>
                <w:sz w:val="24"/>
                <w:szCs w:val="24"/>
              </w:rPr>
            </w:pPr>
            <w:r w:rsidRPr="004B64F9">
              <w:rPr>
                <w:color w:val="auto"/>
                <w:sz w:val="24"/>
                <w:szCs w:val="24"/>
              </w:rPr>
              <w:t xml:space="preserve">Within this task, I will be discussing the research that I have undertaken in seeking the difference between safeguarding adults and children. The guidance within the </w:t>
            </w:r>
            <w:r w:rsidRPr="004B64F9">
              <w:rPr>
                <w:i/>
                <w:iCs/>
                <w:color w:val="auto"/>
                <w:sz w:val="24"/>
                <w:szCs w:val="24"/>
              </w:rPr>
              <w:t xml:space="preserve">Social Services and Well-being (Wales) Act 2014 </w:t>
            </w:r>
            <w:r w:rsidRPr="004B64F9">
              <w:rPr>
                <w:color w:val="auto"/>
                <w:sz w:val="24"/>
                <w:szCs w:val="24"/>
              </w:rPr>
              <w:t>(SSWWA) has clear timescales for when a child needs to be seen by professionals, carrying out assessments, and when meetings and reviews should be held. Meanwhile, the guidance with adults from SSWWA does not reflect or offer these specific timescales.</w:t>
            </w:r>
          </w:p>
          <w:p w14:paraId="14414DFF" w14:textId="77777777" w:rsidR="005D35A3" w:rsidRPr="004B64F9" w:rsidRDefault="005D35A3" w:rsidP="005D35A3">
            <w:pPr>
              <w:jc w:val="both"/>
              <w:rPr>
                <w:color w:val="auto"/>
                <w:sz w:val="24"/>
                <w:szCs w:val="24"/>
              </w:rPr>
            </w:pPr>
            <w:r w:rsidRPr="004B64F9">
              <w:rPr>
                <w:color w:val="auto"/>
                <w:sz w:val="24"/>
                <w:szCs w:val="24"/>
              </w:rPr>
              <w:t xml:space="preserve"> </w:t>
            </w:r>
          </w:p>
          <w:p w14:paraId="2859F95E" w14:textId="77777777" w:rsidR="005D35A3" w:rsidRPr="004B64F9" w:rsidRDefault="005D35A3" w:rsidP="005D35A3">
            <w:pPr>
              <w:jc w:val="both"/>
              <w:rPr>
                <w:color w:val="auto"/>
                <w:sz w:val="24"/>
                <w:szCs w:val="24"/>
              </w:rPr>
            </w:pPr>
            <w:r w:rsidRPr="004B64F9">
              <w:rPr>
                <w:i/>
                <w:iCs/>
                <w:color w:val="auto"/>
                <w:sz w:val="24"/>
                <w:szCs w:val="24"/>
              </w:rPr>
              <w:t xml:space="preserve">SSWWA 2014 </w:t>
            </w:r>
            <w:r w:rsidRPr="004B64F9">
              <w:rPr>
                <w:color w:val="auto"/>
                <w:sz w:val="24"/>
                <w:szCs w:val="24"/>
              </w:rPr>
              <w:t xml:space="preserve">currently supports the safeguarding of adults and children where it sets out clear guidance for both in ensuring their safety. However, prior to this implementation of </w:t>
            </w:r>
            <w:r w:rsidRPr="004B64F9">
              <w:rPr>
                <w:i/>
                <w:iCs/>
                <w:color w:val="auto"/>
                <w:sz w:val="24"/>
                <w:szCs w:val="24"/>
              </w:rPr>
              <w:t xml:space="preserve">SSWWA 2014, </w:t>
            </w:r>
            <w:r w:rsidRPr="004B64F9">
              <w:rPr>
                <w:color w:val="auto"/>
                <w:sz w:val="24"/>
                <w:szCs w:val="24"/>
              </w:rPr>
              <w:t xml:space="preserve">there was no specific legislation in place for safeguarding adults within Wales, there was only the guidance of the Protection of Vulnerable Adults (POVA) scheme. Whereas children safeguarding was led by the </w:t>
            </w:r>
            <w:r w:rsidRPr="004B64F9">
              <w:rPr>
                <w:i/>
                <w:iCs/>
                <w:color w:val="auto"/>
                <w:sz w:val="24"/>
                <w:szCs w:val="24"/>
              </w:rPr>
              <w:t xml:space="preserve">Children Act 1989 </w:t>
            </w:r>
            <w:r w:rsidRPr="004B64F9">
              <w:rPr>
                <w:color w:val="auto"/>
                <w:sz w:val="24"/>
                <w:szCs w:val="24"/>
              </w:rPr>
              <w:t xml:space="preserve">and 2004. </w:t>
            </w:r>
          </w:p>
          <w:p w14:paraId="1EC05ACD" w14:textId="77777777" w:rsidR="005D35A3" w:rsidRPr="004B64F9" w:rsidRDefault="005D35A3" w:rsidP="005D35A3">
            <w:pPr>
              <w:jc w:val="both"/>
              <w:rPr>
                <w:color w:val="auto"/>
                <w:sz w:val="24"/>
                <w:szCs w:val="24"/>
              </w:rPr>
            </w:pPr>
          </w:p>
          <w:p w14:paraId="5468212B" w14:textId="4F05D36E" w:rsidR="005D35A3" w:rsidRPr="004B64F9" w:rsidRDefault="005D35A3" w:rsidP="005D35A3">
            <w:pPr>
              <w:jc w:val="both"/>
              <w:rPr>
                <w:color w:val="auto"/>
                <w:sz w:val="24"/>
                <w:szCs w:val="24"/>
              </w:rPr>
            </w:pPr>
            <w:r w:rsidRPr="004B64F9">
              <w:rPr>
                <w:color w:val="auto"/>
                <w:sz w:val="24"/>
                <w:szCs w:val="24"/>
              </w:rPr>
              <w:t xml:space="preserve">The Wales Safeguarding Procedures and the </w:t>
            </w:r>
            <w:r w:rsidRPr="004B64F9">
              <w:rPr>
                <w:i/>
                <w:iCs/>
                <w:color w:val="auto"/>
                <w:sz w:val="24"/>
                <w:szCs w:val="24"/>
              </w:rPr>
              <w:t>SSWWA 2014</w:t>
            </w:r>
            <w:r w:rsidRPr="004B64F9">
              <w:rPr>
                <w:color w:val="auto"/>
                <w:sz w:val="24"/>
                <w:szCs w:val="24"/>
              </w:rPr>
              <w:t xml:space="preserve"> provides and sets out categories that defines abuse for adults and children are:  Physical, sexual, emotional/psychological, financial, and neglect including female genital mutilation, modern slavery, and criminal exploitation. How this differs for adults and children is that children can be at risk of radicalisation which procedures recognise not all elements are considered, which NCPCC (202</w:t>
            </w:r>
            <w:r w:rsidR="000056C8">
              <w:rPr>
                <w:color w:val="auto"/>
                <w:sz w:val="24"/>
                <w:szCs w:val="24"/>
              </w:rPr>
              <w:t>1</w:t>
            </w:r>
            <w:r w:rsidRPr="004B64F9">
              <w:rPr>
                <w:color w:val="auto"/>
                <w:sz w:val="24"/>
                <w:szCs w:val="24"/>
              </w:rPr>
              <w:t>) furthers this notion of abuse to bullying, cyberbullying, online abuse, and child trafficking. Whereas adults can be at risk of Violence against women and domestic abuse and violence against men.</w:t>
            </w:r>
          </w:p>
          <w:p w14:paraId="39CD5F64" w14:textId="77777777" w:rsidR="005D35A3" w:rsidRPr="004B64F9" w:rsidRDefault="005D35A3" w:rsidP="005D35A3">
            <w:pPr>
              <w:jc w:val="both"/>
              <w:rPr>
                <w:color w:val="auto"/>
                <w:sz w:val="24"/>
                <w:szCs w:val="24"/>
              </w:rPr>
            </w:pPr>
          </w:p>
          <w:p w14:paraId="16D140F8" w14:textId="77777777" w:rsidR="005D35A3" w:rsidRPr="004B64F9" w:rsidRDefault="005D35A3" w:rsidP="005D35A3">
            <w:pPr>
              <w:jc w:val="both"/>
              <w:rPr>
                <w:color w:val="auto"/>
                <w:sz w:val="24"/>
                <w:szCs w:val="24"/>
              </w:rPr>
            </w:pPr>
            <w:r w:rsidRPr="004B64F9">
              <w:rPr>
                <w:color w:val="auto"/>
                <w:sz w:val="24"/>
                <w:szCs w:val="24"/>
              </w:rPr>
              <w:t xml:space="preserve">An additional difference between adults and children safeguarding is consent. Although a child’s rights have been advocated through the Human Rights Act (1998) is an essential piece of legislation, the local authority has set out guidance that all professionals must gain consent from either the child’s parent or guardian unless it has been highlighted that there are safeguarding concerns. If highlighted, a Social Worker can speak with the child without the </w:t>
            </w:r>
            <w:r w:rsidRPr="004B64F9">
              <w:rPr>
                <w:color w:val="auto"/>
                <w:sz w:val="24"/>
                <w:szCs w:val="24"/>
              </w:rPr>
              <w:lastRenderedPageBreak/>
              <w:t xml:space="preserve">parents’ consent as this is overruled. However, consent must be obtained from an adult unless they are under the </w:t>
            </w:r>
            <w:r w:rsidRPr="004B64F9">
              <w:rPr>
                <w:i/>
                <w:iCs/>
                <w:color w:val="auto"/>
                <w:sz w:val="24"/>
                <w:szCs w:val="24"/>
              </w:rPr>
              <w:t xml:space="preserve">Mental Capacity Act 2005. </w:t>
            </w:r>
            <w:r w:rsidRPr="004B64F9">
              <w:rPr>
                <w:color w:val="auto"/>
                <w:sz w:val="24"/>
                <w:szCs w:val="24"/>
              </w:rPr>
              <w:t xml:space="preserve">If it has been identified that the adult is lacking capacity and it has been suggested that they are at risk of harm, a best interest meeting can be held as an intervention (Carr &amp; Goosey, 2017). Meanwhile, the </w:t>
            </w:r>
            <w:r w:rsidRPr="004B64F9">
              <w:rPr>
                <w:i/>
                <w:iCs/>
                <w:color w:val="auto"/>
                <w:sz w:val="24"/>
                <w:szCs w:val="24"/>
              </w:rPr>
              <w:t xml:space="preserve">Human Rights Act 1998 </w:t>
            </w:r>
            <w:r w:rsidRPr="004B64F9">
              <w:rPr>
                <w:color w:val="auto"/>
                <w:sz w:val="24"/>
                <w:szCs w:val="24"/>
              </w:rPr>
              <w:t xml:space="preserve">states, that if the adult does have capacity but declines support, this must be upheld. </w:t>
            </w:r>
          </w:p>
          <w:p w14:paraId="74B62210" w14:textId="7EF0F582" w:rsidR="005D35A3" w:rsidRPr="004B64F9" w:rsidRDefault="005D35A3" w:rsidP="005D35A3">
            <w:pPr>
              <w:jc w:val="both"/>
              <w:rPr>
                <w:color w:val="auto"/>
                <w:sz w:val="24"/>
                <w:szCs w:val="24"/>
              </w:rPr>
            </w:pPr>
            <w:r w:rsidRPr="004B64F9">
              <w:rPr>
                <w:color w:val="auto"/>
                <w:sz w:val="24"/>
                <w:szCs w:val="24"/>
              </w:rPr>
              <w:t>(385</w:t>
            </w:r>
            <w:r>
              <w:rPr>
                <w:color w:val="auto"/>
                <w:sz w:val="24"/>
                <w:szCs w:val="24"/>
              </w:rPr>
              <w:t xml:space="preserve"> words</w:t>
            </w:r>
            <w:r w:rsidRPr="004B64F9">
              <w:rPr>
                <w:color w:val="auto"/>
                <w:sz w:val="24"/>
                <w:szCs w:val="24"/>
              </w:rPr>
              <w:t>)</w:t>
            </w:r>
          </w:p>
          <w:p w14:paraId="0A45B3F4" w14:textId="77777777" w:rsidR="005D35A3" w:rsidRPr="004B64F9" w:rsidRDefault="005D35A3" w:rsidP="005D35A3">
            <w:pPr>
              <w:jc w:val="both"/>
              <w:rPr>
                <w:color w:val="auto"/>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65B822" w14:textId="77777777" w:rsidR="0067035D" w:rsidRDefault="0067035D">
      <w:r>
        <w:separator/>
      </w:r>
    </w:p>
  </w:endnote>
  <w:endnote w:type="continuationSeparator" w:id="0">
    <w:p w14:paraId="0B6320B0" w14:textId="77777777" w:rsidR="0067035D" w:rsidRDefault="00670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87ECC2" w14:textId="77777777" w:rsidR="0067035D" w:rsidRDefault="0067035D">
      <w:r>
        <w:separator/>
      </w:r>
    </w:p>
  </w:footnote>
  <w:footnote w:type="continuationSeparator" w:id="0">
    <w:p w14:paraId="3AEB361D" w14:textId="77777777" w:rsidR="0067035D" w:rsidRDefault="006703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6C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792"/>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186"/>
    <w:rsid w:val="00114F52"/>
    <w:rsid w:val="00130119"/>
    <w:rsid w:val="00132812"/>
    <w:rsid w:val="001344E4"/>
    <w:rsid w:val="001347F8"/>
    <w:rsid w:val="001359EE"/>
    <w:rsid w:val="00137BB5"/>
    <w:rsid w:val="00137E05"/>
    <w:rsid w:val="001447F6"/>
    <w:rsid w:val="00147DE3"/>
    <w:rsid w:val="00150794"/>
    <w:rsid w:val="00151DA6"/>
    <w:rsid w:val="00156BC7"/>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4BD"/>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1CA"/>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D64"/>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5A3"/>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035D"/>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628"/>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51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1036</Words>
  <Characters>5911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Thomas</cp:lastModifiedBy>
  <cp:revision>11</cp:revision>
  <cp:lastPrinted>2020-02-11T19:20:00Z</cp:lastPrinted>
  <dcterms:created xsi:type="dcterms:W3CDTF">2022-09-29T11:35:00Z</dcterms:created>
  <dcterms:modified xsi:type="dcterms:W3CDTF">2024-10-09T15:53:00Z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