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79455C" w14:textId="77777777" w:rsidR="00554E93" w:rsidRPr="00554E93" w:rsidRDefault="00554E93" w:rsidP="00554E93">
      <w:pPr>
        <w:spacing w:after="200" w:line="360" w:lineRule="auto"/>
        <w:jc w:val="center"/>
        <w:rPr>
          <w:rFonts w:ascii="Times New Roman" w:eastAsia="Calibri" w:hAnsi="Times New Roman" w:cs="Times New Roman"/>
          <w:sz w:val="44"/>
          <w:lang w:val="en-US"/>
        </w:rPr>
      </w:pPr>
    </w:p>
    <w:p w14:paraId="15669684" w14:textId="77777777" w:rsidR="00554E93" w:rsidRPr="00554E93" w:rsidRDefault="00554E93" w:rsidP="00554E93">
      <w:pPr>
        <w:spacing w:after="200" w:line="360" w:lineRule="auto"/>
        <w:jc w:val="center"/>
        <w:rPr>
          <w:rFonts w:ascii="Times New Roman" w:eastAsia="Calibri" w:hAnsi="Times New Roman" w:cs="Times New Roman"/>
          <w:sz w:val="44"/>
          <w:lang w:val="en-US"/>
        </w:rPr>
      </w:pPr>
    </w:p>
    <w:p w14:paraId="1BA9135B" w14:textId="77777777" w:rsidR="00554E93" w:rsidRPr="00554E93" w:rsidRDefault="00554E93" w:rsidP="00554E93">
      <w:pPr>
        <w:spacing w:after="200" w:line="360" w:lineRule="auto"/>
        <w:jc w:val="center"/>
        <w:rPr>
          <w:rFonts w:ascii="Times New Roman" w:eastAsia="Calibri" w:hAnsi="Times New Roman" w:cs="Times New Roman"/>
          <w:sz w:val="44"/>
          <w:lang w:val="en-US"/>
        </w:rPr>
      </w:pPr>
    </w:p>
    <w:p w14:paraId="405855E3" w14:textId="77777777" w:rsidR="00554E93" w:rsidRPr="00554E93" w:rsidRDefault="00554E93" w:rsidP="00554E93">
      <w:pPr>
        <w:spacing w:after="200" w:line="360" w:lineRule="auto"/>
        <w:jc w:val="center"/>
        <w:rPr>
          <w:rFonts w:ascii="Times New Roman" w:eastAsia="Calibri" w:hAnsi="Times New Roman" w:cs="Times New Roman"/>
          <w:sz w:val="40"/>
          <w:lang w:val="en-US"/>
        </w:rPr>
      </w:pPr>
      <w:r w:rsidRPr="00554E93">
        <w:rPr>
          <w:rFonts w:ascii="Times New Roman" w:eastAsia="Calibri" w:hAnsi="Times New Roman" w:cs="Times New Roman"/>
          <w:sz w:val="40"/>
          <w:lang w:val="en-US"/>
        </w:rPr>
        <w:t>Environmental Analysis of Car Industry - Assessment 1</w:t>
      </w:r>
    </w:p>
    <w:p w14:paraId="17E3B86A" w14:textId="77777777" w:rsidR="00554E93" w:rsidRPr="00554E93" w:rsidRDefault="00554E93" w:rsidP="00554E93">
      <w:pPr>
        <w:spacing w:after="200" w:line="360" w:lineRule="auto"/>
        <w:jc w:val="center"/>
        <w:rPr>
          <w:rFonts w:ascii="Times New Roman" w:eastAsia="Calibri" w:hAnsi="Times New Roman" w:cs="Times New Roman"/>
          <w:sz w:val="44"/>
          <w:lang w:val="en-US"/>
        </w:rPr>
      </w:pPr>
    </w:p>
    <w:p w14:paraId="162670E9" w14:textId="77777777" w:rsidR="00554E93" w:rsidRPr="00554E93" w:rsidRDefault="00554E93" w:rsidP="00554E93">
      <w:pPr>
        <w:spacing w:after="200" w:line="276" w:lineRule="auto"/>
        <w:rPr>
          <w:rFonts w:ascii="Times New Roman" w:eastAsia="Calibri" w:hAnsi="Times New Roman" w:cs="Times New Roman"/>
          <w:sz w:val="44"/>
          <w:lang w:val="en-US"/>
        </w:rPr>
      </w:pPr>
      <w:r w:rsidRPr="00554E93">
        <w:rPr>
          <w:rFonts w:ascii="Times New Roman" w:eastAsia="Calibri" w:hAnsi="Times New Roman" w:cs="Times New Roman"/>
          <w:sz w:val="44"/>
          <w:lang w:val="en-US"/>
        </w:rPr>
        <w:br w:type="page"/>
      </w:r>
    </w:p>
    <w:sdt>
      <w:sdtPr>
        <w:rPr>
          <w:rFonts w:ascii="Times New Roman" w:eastAsia="Calibri" w:hAnsi="Times New Roman" w:cs="Times New Roman"/>
          <w:sz w:val="24"/>
          <w:lang w:val="en-US"/>
        </w:rPr>
        <w:id w:val="-2013518367"/>
        <w:docPartObj>
          <w:docPartGallery w:val="Table of Contents"/>
          <w:docPartUnique/>
        </w:docPartObj>
      </w:sdtPr>
      <w:sdtContent>
        <w:p w14:paraId="5BC6492C" w14:textId="77777777" w:rsidR="00554E93" w:rsidRPr="00554E93" w:rsidRDefault="00554E93" w:rsidP="00554E93">
          <w:pPr>
            <w:keepNext/>
            <w:keepLines/>
            <w:spacing w:before="240" w:after="0" w:line="256" w:lineRule="auto"/>
            <w:rPr>
              <w:rFonts w:ascii="Cambria" w:eastAsia="Times New Roman" w:hAnsi="Cambria" w:cs="Times New Roman"/>
              <w:color w:val="365F91"/>
              <w:sz w:val="32"/>
              <w:szCs w:val="32"/>
              <w:lang w:val="en-US"/>
            </w:rPr>
          </w:pPr>
          <w:r w:rsidRPr="00554E93">
            <w:rPr>
              <w:rFonts w:ascii="Cambria" w:eastAsia="Times New Roman" w:hAnsi="Cambria" w:cs="Times New Roman"/>
              <w:color w:val="365F91"/>
              <w:sz w:val="32"/>
              <w:szCs w:val="32"/>
              <w:lang w:val="en-US"/>
            </w:rPr>
            <w:t>Contents</w:t>
          </w:r>
        </w:p>
        <w:p w14:paraId="60F21578" w14:textId="77777777" w:rsidR="00554E93" w:rsidRPr="00554E93" w:rsidRDefault="00554E93" w:rsidP="00554E93">
          <w:pPr>
            <w:tabs>
              <w:tab w:val="right" w:leader="dot" w:pos="9350"/>
            </w:tabs>
            <w:spacing w:after="100" w:line="360" w:lineRule="auto"/>
            <w:jc w:val="both"/>
            <w:rPr>
              <w:rFonts w:ascii="Calibri" w:eastAsia="Times New Roman" w:hAnsi="Calibri" w:cs="Times New Roman"/>
              <w:noProof/>
              <w:lang w:val="en-US"/>
            </w:rPr>
          </w:pPr>
          <w:r w:rsidRPr="00554E93">
            <w:rPr>
              <w:rFonts w:ascii="Times New Roman" w:eastAsia="Calibri" w:hAnsi="Times New Roman" w:cs="Times New Roman"/>
              <w:sz w:val="24"/>
              <w:lang w:val="en-US"/>
            </w:rPr>
            <w:fldChar w:fldCharType="begin"/>
          </w:r>
          <w:r w:rsidRPr="00554E93">
            <w:rPr>
              <w:rFonts w:ascii="Times New Roman" w:eastAsia="Calibri" w:hAnsi="Times New Roman" w:cs="Times New Roman"/>
              <w:sz w:val="24"/>
              <w:lang w:val="en-US"/>
            </w:rPr>
            <w:instrText xml:space="preserve"> TOC \o "1-3" \h \z \u </w:instrText>
          </w:r>
          <w:r w:rsidRPr="00554E93">
            <w:rPr>
              <w:rFonts w:ascii="Times New Roman" w:eastAsia="Calibri" w:hAnsi="Times New Roman" w:cs="Times New Roman"/>
              <w:sz w:val="24"/>
              <w:lang w:val="en-US"/>
            </w:rPr>
            <w:fldChar w:fldCharType="separate"/>
          </w:r>
          <w:hyperlink r:id="rId4" w:anchor="_Toc48692028" w:history="1">
            <w:r w:rsidRPr="00554E93">
              <w:rPr>
                <w:rFonts w:ascii="Times New Roman" w:eastAsia="Calibri" w:hAnsi="Times New Roman" w:cs="Times New Roman"/>
                <w:noProof/>
                <w:color w:val="0000FF"/>
                <w:sz w:val="24"/>
                <w:u w:val="single"/>
                <w:lang w:val="en-US"/>
              </w:rPr>
              <w:t>Introduction</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_Toc48692028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3</w:t>
            </w:r>
            <w:r w:rsidRPr="00554E93">
              <w:rPr>
                <w:rFonts w:ascii="Times New Roman" w:eastAsia="Calibri" w:hAnsi="Times New Roman" w:cs="Times New Roman"/>
                <w:noProof/>
                <w:webHidden/>
                <w:sz w:val="24"/>
                <w:u w:val="single"/>
                <w:lang w:val="en-US"/>
              </w:rPr>
              <w:fldChar w:fldCharType="end"/>
            </w:r>
          </w:hyperlink>
        </w:p>
        <w:p w14:paraId="422E796E" w14:textId="77777777" w:rsidR="00554E93" w:rsidRPr="00554E93" w:rsidRDefault="00554E93" w:rsidP="00554E93">
          <w:pPr>
            <w:tabs>
              <w:tab w:val="right" w:leader="dot" w:pos="9350"/>
            </w:tabs>
            <w:spacing w:after="100" w:line="360" w:lineRule="auto"/>
            <w:jc w:val="both"/>
            <w:rPr>
              <w:rFonts w:ascii="Calibri" w:eastAsia="Times New Roman" w:hAnsi="Calibri" w:cs="Times New Roman"/>
              <w:noProof/>
              <w:lang w:val="en-US"/>
            </w:rPr>
          </w:pPr>
          <w:hyperlink r:id="rId5" w:anchor="_Toc48692029" w:history="1">
            <w:r w:rsidRPr="00554E93">
              <w:rPr>
                <w:rFonts w:ascii="Times New Roman" w:eastAsia="Calibri" w:hAnsi="Times New Roman" w:cs="Times New Roman"/>
                <w:noProof/>
                <w:color w:val="0000FF"/>
                <w:sz w:val="24"/>
                <w:u w:val="single"/>
                <w:lang w:val="en-US"/>
              </w:rPr>
              <w:t>Business Environment of the Car Industry in the UK</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_Toc48692029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4</w:t>
            </w:r>
            <w:r w:rsidRPr="00554E93">
              <w:rPr>
                <w:rFonts w:ascii="Times New Roman" w:eastAsia="Calibri" w:hAnsi="Times New Roman" w:cs="Times New Roman"/>
                <w:noProof/>
                <w:webHidden/>
                <w:sz w:val="24"/>
                <w:u w:val="single"/>
                <w:lang w:val="en-US"/>
              </w:rPr>
              <w:fldChar w:fldCharType="end"/>
            </w:r>
          </w:hyperlink>
        </w:p>
        <w:p w14:paraId="0BF54CD4" w14:textId="77777777" w:rsidR="00554E93" w:rsidRPr="00554E93" w:rsidRDefault="00554E93" w:rsidP="00554E93">
          <w:pPr>
            <w:tabs>
              <w:tab w:val="right" w:leader="dot" w:pos="9350"/>
            </w:tabs>
            <w:spacing w:after="100" w:line="360" w:lineRule="auto"/>
            <w:jc w:val="both"/>
            <w:rPr>
              <w:rFonts w:ascii="Calibri" w:eastAsia="Times New Roman" w:hAnsi="Calibri" w:cs="Times New Roman"/>
              <w:noProof/>
              <w:lang w:val="en-US"/>
            </w:rPr>
          </w:pPr>
          <w:hyperlink r:id="rId6" w:anchor="_Toc48692030" w:history="1">
            <w:r w:rsidRPr="00554E93">
              <w:rPr>
                <w:rFonts w:ascii="Times New Roman" w:eastAsia="Calibri" w:hAnsi="Times New Roman" w:cs="Times New Roman"/>
                <w:noProof/>
                <w:color w:val="0000FF"/>
                <w:sz w:val="24"/>
                <w:u w:val="single"/>
                <w:lang w:val="en-US"/>
              </w:rPr>
              <w:t>Analyzing the Macro Environment of Car Industry Using PESTEL Framework</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_Toc48692030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5</w:t>
            </w:r>
            <w:r w:rsidRPr="00554E93">
              <w:rPr>
                <w:rFonts w:ascii="Times New Roman" w:eastAsia="Calibri" w:hAnsi="Times New Roman" w:cs="Times New Roman"/>
                <w:noProof/>
                <w:webHidden/>
                <w:sz w:val="24"/>
                <w:u w:val="single"/>
                <w:lang w:val="en-US"/>
              </w:rPr>
              <w:fldChar w:fldCharType="end"/>
            </w:r>
          </w:hyperlink>
        </w:p>
        <w:p w14:paraId="5C9108A7" w14:textId="77777777" w:rsidR="00554E93" w:rsidRPr="00554E93" w:rsidRDefault="00554E93" w:rsidP="00554E93">
          <w:pPr>
            <w:tabs>
              <w:tab w:val="right" w:leader="dot" w:pos="9350"/>
            </w:tabs>
            <w:spacing w:after="100" w:line="360" w:lineRule="auto"/>
            <w:ind w:left="240"/>
            <w:jc w:val="both"/>
            <w:rPr>
              <w:rFonts w:ascii="Calibri" w:eastAsia="Times New Roman" w:hAnsi="Calibri" w:cs="Times New Roman"/>
              <w:noProof/>
              <w:lang w:val="en-US"/>
            </w:rPr>
          </w:pPr>
          <w:hyperlink r:id="rId7" w:anchor="_Toc48692031" w:history="1">
            <w:r w:rsidRPr="00554E93">
              <w:rPr>
                <w:rFonts w:ascii="Times New Roman" w:eastAsia="Calibri" w:hAnsi="Times New Roman" w:cs="Times New Roman"/>
                <w:noProof/>
                <w:color w:val="0000FF"/>
                <w:sz w:val="24"/>
                <w:u w:val="single"/>
                <w:lang w:val="en-US"/>
              </w:rPr>
              <w:t>Political Factors</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_Toc48692031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6</w:t>
            </w:r>
            <w:r w:rsidRPr="00554E93">
              <w:rPr>
                <w:rFonts w:ascii="Times New Roman" w:eastAsia="Calibri" w:hAnsi="Times New Roman" w:cs="Times New Roman"/>
                <w:noProof/>
                <w:webHidden/>
                <w:sz w:val="24"/>
                <w:u w:val="single"/>
                <w:lang w:val="en-US"/>
              </w:rPr>
              <w:fldChar w:fldCharType="end"/>
            </w:r>
          </w:hyperlink>
        </w:p>
        <w:p w14:paraId="4305CBE1" w14:textId="77777777" w:rsidR="00554E93" w:rsidRPr="00554E93" w:rsidRDefault="00554E93" w:rsidP="00554E93">
          <w:pPr>
            <w:tabs>
              <w:tab w:val="right" w:leader="dot" w:pos="9350"/>
            </w:tabs>
            <w:spacing w:after="100" w:line="360" w:lineRule="auto"/>
            <w:ind w:left="240"/>
            <w:jc w:val="both"/>
            <w:rPr>
              <w:rFonts w:ascii="Calibri" w:eastAsia="Times New Roman" w:hAnsi="Calibri" w:cs="Times New Roman"/>
              <w:noProof/>
              <w:lang w:val="en-US"/>
            </w:rPr>
          </w:pPr>
          <w:hyperlink r:id="rId8" w:anchor="_Toc48692032" w:history="1">
            <w:r w:rsidRPr="00554E93">
              <w:rPr>
                <w:rFonts w:ascii="Times New Roman" w:eastAsia="Calibri" w:hAnsi="Times New Roman" w:cs="Times New Roman"/>
                <w:noProof/>
                <w:color w:val="0000FF"/>
                <w:sz w:val="24"/>
                <w:u w:val="single"/>
                <w:lang w:val="en-US"/>
              </w:rPr>
              <w:t>Economic Factors</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_Toc48692032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7</w:t>
            </w:r>
            <w:r w:rsidRPr="00554E93">
              <w:rPr>
                <w:rFonts w:ascii="Times New Roman" w:eastAsia="Calibri" w:hAnsi="Times New Roman" w:cs="Times New Roman"/>
                <w:noProof/>
                <w:webHidden/>
                <w:sz w:val="24"/>
                <w:u w:val="single"/>
                <w:lang w:val="en-US"/>
              </w:rPr>
              <w:fldChar w:fldCharType="end"/>
            </w:r>
          </w:hyperlink>
        </w:p>
        <w:p w14:paraId="506B4F14" w14:textId="77777777" w:rsidR="00554E93" w:rsidRPr="00554E93" w:rsidRDefault="00554E93" w:rsidP="00554E93">
          <w:pPr>
            <w:tabs>
              <w:tab w:val="right" w:leader="dot" w:pos="9350"/>
            </w:tabs>
            <w:spacing w:after="100" w:line="360" w:lineRule="auto"/>
            <w:ind w:left="240"/>
            <w:jc w:val="both"/>
            <w:rPr>
              <w:rFonts w:ascii="Calibri" w:eastAsia="Times New Roman" w:hAnsi="Calibri" w:cs="Times New Roman"/>
              <w:noProof/>
              <w:lang w:val="en-US"/>
            </w:rPr>
          </w:pPr>
          <w:hyperlink r:id="rId9" w:anchor="_Toc48692033" w:history="1">
            <w:r w:rsidRPr="00554E93">
              <w:rPr>
                <w:rFonts w:ascii="Times New Roman" w:eastAsia="Calibri" w:hAnsi="Times New Roman" w:cs="Times New Roman"/>
                <w:noProof/>
                <w:color w:val="0000FF"/>
                <w:sz w:val="24"/>
                <w:u w:val="single"/>
                <w:lang w:val="en-US"/>
              </w:rPr>
              <w:t>Socio-cultural Factors</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_Toc48692033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10</w:t>
            </w:r>
            <w:r w:rsidRPr="00554E93">
              <w:rPr>
                <w:rFonts w:ascii="Times New Roman" w:eastAsia="Calibri" w:hAnsi="Times New Roman" w:cs="Times New Roman"/>
                <w:noProof/>
                <w:webHidden/>
                <w:sz w:val="24"/>
                <w:u w:val="single"/>
                <w:lang w:val="en-US"/>
              </w:rPr>
              <w:fldChar w:fldCharType="end"/>
            </w:r>
          </w:hyperlink>
        </w:p>
        <w:p w14:paraId="3FC59206" w14:textId="77777777" w:rsidR="00554E93" w:rsidRPr="00554E93" w:rsidRDefault="00554E93" w:rsidP="00554E93">
          <w:pPr>
            <w:tabs>
              <w:tab w:val="right" w:leader="dot" w:pos="9350"/>
            </w:tabs>
            <w:spacing w:after="100" w:line="360" w:lineRule="auto"/>
            <w:ind w:left="240"/>
            <w:jc w:val="both"/>
            <w:rPr>
              <w:rFonts w:ascii="Calibri" w:eastAsia="Times New Roman" w:hAnsi="Calibri" w:cs="Times New Roman"/>
              <w:noProof/>
              <w:lang w:val="en-US"/>
            </w:rPr>
          </w:pPr>
          <w:hyperlink r:id="rId10" w:anchor="_Toc48692034" w:history="1">
            <w:r w:rsidRPr="00554E93">
              <w:rPr>
                <w:rFonts w:ascii="Times New Roman" w:eastAsia="Calibri" w:hAnsi="Times New Roman" w:cs="Times New Roman"/>
                <w:noProof/>
                <w:color w:val="0000FF"/>
                <w:sz w:val="24"/>
                <w:u w:val="single"/>
                <w:lang w:val="en-US"/>
              </w:rPr>
              <w:t>Technological Factors</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_Toc48692034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11</w:t>
            </w:r>
            <w:r w:rsidRPr="00554E93">
              <w:rPr>
                <w:rFonts w:ascii="Times New Roman" w:eastAsia="Calibri" w:hAnsi="Times New Roman" w:cs="Times New Roman"/>
                <w:noProof/>
                <w:webHidden/>
                <w:sz w:val="24"/>
                <w:u w:val="single"/>
                <w:lang w:val="en-US"/>
              </w:rPr>
              <w:fldChar w:fldCharType="end"/>
            </w:r>
          </w:hyperlink>
        </w:p>
        <w:p w14:paraId="197FCF44" w14:textId="77777777" w:rsidR="00554E93" w:rsidRPr="00554E93" w:rsidRDefault="00554E93" w:rsidP="00554E93">
          <w:pPr>
            <w:tabs>
              <w:tab w:val="right" w:leader="dot" w:pos="9350"/>
            </w:tabs>
            <w:spacing w:after="100" w:line="360" w:lineRule="auto"/>
            <w:ind w:left="240"/>
            <w:jc w:val="both"/>
            <w:rPr>
              <w:rFonts w:ascii="Calibri" w:eastAsia="Times New Roman" w:hAnsi="Calibri" w:cs="Times New Roman"/>
              <w:noProof/>
              <w:lang w:val="en-US"/>
            </w:rPr>
          </w:pPr>
          <w:hyperlink r:id="rId11" w:anchor="_Toc48692035" w:history="1">
            <w:r w:rsidRPr="00554E93">
              <w:rPr>
                <w:rFonts w:ascii="Times New Roman" w:eastAsia="Calibri" w:hAnsi="Times New Roman" w:cs="Times New Roman"/>
                <w:noProof/>
                <w:color w:val="0000FF"/>
                <w:sz w:val="24"/>
                <w:u w:val="single"/>
                <w:lang w:val="en-US"/>
              </w:rPr>
              <w:t>Environmental Factors</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_Toc48692035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12</w:t>
            </w:r>
            <w:r w:rsidRPr="00554E93">
              <w:rPr>
                <w:rFonts w:ascii="Times New Roman" w:eastAsia="Calibri" w:hAnsi="Times New Roman" w:cs="Times New Roman"/>
                <w:noProof/>
                <w:webHidden/>
                <w:sz w:val="24"/>
                <w:u w:val="single"/>
                <w:lang w:val="en-US"/>
              </w:rPr>
              <w:fldChar w:fldCharType="end"/>
            </w:r>
          </w:hyperlink>
        </w:p>
        <w:p w14:paraId="573F2A6F" w14:textId="77777777" w:rsidR="00554E93" w:rsidRPr="00554E93" w:rsidRDefault="00554E93" w:rsidP="00554E93">
          <w:pPr>
            <w:tabs>
              <w:tab w:val="right" w:leader="dot" w:pos="9350"/>
            </w:tabs>
            <w:spacing w:after="100" w:line="360" w:lineRule="auto"/>
            <w:ind w:left="240"/>
            <w:jc w:val="both"/>
            <w:rPr>
              <w:rFonts w:ascii="Calibri" w:eastAsia="Times New Roman" w:hAnsi="Calibri" w:cs="Times New Roman"/>
              <w:noProof/>
              <w:lang w:val="en-US"/>
            </w:rPr>
          </w:pPr>
          <w:hyperlink r:id="rId12" w:anchor="_Toc48692036" w:history="1">
            <w:r w:rsidRPr="00554E93">
              <w:rPr>
                <w:rFonts w:ascii="Times New Roman" w:eastAsia="Calibri" w:hAnsi="Times New Roman" w:cs="Times New Roman"/>
                <w:noProof/>
                <w:color w:val="0000FF"/>
                <w:sz w:val="24"/>
                <w:u w:val="single"/>
                <w:lang w:val="en-US"/>
              </w:rPr>
              <w:t>Legal Factors</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_Toc48692036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12</w:t>
            </w:r>
            <w:r w:rsidRPr="00554E93">
              <w:rPr>
                <w:rFonts w:ascii="Times New Roman" w:eastAsia="Calibri" w:hAnsi="Times New Roman" w:cs="Times New Roman"/>
                <w:noProof/>
                <w:webHidden/>
                <w:sz w:val="24"/>
                <w:u w:val="single"/>
                <w:lang w:val="en-US"/>
              </w:rPr>
              <w:fldChar w:fldCharType="end"/>
            </w:r>
          </w:hyperlink>
        </w:p>
        <w:p w14:paraId="2D4BD026" w14:textId="77777777" w:rsidR="00554E93" w:rsidRPr="00554E93" w:rsidRDefault="00554E93" w:rsidP="00554E93">
          <w:pPr>
            <w:tabs>
              <w:tab w:val="right" w:leader="dot" w:pos="9350"/>
            </w:tabs>
            <w:spacing w:after="100" w:line="360" w:lineRule="auto"/>
            <w:jc w:val="both"/>
            <w:rPr>
              <w:rFonts w:ascii="Calibri" w:eastAsia="Times New Roman" w:hAnsi="Calibri" w:cs="Times New Roman"/>
              <w:noProof/>
              <w:lang w:val="en-US"/>
            </w:rPr>
          </w:pPr>
          <w:hyperlink r:id="rId13" w:anchor="_Toc48692037" w:history="1">
            <w:r w:rsidRPr="00554E93">
              <w:rPr>
                <w:rFonts w:ascii="Times New Roman" w:eastAsia="Calibri" w:hAnsi="Times New Roman" w:cs="Times New Roman"/>
                <w:noProof/>
                <w:color w:val="0000FF"/>
                <w:sz w:val="24"/>
                <w:u w:val="single"/>
                <w:lang w:val="en-US"/>
              </w:rPr>
              <w:t>Evaluating Competitive Positioning of Car Industry Using Porter’s Five Forces Model</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_Toc48692037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13</w:t>
            </w:r>
            <w:r w:rsidRPr="00554E93">
              <w:rPr>
                <w:rFonts w:ascii="Times New Roman" w:eastAsia="Calibri" w:hAnsi="Times New Roman" w:cs="Times New Roman"/>
                <w:noProof/>
                <w:webHidden/>
                <w:sz w:val="24"/>
                <w:u w:val="single"/>
                <w:lang w:val="en-US"/>
              </w:rPr>
              <w:fldChar w:fldCharType="end"/>
            </w:r>
          </w:hyperlink>
        </w:p>
        <w:p w14:paraId="507D03E4" w14:textId="77777777" w:rsidR="00554E93" w:rsidRPr="00554E93" w:rsidRDefault="00554E93" w:rsidP="00554E93">
          <w:pPr>
            <w:tabs>
              <w:tab w:val="right" w:leader="dot" w:pos="9350"/>
            </w:tabs>
            <w:spacing w:after="100" w:line="360" w:lineRule="auto"/>
            <w:ind w:left="240"/>
            <w:jc w:val="both"/>
            <w:rPr>
              <w:rFonts w:ascii="Calibri" w:eastAsia="Times New Roman" w:hAnsi="Calibri" w:cs="Times New Roman"/>
              <w:noProof/>
              <w:lang w:val="en-US"/>
            </w:rPr>
          </w:pPr>
          <w:hyperlink r:id="rId14" w:anchor="_Toc48692038" w:history="1">
            <w:r w:rsidRPr="00554E93">
              <w:rPr>
                <w:rFonts w:ascii="Times New Roman" w:eastAsia="Calibri" w:hAnsi="Times New Roman" w:cs="Times New Roman"/>
                <w:noProof/>
                <w:color w:val="0000FF"/>
                <w:sz w:val="24"/>
                <w:u w:val="single"/>
                <w:lang w:val="en-US"/>
              </w:rPr>
              <w:t>Bargaining Power of Buyers</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_Toc48692038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13</w:t>
            </w:r>
            <w:r w:rsidRPr="00554E93">
              <w:rPr>
                <w:rFonts w:ascii="Times New Roman" w:eastAsia="Calibri" w:hAnsi="Times New Roman" w:cs="Times New Roman"/>
                <w:noProof/>
                <w:webHidden/>
                <w:sz w:val="24"/>
                <w:u w:val="single"/>
                <w:lang w:val="en-US"/>
              </w:rPr>
              <w:fldChar w:fldCharType="end"/>
            </w:r>
          </w:hyperlink>
        </w:p>
        <w:p w14:paraId="670B239C" w14:textId="77777777" w:rsidR="00554E93" w:rsidRPr="00554E93" w:rsidRDefault="00554E93" w:rsidP="00554E93">
          <w:pPr>
            <w:tabs>
              <w:tab w:val="right" w:leader="dot" w:pos="9350"/>
            </w:tabs>
            <w:spacing w:after="100" w:line="360" w:lineRule="auto"/>
            <w:ind w:left="240"/>
            <w:jc w:val="both"/>
            <w:rPr>
              <w:rFonts w:ascii="Calibri" w:eastAsia="Times New Roman" w:hAnsi="Calibri" w:cs="Times New Roman"/>
              <w:noProof/>
              <w:lang w:val="en-US"/>
            </w:rPr>
          </w:pPr>
          <w:hyperlink r:id="rId15" w:anchor="_Toc48692039" w:history="1">
            <w:r w:rsidRPr="00554E93">
              <w:rPr>
                <w:rFonts w:ascii="Times New Roman" w:eastAsia="Calibri" w:hAnsi="Times New Roman" w:cs="Times New Roman"/>
                <w:noProof/>
                <w:color w:val="0000FF"/>
                <w:sz w:val="24"/>
                <w:u w:val="single"/>
                <w:lang w:val="en-US"/>
              </w:rPr>
              <w:t>Bargaining Power of Suppliers</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_Toc48692039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13</w:t>
            </w:r>
            <w:r w:rsidRPr="00554E93">
              <w:rPr>
                <w:rFonts w:ascii="Times New Roman" w:eastAsia="Calibri" w:hAnsi="Times New Roman" w:cs="Times New Roman"/>
                <w:noProof/>
                <w:webHidden/>
                <w:sz w:val="24"/>
                <w:u w:val="single"/>
                <w:lang w:val="en-US"/>
              </w:rPr>
              <w:fldChar w:fldCharType="end"/>
            </w:r>
          </w:hyperlink>
        </w:p>
        <w:p w14:paraId="3161F316" w14:textId="77777777" w:rsidR="00554E93" w:rsidRPr="00554E93" w:rsidRDefault="00554E93" w:rsidP="00554E93">
          <w:pPr>
            <w:tabs>
              <w:tab w:val="right" w:leader="dot" w:pos="9350"/>
            </w:tabs>
            <w:spacing w:after="100" w:line="360" w:lineRule="auto"/>
            <w:ind w:left="240"/>
            <w:jc w:val="both"/>
            <w:rPr>
              <w:rFonts w:ascii="Calibri" w:eastAsia="Times New Roman" w:hAnsi="Calibri" w:cs="Times New Roman"/>
              <w:noProof/>
              <w:lang w:val="en-US"/>
            </w:rPr>
          </w:pPr>
          <w:hyperlink r:id="rId16" w:anchor="_Toc48692040" w:history="1">
            <w:r w:rsidRPr="00554E93">
              <w:rPr>
                <w:rFonts w:ascii="Times New Roman" w:eastAsia="Calibri" w:hAnsi="Times New Roman" w:cs="Times New Roman"/>
                <w:noProof/>
                <w:color w:val="0000FF"/>
                <w:sz w:val="24"/>
                <w:u w:val="single"/>
                <w:lang w:val="en-US"/>
              </w:rPr>
              <w:t>The threat of New Entrants</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_Toc48692040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13</w:t>
            </w:r>
            <w:r w:rsidRPr="00554E93">
              <w:rPr>
                <w:rFonts w:ascii="Times New Roman" w:eastAsia="Calibri" w:hAnsi="Times New Roman" w:cs="Times New Roman"/>
                <w:noProof/>
                <w:webHidden/>
                <w:sz w:val="24"/>
                <w:u w:val="single"/>
                <w:lang w:val="en-US"/>
              </w:rPr>
              <w:fldChar w:fldCharType="end"/>
            </w:r>
          </w:hyperlink>
        </w:p>
        <w:p w14:paraId="15B75D8C" w14:textId="77777777" w:rsidR="00554E93" w:rsidRPr="00554E93" w:rsidRDefault="00554E93" w:rsidP="00554E93">
          <w:pPr>
            <w:tabs>
              <w:tab w:val="right" w:leader="dot" w:pos="9350"/>
            </w:tabs>
            <w:spacing w:after="100" w:line="360" w:lineRule="auto"/>
            <w:ind w:left="240"/>
            <w:jc w:val="both"/>
            <w:rPr>
              <w:rFonts w:ascii="Calibri" w:eastAsia="Times New Roman" w:hAnsi="Calibri" w:cs="Times New Roman"/>
              <w:noProof/>
              <w:lang w:val="en-US"/>
            </w:rPr>
          </w:pPr>
          <w:hyperlink r:id="rId17" w:anchor="_Toc48692041" w:history="1">
            <w:r w:rsidRPr="00554E93">
              <w:rPr>
                <w:rFonts w:ascii="Times New Roman" w:eastAsia="Calibri" w:hAnsi="Times New Roman" w:cs="Times New Roman"/>
                <w:noProof/>
                <w:color w:val="0000FF"/>
                <w:sz w:val="24"/>
                <w:u w:val="single"/>
                <w:lang w:val="en-US"/>
              </w:rPr>
              <w:t>Threat of Substitute</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_Toc48692041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14</w:t>
            </w:r>
            <w:r w:rsidRPr="00554E93">
              <w:rPr>
                <w:rFonts w:ascii="Times New Roman" w:eastAsia="Calibri" w:hAnsi="Times New Roman" w:cs="Times New Roman"/>
                <w:noProof/>
                <w:webHidden/>
                <w:sz w:val="24"/>
                <w:u w:val="single"/>
                <w:lang w:val="en-US"/>
              </w:rPr>
              <w:fldChar w:fldCharType="end"/>
            </w:r>
          </w:hyperlink>
        </w:p>
        <w:p w14:paraId="368C936F" w14:textId="77777777" w:rsidR="00554E93" w:rsidRPr="00554E93" w:rsidRDefault="00554E93" w:rsidP="00554E93">
          <w:pPr>
            <w:tabs>
              <w:tab w:val="right" w:leader="dot" w:pos="9350"/>
            </w:tabs>
            <w:spacing w:after="100" w:line="360" w:lineRule="auto"/>
            <w:ind w:left="240"/>
            <w:jc w:val="both"/>
            <w:rPr>
              <w:rFonts w:ascii="Calibri" w:eastAsia="Times New Roman" w:hAnsi="Calibri" w:cs="Times New Roman"/>
              <w:noProof/>
              <w:lang w:val="en-US"/>
            </w:rPr>
          </w:pPr>
          <w:hyperlink r:id="rId18" w:anchor="_Toc48692042" w:history="1">
            <w:r w:rsidRPr="00554E93">
              <w:rPr>
                <w:rFonts w:ascii="Times New Roman" w:eastAsia="Calibri" w:hAnsi="Times New Roman" w:cs="Times New Roman"/>
                <w:noProof/>
                <w:color w:val="0000FF"/>
                <w:sz w:val="24"/>
                <w:u w:val="single"/>
                <w:lang w:val="en-US"/>
              </w:rPr>
              <w:t>Competitive Rivalry</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_Toc48692042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14</w:t>
            </w:r>
            <w:r w:rsidRPr="00554E93">
              <w:rPr>
                <w:rFonts w:ascii="Times New Roman" w:eastAsia="Calibri" w:hAnsi="Times New Roman" w:cs="Times New Roman"/>
                <w:noProof/>
                <w:webHidden/>
                <w:sz w:val="24"/>
                <w:u w:val="single"/>
                <w:lang w:val="en-US"/>
              </w:rPr>
              <w:fldChar w:fldCharType="end"/>
            </w:r>
          </w:hyperlink>
        </w:p>
        <w:p w14:paraId="4A00DF6B" w14:textId="77777777" w:rsidR="00554E93" w:rsidRPr="00554E93" w:rsidRDefault="00554E93" w:rsidP="00554E93">
          <w:pPr>
            <w:tabs>
              <w:tab w:val="right" w:leader="dot" w:pos="9350"/>
            </w:tabs>
            <w:spacing w:after="100" w:line="360" w:lineRule="auto"/>
            <w:jc w:val="both"/>
            <w:rPr>
              <w:rFonts w:ascii="Calibri" w:eastAsia="Times New Roman" w:hAnsi="Calibri" w:cs="Times New Roman"/>
              <w:noProof/>
              <w:lang w:val="en-US"/>
            </w:rPr>
          </w:pPr>
          <w:hyperlink r:id="rId19" w:anchor="_Toc48692043" w:history="1">
            <w:r w:rsidRPr="00554E93">
              <w:rPr>
                <w:rFonts w:ascii="Times New Roman" w:eastAsia="Calibri" w:hAnsi="Times New Roman" w:cs="Times New Roman"/>
                <w:noProof/>
                <w:color w:val="0000FF"/>
                <w:sz w:val="24"/>
                <w:u w:val="single"/>
                <w:lang w:val="en-US"/>
              </w:rPr>
              <w:t>Assessing Opportunities and Challenges of the Car Industry in the UK</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_Toc48692043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15</w:t>
            </w:r>
            <w:r w:rsidRPr="00554E93">
              <w:rPr>
                <w:rFonts w:ascii="Times New Roman" w:eastAsia="Calibri" w:hAnsi="Times New Roman" w:cs="Times New Roman"/>
                <w:noProof/>
                <w:webHidden/>
                <w:sz w:val="24"/>
                <w:u w:val="single"/>
                <w:lang w:val="en-US"/>
              </w:rPr>
              <w:fldChar w:fldCharType="end"/>
            </w:r>
          </w:hyperlink>
        </w:p>
        <w:p w14:paraId="1E87DA66" w14:textId="77777777" w:rsidR="00554E93" w:rsidRPr="00554E93" w:rsidRDefault="00554E93" w:rsidP="00554E93">
          <w:pPr>
            <w:tabs>
              <w:tab w:val="right" w:leader="dot" w:pos="9350"/>
            </w:tabs>
            <w:spacing w:after="100" w:line="360" w:lineRule="auto"/>
            <w:jc w:val="both"/>
            <w:rPr>
              <w:rFonts w:ascii="Calibri" w:eastAsia="Times New Roman" w:hAnsi="Calibri" w:cs="Times New Roman"/>
              <w:noProof/>
              <w:lang w:val="en-US"/>
            </w:rPr>
          </w:pPr>
          <w:hyperlink r:id="rId20" w:anchor="_Toc48692044" w:history="1">
            <w:r w:rsidRPr="00554E93">
              <w:rPr>
                <w:rFonts w:ascii="Times New Roman" w:eastAsia="Calibri" w:hAnsi="Times New Roman" w:cs="Times New Roman"/>
                <w:noProof/>
                <w:color w:val="0000FF"/>
                <w:sz w:val="24"/>
                <w:u w:val="single"/>
                <w:lang w:val="en-US"/>
              </w:rPr>
              <w:t>Conclusion</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_Toc48692044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16</w:t>
            </w:r>
            <w:r w:rsidRPr="00554E93">
              <w:rPr>
                <w:rFonts w:ascii="Times New Roman" w:eastAsia="Calibri" w:hAnsi="Times New Roman" w:cs="Times New Roman"/>
                <w:noProof/>
                <w:webHidden/>
                <w:sz w:val="24"/>
                <w:u w:val="single"/>
                <w:lang w:val="en-US"/>
              </w:rPr>
              <w:fldChar w:fldCharType="end"/>
            </w:r>
          </w:hyperlink>
        </w:p>
        <w:p w14:paraId="5CD23C51" w14:textId="77777777" w:rsidR="00554E93" w:rsidRPr="00554E93" w:rsidRDefault="00554E93" w:rsidP="00554E93">
          <w:pPr>
            <w:tabs>
              <w:tab w:val="right" w:leader="dot" w:pos="9350"/>
            </w:tabs>
            <w:spacing w:after="100" w:line="360" w:lineRule="auto"/>
            <w:jc w:val="both"/>
            <w:rPr>
              <w:rFonts w:ascii="Calibri" w:eastAsia="Times New Roman" w:hAnsi="Calibri" w:cs="Times New Roman"/>
              <w:noProof/>
              <w:lang w:val="en-US"/>
            </w:rPr>
          </w:pPr>
          <w:hyperlink r:id="rId21" w:anchor="_Toc48692045" w:history="1">
            <w:r w:rsidRPr="00554E93">
              <w:rPr>
                <w:rFonts w:ascii="Times New Roman" w:eastAsia="Calibri" w:hAnsi="Times New Roman" w:cs="Times New Roman"/>
                <w:noProof/>
                <w:color w:val="0000FF"/>
                <w:sz w:val="24"/>
                <w:u w:val="single"/>
                <w:lang w:val="en-US"/>
              </w:rPr>
              <w:t>References</w:t>
            </w:r>
            <w:r w:rsidRPr="00554E93">
              <w:rPr>
                <w:rFonts w:ascii="Times New Roman" w:eastAsia="Calibri" w:hAnsi="Times New Roman" w:cs="Times New Roman"/>
                <w:noProof/>
                <w:webHidden/>
                <w:sz w:val="24"/>
                <w:u w:val="single"/>
                <w:lang w:val="en-US"/>
              </w:rPr>
              <w:tab/>
            </w:r>
            <w:r w:rsidRPr="00554E93">
              <w:rPr>
                <w:rFonts w:ascii="Times New Roman" w:eastAsia="Calibri" w:hAnsi="Times New Roman" w:cs="Times New Roman"/>
                <w:noProof/>
                <w:webHidden/>
                <w:sz w:val="24"/>
                <w:u w:val="single"/>
                <w:lang w:val="en-US"/>
              </w:rPr>
              <w:fldChar w:fldCharType="begin"/>
            </w:r>
            <w:r w:rsidRPr="00554E93">
              <w:rPr>
                <w:rFonts w:ascii="Times New Roman" w:eastAsia="Calibri" w:hAnsi="Times New Roman" w:cs="Times New Roman"/>
                <w:noProof/>
                <w:webHidden/>
                <w:sz w:val="24"/>
                <w:u w:val="single"/>
                <w:lang w:val="en-US"/>
              </w:rPr>
              <w:instrText xml:space="preserve"> PAGEREF _Toc48692045 \h </w:instrText>
            </w:r>
            <w:r w:rsidRPr="00554E93">
              <w:rPr>
                <w:rFonts w:ascii="Times New Roman" w:eastAsia="Calibri" w:hAnsi="Times New Roman" w:cs="Times New Roman"/>
                <w:noProof/>
                <w:webHidden/>
                <w:sz w:val="24"/>
                <w:u w:val="single"/>
                <w:lang w:val="en-US"/>
              </w:rPr>
            </w:r>
            <w:r w:rsidRPr="00554E93">
              <w:rPr>
                <w:rFonts w:ascii="Times New Roman" w:eastAsia="Calibri" w:hAnsi="Times New Roman" w:cs="Times New Roman"/>
                <w:noProof/>
                <w:webHidden/>
                <w:sz w:val="24"/>
                <w:u w:val="single"/>
                <w:lang w:val="en-US"/>
              </w:rPr>
              <w:fldChar w:fldCharType="separate"/>
            </w:r>
            <w:r w:rsidRPr="00554E93">
              <w:rPr>
                <w:rFonts w:ascii="Times New Roman" w:eastAsia="Calibri" w:hAnsi="Times New Roman" w:cs="Times New Roman"/>
                <w:noProof/>
                <w:webHidden/>
                <w:sz w:val="24"/>
                <w:u w:val="single"/>
                <w:lang w:val="en-US"/>
              </w:rPr>
              <w:t>17</w:t>
            </w:r>
            <w:r w:rsidRPr="00554E93">
              <w:rPr>
                <w:rFonts w:ascii="Times New Roman" w:eastAsia="Calibri" w:hAnsi="Times New Roman" w:cs="Times New Roman"/>
                <w:noProof/>
                <w:webHidden/>
                <w:sz w:val="24"/>
                <w:u w:val="single"/>
                <w:lang w:val="en-US"/>
              </w:rPr>
              <w:fldChar w:fldCharType="end"/>
            </w:r>
          </w:hyperlink>
        </w:p>
        <w:p w14:paraId="0860D149"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b/>
              <w:bCs/>
              <w:noProof/>
              <w:sz w:val="24"/>
              <w:lang w:val="en-US"/>
            </w:rPr>
            <w:fldChar w:fldCharType="end"/>
          </w:r>
        </w:p>
      </w:sdtContent>
    </w:sdt>
    <w:p w14:paraId="0549998A" w14:textId="77777777" w:rsidR="00554E93" w:rsidRPr="00554E93" w:rsidRDefault="00554E93" w:rsidP="00554E93">
      <w:pPr>
        <w:spacing w:after="200" w:line="360" w:lineRule="auto"/>
        <w:jc w:val="both"/>
        <w:rPr>
          <w:rFonts w:ascii="Times New Roman" w:eastAsia="Calibri" w:hAnsi="Times New Roman" w:cs="Times New Roman"/>
          <w:sz w:val="44"/>
          <w:lang w:val="en-US"/>
        </w:rPr>
      </w:pPr>
    </w:p>
    <w:p w14:paraId="73940990" w14:textId="77777777" w:rsidR="00554E93" w:rsidRPr="00554E93" w:rsidRDefault="00554E93" w:rsidP="00554E93">
      <w:pPr>
        <w:spacing w:after="200" w:line="360" w:lineRule="auto"/>
        <w:jc w:val="both"/>
        <w:rPr>
          <w:rFonts w:ascii="Times New Roman" w:eastAsia="Calibri" w:hAnsi="Times New Roman" w:cs="Times New Roman"/>
          <w:sz w:val="44"/>
          <w:lang w:val="en-US"/>
        </w:rPr>
      </w:pPr>
    </w:p>
    <w:p w14:paraId="113FCFA1" w14:textId="77777777" w:rsidR="00554E93" w:rsidRPr="00554E93" w:rsidRDefault="00554E93" w:rsidP="00554E93">
      <w:pPr>
        <w:spacing w:after="200" w:line="276" w:lineRule="auto"/>
        <w:rPr>
          <w:rFonts w:ascii="Times New Roman" w:eastAsia="Calibri" w:hAnsi="Times New Roman" w:cs="Times New Roman"/>
          <w:sz w:val="44"/>
          <w:lang w:val="en-US"/>
        </w:rPr>
      </w:pPr>
      <w:r w:rsidRPr="00554E93">
        <w:rPr>
          <w:rFonts w:ascii="Times New Roman" w:eastAsia="Calibri" w:hAnsi="Times New Roman" w:cs="Times New Roman"/>
          <w:sz w:val="44"/>
          <w:lang w:val="en-US"/>
        </w:rPr>
        <w:br w:type="page"/>
      </w:r>
    </w:p>
    <w:p w14:paraId="580CFFC5" w14:textId="77777777" w:rsidR="00554E93" w:rsidRPr="00554E93" w:rsidRDefault="00554E93" w:rsidP="00554E93">
      <w:pPr>
        <w:keepNext/>
        <w:keepLines/>
        <w:spacing w:before="240" w:after="0" w:line="360" w:lineRule="auto"/>
        <w:jc w:val="both"/>
        <w:outlineLvl w:val="0"/>
        <w:rPr>
          <w:rFonts w:ascii="Times New Roman" w:eastAsia="Times New Roman" w:hAnsi="Times New Roman" w:cs="Times New Roman"/>
          <w:b/>
          <w:color w:val="0070C0"/>
          <w:sz w:val="32"/>
          <w:szCs w:val="32"/>
          <w:lang w:val="en-US"/>
        </w:rPr>
      </w:pPr>
      <w:bookmarkStart w:id="0" w:name="_Toc48692028"/>
      <w:r w:rsidRPr="00554E93">
        <w:rPr>
          <w:rFonts w:ascii="Times New Roman" w:eastAsia="Times New Roman" w:hAnsi="Times New Roman" w:cs="Times New Roman"/>
          <w:b/>
          <w:color w:val="0070C0"/>
          <w:sz w:val="32"/>
          <w:szCs w:val="32"/>
          <w:lang w:val="en-US"/>
        </w:rPr>
        <w:lastRenderedPageBreak/>
        <w:t>Introduction</w:t>
      </w:r>
      <w:bookmarkEnd w:id="0"/>
      <w:r w:rsidRPr="00554E93">
        <w:rPr>
          <w:rFonts w:ascii="Times New Roman" w:eastAsia="Times New Roman" w:hAnsi="Times New Roman" w:cs="Times New Roman"/>
          <w:b/>
          <w:color w:val="0070C0"/>
          <w:sz w:val="32"/>
          <w:szCs w:val="32"/>
          <w:lang w:val="en-US"/>
        </w:rPr>
        <w:t xml:space="preserve"> </w:t>
      </w:r>
    </w:p>
    <w:p w14:paraId="05BD0FD2"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 business environment of an industry is the surrounding where internal and external forces actively influence the business operation, profitability, and sustainability of the business (Tayeb, 2015). Analysis of the internal business environment increases the efficiency of the business while the external environment assessment energies the effectiveness within a </w:t>
      </w:r>
      <w:proofErr w:type="gramStart"/>
      <w:r w:rsidRPr="00554E93">
        <w:rPr>
          <w:rFonts w:ascii="Times New Roman" w:eastAsia="Calibri" w:hAnsi="Times New Roman" w:cs="Times New Roman"/>
          <w:sz w:val="24"/>
          <w:lang w:val="en-US"/>
        </w:rPr>
        <w:t>particular region</w:t>
      </w:r>
      <w:proofErr w:type="gramEnd"/>
      <w:r w:rsidRPr="00554E93">
        <w:rPr>
          <w:rFonts w:ascii="Times New Roman" w:eastAsia="Calibri" w:hAnsi="Times New Roman" w:cs="Times New Roman"/>
          <w:sz w:val="24"/>
          <w:lang w:val="en-US"/>
        </w:rPr>
        <w:t>. The report portrays the business environment of the car industry in the United Kingdom which is one of the largest sectors contributing to the GDP as an economic pillar of the nation. The first phase of the report reveals the external environmental analysis of car industry using PESTEL framework which evidences that the UK has a mild political risk, good economic opportunities for can manufacturers due to lower interest rate, favorable socio-cultural, technological and legal base for car manufacturers, however a strict environmental practices overseas. The second phase demonstrates the competitive positioning of the industry using Porter's five forces model which indicates the industry fragmentation with aggressive competitiveness. The final portion of the report evaluates the opportunities and threats of this industry using SWOT analysis which effectively evidences the potential of the industry while it may face situational threats for pandemic as well as many other economic downturns.</w:t>
      </w:r>
    </w:p>
    <w:p w14:paraId="4114AA4E" w14:textId="77777777" w:rsidR="00554E93" w:rsidRPr="00554E93" w:rsidRDefault="00554E93" w:rsidP="00554E93">
      <w:pPr>
        <w:spacing w:after="200" w:line="276" w:lineRule="auto"/>
        <w:rPr>
          <w:rFonts w:ascii="Times New Roman" w:eastAsia="Calibri" w:hAnsi="Times New Roman" w:cs="Times New Roman"/>
          <w:sz w:val="24"/>
          <w:lang w:val="en-US"/>
        </w:rPr>
      </w:pPr>
      <w:r w:rsidRPr="00554E93">
        <w:rPr>
          <w:rFonts w:ascii="Times New Roman" w:eastAsia="Calibri" w:hAnsi="Times New Roman" w:cs="Times New Roman"/>
          <w:sz w:val="24"/>
          <w:lang w:val="en-US"/>
        </w:rPr>
        <w:br w:type="page"/>
      </w:r>
    </w:p>
    <w:p w14:paraId="50D642F5" w14:textId="77777777" w:rsidR="00554E93" w:rsidRPr="00554E93" w:rsidRDefault="00554E93" w:rsidP="00554E93">
      <w:pPr>
        <w:keepNext/>
        <w:keepLines/>
        <w:spacing w:before="240" w:after="0" w:line="360" w:lineRule="auto"/>
        <w:jc w:val="both"/>
        <w:outlineLvl w:val="0"/>
        <w:rPr>
          <w:rFonts w:ascii="Times New Roman" w:eastAsia="Times New Roman" w:hAnsi="Times New Roman" w:cs="Times New Roman"/>
          <w:b/>
          <w:color w:val="0070C0"/>
          <w:sz w:val="32"/>
          <w:szCs w:val="32"/>
          <w:lang w:val="en-US"/>
        </w:rPr>
      </w:pPr>
      <w:bookmarkStart w:id="1" w:name="_Toc48692029"/>
      <w:r w:rsidRPr="00554E93">
        <w:rPr>
          <w:rFonts w:ascii="Times New Roman" w:eastAsia="Times New Roman" w:hAnsi="Times New Roman" w:cs="Times New Roman"/>
          <w:b/>
          <w:color w:val="0070C0"/>
          <w:sz w:val="32"/>
          <w:szCs w:val="32"/>
          <w:lang w:val="en-US"/>
        </w:rPr>
        <w:lastRenderedPageBreak/>
        <w:t>Business Environment of the Car Industry in the UK</w:t>
      </w:r>
      <w:bookmarkEnd w:id="1"/>
    </w:p>
    <w:p w14:paraId="46D39BED"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 business environment is the surroundings and systems related to the business that directly or indirectly affect the business operation, revenue generation, and profitability (Mohamed, 2015). This is the crucial part to be understood by the </w:t>
      </w:r>
      <w:proofErr w:type="gramStart"/>
      <w:r w:rsidRPr="00554E93">
        <w:rPr>
          <w:rFonts w:ascii="Times New Roman" w:eastAsia="Calibri" w:hAnsi="Times New Roman" w:cs="Times New Roman"/>
          <w:sz w:val="24"/>
          <w:lang w:val="en-US"/>
        </w:rPr>
        <w:t>business persons</w:t>
      </w:r>
      <w:proofErr w:type="gramEnd"/>
      <w:r w:rsidRPr="00554E93">
        <w:rPr>
          <w:rFonts w:ascii="Times New Roman" w:eastAsia="Calibri" w:hAnsi="Times New Roman" w:cs="Times New Roman"/>
          <w:sz w:val="24"/>
          <w:lang w:val="en-US"/>
        </w:rPr>
        <w:t xml:space="preserve"> who want to make a sustainable business within a particular industry. Moreover, industry analysis is the basic task for entrepreneurs to design strategic mission and objectives. The business environment of the car industry includes three levels of environmental factors that are compulsory to consider </w:t>
      </w:r>
      <w:proofErr w:type="gramStart"/>
      <w:r w:rsidRPr="00554E93">
        <w:rPr>
          <w:rFonts w:ascii="Times New Roman" w:eastAsia="Calibri" w:hAnsi="Times New Roman" w:cs="Times New Roman"/>
          <w:sz w:val="24"/>
          <w:lang w:val="en-US"/>
        </w:rPr>
        <w:t>to flourish</w:t>
      </w:r>
      <w:proofErr w:type="gramEnd"/>
      <w:r w:rsidRPr="00554E93">
        <w:rPr>
          <w:rFonts w:ascii="Times New Roman" w:eastAsia="Calibri" w:hAnsi="Times New Roman" w:cs="Times New Roman"/>
          <w:sz w:val="24"/>
          <w:lang w:val="en-US"/>
        </w:rPr>
        <w:t xml:space="preserve"> in the automotive sector.</w:t>
      </w:r>
    </w:p>
    <w:p w14:paraId="3F11B4A8"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noProof/>
          <w:sz w:val="24"/>
          <w:lang w:val="en-US"/>
        </w:rPr>
        <w:drawing>
          <wp:inline distT="0" distB="0" distL="0" distR="0" wp14:anchorId="4298EB7B" wp14:editId="7F8EA2B9">
            <wp:extent cx="3139440" cy="3025140"/>
            <wp:effectExtent l="0" t="0" r="3810" b="381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39440" cy="3025140"/>
                    </a:xfrm>
                    <a:prstGeom prst="rect">
                      <a:avLst/>
                    </a:prstGeom>
                    <a:noFill/>
                    <a:ln>
                      <a:noFill/>
                    </a:ln>
                  </pic:spPr>
                </pic:pic>
              </a:graphicData>
            </a:graphic>
          </wp:inline>
        </w:drawing>
      </w:r>
    </w:p>
    <w:p w14:paraId="254C578A"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sz w:val="24"/>
          <w:lang w:val="en-US"/>
        </w:rPr>
        <w:t>Figure 1: Three levels of the environment of the car industry in the UK (Mohamed, 2015)</w:t>
      </w:r>
    </w:p>
    <w:p w14:paraId="7CC7200C"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 car industry belongs to the automotive sector which is one of the prime sectors of the UK for contributing to the national income since it has generated an £82 billion turnover in 2019. More than 60 specialist car manufacturers are present in this industry who are specialized in this sector (SMMT | Supporting &amp; promoting the UK automotive industry, 2020). 2500 suppliers are continuously contributing to this sector with automotive parts and necessary equipment for cars. 168,000 employees are directly deployed in this sector who relentlessly working in different roles of the respective companies. In 2019, the United Kingdom has been able to manufacture more than 1.3 million cars while a large portion of these cars is exported to 160 countries in the world for persistent demand. </w:t>
      </w:r>
    </w:p>
    <w:p w14:paraId="7E25612B" w14:textId="77777777" w:rsidR="00554E93" w:rsidRPr="00554E93" w:rsidRDefault="00554E93" w:rsidP="00554E93">
      <w:pPr>
        <w:spacing w:after="200" w:line="360" w:lineRule="auto"/>
        <w:jc w:val="both"/>
        <w:rPr>
          <w:rFonts w:ascii="Times New Roman" w:eastAsia="Calibri" w:hAnsi="Times New Roman" w:cs="Times New Roman"/>
          <w:sz w:val="24"/>
          <w:lang w:val="en-US"/>
        </w:rPr>
      </w:pPr>
    </w:p>
    <w:p w14:paraId="7B0DB5B7"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noProof/>
          <w:sz w:val="24"/>
          <w:lang w:val="en-US"/>
        </w:rPr>
        <w:lastRenderedPageBreak/>
        <w:drawing>
          <wp:inline distT="0" distB="0" distL="0" distR="0" wp14:anchorId="1E0599A1" wp14:editId="57E38A3B">
            <wp:extent cx="5890260" cy="5349240"/>
            <wp:effectExtent l="0" t="0" r="0" b="381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90260" cy="5349240"/>
                    </a:xfrm>
                    <a:prstGeom prst="rect">
                      <a:avLst/>
                    </a:prstGeom>
                    <a:noFill/>
                    <a:ln>
                      <a:noFill/>
                    </a:ln>
                  </pic:spPr>
                </pic:pic>
              </a:graphicData>
            </a:graphic>
          </wp:inline>
        </w:drawing>
      </w:r>
    </w:p>
    <w:p w14:paraId="58011A80"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sz w:val="24"/>
          <w:lang w:val="en-US"/>
        </w:rPr>
        <w:t>Figure 2: Summarized statistics of the automotive industry in the UK (SMMT | Supporting &amp; promoting the UK automotive industry, 2020)</w:t>
      </w:r>
    </w:p>
    <w:p w14:paraId="3D62856E" w14:textId="77777777" w:rsidR="00554E93" w:rsidRPr="00554E93" w:rsidRDefault="00554E93" w:rsidP="00554E93">
      <w:pPr>
        <w:keepNext/>
        <w:keepLines/>
        <w:spacing w:before="240" w:after="0" w:line="360" w:lineRule="auto"/>
        <w:jc w:val="both"/>
        <w:outlineLvl w:val="0"/>
        <w:rPr>
          <w:rFonts w:ascii="Times New Roman" w:eastAsia="Times New Roman" w:hAnsi="Times New Roman" w:cs="Times New Roman"/>
          <w:b/>
          <w:color w:val="0070C0"/>
          <w:sz w:val="32"/>
          <w:szCs w:val="32"/>
          <w:lang w:val="en-US"/>
        </w:rPr>
      </w:pPr>
      <w:bookmarkStart w:id="2" w:name="_Toc48692030"/>
      <w:r w:rsidRPr="00554E93">
        <w:rPr>
          <w:rFonts w:ascii="Times New Roman" w:eastAsia="Times New Roman" w:hAnsi="Times New Roman" w:cs="Times New Roman"/>
          <w:b/>
          <w:color w:val="0070C0"/>
          <w:sz w:val="32"/>
          <w:szCs w:val="32"/>
          <w:lang w:val="en-US"/>
        </w:rPr>
        <w:t>Analyzing the Macro Environment of Car Industry Using PESTEL Framework</w:t>
      </w:r>
      <w:bookmarkEnd w:id="2"/>
    </w:p>
    <w:p w14:paraId="07A59A24"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PESTEL analysis is one of the basic techniques to understand the external environment of a business as well as its respective industry. The British car industry is affected by its external environment whose components are political, economic, socio-cultural, technological, environmental, and legal factors. In this section, the overall condition of these factors is discussed in a nutshell. </w:t>
      </w:r>
    </w:p>
    <w:p w14:paraId="77170DFF" w14:textId="77777777" w:rsidR="00554E93" w:rsidRPr="00554E93" w:rsidRDefault="00554E93" w:rsidP="00554E93">
      <w:pPr>
        <w:keepNext/>
        <w:keepLines/>
        <w:spacing w:before="40" w:after="0" w:line="360" w:lineRule="auto"/>
        <w:jc w:val="both"/>
        <w:outlineLvl w:val="1"/>
        <w:rPr>
          <w:rFonts w:ascii="Times New Roman" w:eastAsia="Times New Roman" w:hAnsi="Times New Roman" w:cs="Times New Roman"/>
          <w:b/>
          <w:sz w:val="28"/>
          <w:szCs w:val="26"/>
          <w:lang w:val="en-US"/>
        </w:rPr>
      </w:pPr>
      <w:bookmarkStart w:id="3" w:name="_Toc48692031"/>
      <w:r w:rsidRPr="00554E93">
        <w:rPr>
          <w:rFonts w:ascii="Times New Roman" w:eastAsia="Times New Roman" w:hAnsi="Times New Roman" w:cs="Times New Roman"/>
          <w:b/>
          <w:sz w:val="28"/>
          <w:szCs w:val="26"/>
          <w:lang w:val="en-US"/>
        </w:rPr>
        <w:lastRenderedPageBreak/>
        <w:t>Political Factors</w:t>
      </w:r>
      <w:bookmarkEnd w:id="3"/>
    </w:p>
    <w:p w14:paraId="4A80F54F"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 political environment of the United Kingdom is has gone to a slight downturn since the Brexit issue has made the whole system vulnerable for a certain period. While the Brexit took place in the region, political instability prevailed, however gradually the change responded to the good situation. The country exercises a democratic political system under a constitutional monarchy which has made the region’s politics an equitable ground. Such a condition is a good sign for the car industry in the UK. There are several political risks associated with this environment which is essential to take into consideration for car businesses. </w:t>
      </w:r>
    </w:p>
    <w:p w14:paraId="504FB356" w14:textId="77777777" w:rsidR="00554E93" w:rsidRPr="00554E93" w:rsidRDefault="00554E93" w:rsidP="00554E93">
      <w:pPr>
        <w:spacing w:after="200" w:line="360" w:lineRule="auto"/>
        <w:jc w:val="both"/>
        <w:rPr>
          <w:rFonts w:ascii="Times New Roman" w:eastAsia="Calibri" w:hAnsi="Times New Roman" w:cs="Times New Roman"/>
          <w:b/>
          <w:sz w:val="24"/>
          <w:lang w:val="en-US"/>
        </w:rPr>
      </w:pPr>
      <w:r w:rsidRPr="00554E93">
        <w:rPr>
          <w:rFonts w:ascii="Times New Roman" w:eastAsia="Calibri" w:hAnsi="Times New Roman" w:cs="Times New Roman"/>
          <w:b/>
          <w:sz w:val="24"/>
          <w:lang w:val="en-US"/>
        </w:rPr>
        <w:t>Political Risks in the Car Industry of the UK</w:t>
      </w:r>
    </w:p>
    <w:p w14:paraId="1C9FC9B4"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 political risks are measured by undertaking several components such as corruption, trust in the institution, ethnic fragmentation, the status of minorities, inequality of income, and level of social provision. Observing these factors, the global ranking of political risk of the UK figures out 1 index point on a degree from 1 (low risk) to 7 (high risk). </w:t>
      </w:r>
    </w:p>
    <w:p w14:paraId="3909C19A"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noProof/>
          <w:sz w:val="24"/>
          <w:lang w:val="en-US"/>
        </w:rPr>
        <w:drawing>
          <wp:inline distT="0" distB="0" distL="0" distR="0" wp14:anchorId="4F3AE3FB" wp14:editId="2148F944">
            <wp:extent cx="5798820" cy="3299460"/>
            <wp:effectExtent l="0" t="0" r="0"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8820" cy="3299460"/>
                    </a:xfrm>
                    <a:prstGeom prst="rect">
                      <a:avLst/>
                    </a:prstGeom>
                    <a:noFill/>
                    <a:ln>
                      <a:noFill/>
                    </a:ln>
                  </pic:spPr>
                </pic:pic>
              </a:graphicData>
            </a:graphic>
          </wp:inline>
        </w:drawing>
      </w:r>
    </w:p>
    <w:p w14:paraId="46550829"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Figure 3: Political risk point of the </w:t>
      </w:r>
      <w:proofErr w:type="gramStart"/>
      <w:r w:rsidRPr="00554E93">
        <w:rPr>
          <w:rFonts w:ascii="Times New Roman" w:eastAsia="Calibri" w:hAnsi="Times New Roman" w:cs="Times New Roman"/>
          <w:sz w:val="24"/>
          <w:lang w:val="en-US"/>
        </w:rPr>
        <w:t>united kingdom</w:t>
      </w:r>
      <w:proofErr w:type="gramEnd"/>
      <w:r w:rsidRPr="00554E93">
        <w:rPr>
          <w:rFonts w:ascii="Times New Roman" w:eastAsia="Calibri" w:hAnsi="Times New Roman" w:cs="Times New Roman"/>
          <w:sz w:val="24"/>
          <w:lang w:val="en-US"/>
        </w:rPr>
        <w:t xml:space="preserve"> from 2014-2019 (United Kingdom Political risk, medium/long-term - data, chart | TheGlobalEconomy.com, 2020)</w:t>
      </w:r>
    </w:p>
    <w:p w14:paraId="4726F738"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Despite a low-risk index of the political risks, due to the Brexit issue, in 2018, the UK car industry has faced a 6.8% drop in the new car registration (Why the U.K. Auto Industry Is Stalling Over Brexit Risks - </w:t>
      </w:r>
      <w:proofErr w:type="spellStart"/>
      <w:r w:rsidRPr="00554E93">
        <w:rPr>
          <w:rFonts w:ascii="Times New Roman" w:eastAsia="Calibri" w:hAnsi="Times New Roman" w:cs="Times New Roman"/>
          <w:sz w:val="24"/>
          <w:lang w:val="en-US"/>
        </w:rPr>
        <w:t>Knowledge@Wharton</w:t>
      </w:r>
      <w:proofErr w:type="spellEnd"/>
      <w:r w:rsidRPr="00554E93">
        <w:rPr>
          <w:rFonts w:ascii="Times New Roman" w:eastAsia="Calibri" w:hAnsi="Times New Roman" w:cs="Times New Roman"/>
          <w:sz w:val="24"/>
          <w:lang w:val="en-US"/>
        </w:rPr>
        <w:t xml:space="preserve">, 2020). Export of the automotive products </w:t>
      </w:r>
      <w:r w:rsidRPr="00554E93">
        <w:rPr>
          <w:rFonts w:ascii="Times New Roman" w:eastAsia="Calibri" w:hAnsi="Times New Roman" w:cs="Times New Roman"/>
          <w:sz w:val="24"/>
          <w:lang w:val="en-US"/>
        </w:rPr>
        <w:lastRenderedPageBreak/>
        <w:t xml:space="preserve">has also declined to 15% to Europe while investment in this industry has dropped to 80% in the last two years. But this uncertainty has brought a massive shift in this sector which has made a broader change. The market of a diesel car is shifted to the electric cars in </w:t>
      </w:r>
      <w:proofErr w:type="gramStart"/>
      <w:r w:rsidRPr="00554E93">
        <w:rPr>
          <w:rFonts w:ascii="Times New Roman" w:eastAsia="Calibri" w:hAnsi="Times New Roman" w:cs="Times New Roman"/>
          <w:sz w:val="24"/>
          <w:lang w:val="en-US"/>
        </w:rPr>
        <w:t>Europe</w:t>
      </w:r>
      <w:proofErr w:type="gramEnd"/>
      <w:r w:rsidRPr="00554E93">
        <w:rPr>
          <w:rFonts w:ascii="Times New Roman" w:eastAsia="Calibri" w:hAnsi="Times New Roman" w:cs="Times New Roman"/>
          <w:sz w:val="24"/>
          <w:lang w:val="en-US"/>
        </w:rPr>
        <w:t xml:space="preserve"> but the consumers are slowly responding to this new trend. At the same time, UK consumers are not habituated with electric cars which have made a good sign for a car manufacturer in the UK. The manufacturers are moving towards electric cars rather than importing from Europe. </w:t>
      </w:r>
      <w:proofErr w:type="gramStart"/>
      <w:r w:rsidRPr="00554E93">
        <w:rPr>
          <w:rFonts w:ascii="Times New Roman" w:eastAsia="Calibri" w:hAnsi="Times New Roman" w:cs="Times New Roman"/>
          <w:sz w:val="24"/>
          <w:lang w:val="en-US"/>
        </w:rPr>
        <w:t>Thus</w:t>
      </w:r>
      <w:proofErr w:type="gramEnd"/>
      <w:r w:rsidRPr="00554E93">
        <w:rPr>
          <w:rFonts w:ascii="Times New Roman" w:eastAsia="Calibri" w:hAnsi="Times New Roman" w:cs="Times New Roman"/>
          <w:sz w:val="24"/>
          <w:lang w:val="en-US"/>
        </w:rPr>
        <w:t xml:space="preserve"> the political condition has made a slight opportunity for the domestic manufacturer to utilize innovation to produce the </w:t>
      </w:r>
      <w:proofErr w:type="spellStart"/>
      <w:r w:rsidRPr="00554E93">
        <w:rPr>
          <w:rFonts w:ascii="Times New Roman" w:eastAsia="Calibri" w:hAnsi="Times New Roman" w:cs="Times New Roman"/>
          <w:sz w:val="24"/>
          <w:lang w:val="en-US"/>
        </w:rPr>
        <w:t>eco friendly</w:t>
      </w:r>
      <w:proofErr w:type="spellEnd"/>
      <w:r w:rsidRPr="00554E93">
        <w:rPr>
          <w:rFonts w:ascii="Times New Roman" w:eastAsia="Calibri" w:hAnsi="Times New Roman" w:cs="Times New Roman"/>
          <w:sz w:val="24"/>
          <w:lang w:val="en-US"/>
        </w:rPr>
        <w:t xml:space="preserve"> car. It is also important to mention that, China is one of the largest markets for electric cars which can be a good opportunity for the UK car industry to grab.</w:t>
      </w:r>
    </w:p>
    <w:p w14:paraId="3CE6EF84" w14:textId="77777777" w:rsidR="00554E93" w:rsidRPr="00554E93" w:rsidRDefault="00554E93" w:rsidP="00554E93">
      <w:pPr>
        <w:keepNext/>
        <w:keepLines/>
        <w:spacing w:before="40" w:after="0" w:line="360" w:lineRule="auto"/>
        <w:jc w:val="both"/>
        <w:outlineLvl w:val="1"/>
        <w:rPr>
          <w:rFonts w:ascii="Times New Roman" w:eastAsia="Times New Roman" w:hAnsi="Times New Roman" w:cs="Times New Roman"/>
          <w:b/>
          <w:sz w:val="28"/>
          <w:szCs w:val="26"/>
          <w:lang w:val="en-US"/>
        </w:rPr>
      </w:pPr>
      <w:bookmarkStart w:id="4" w:name="_Toc48692032"/>
      <w:r w:rsidRPr="00554E93">
        <w:rPr>
          <w:rFonts w:ascii="Times New Roman" w:eastAsia="Times New Roman" w:hAnsi="Times New Roman" w:cs="Times New Roman"/>
          <w:b/>
          <w:sz w:val="28"/>
          <w:szCs w:val="26"/>
          <w:lang w:val="en-US"/>
        </w:rPr>
        <w:t>Economic Factors</w:t>
      </w:r>
      <w:bookmarkEnd w:id="4"/>
    </w:p>
    <w:p w14:paraId="027F826F"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 economic environment of a country is necessary for a smooth business operation because it the factor that ensures resource availability, usability, and distribution to the people. The interest rate of the United Kingdom historically shifted to a favorable position for borrowers rather than savers since the interest rate is only .25% in 2020 and it was almost stable at this point for the past 10 years. </w:t>
      </w:r>
    </w:p>
    <w:p w14:paraId="70BB89E1" w14:textId="77777777" w:rsidR="00554E93" w:rsidRPr="00554E93" w:rsidRDefault="00554E93" w:rsidP="00554E93">
      <w:pPr>
        <w:spacing w:after="200" w:line="276" w:lineRule="auto"/>
        <w:rPr>
          <w:rFonts w:ascii="Times New Roman" w:eastAsia="Calibri" w:hAnsi="Times New Roman" w:cs="Times New Roman"/>
          <w:sz w:val="24"/>
          <w:lang w:val="en-US"/>
        </w:rPr>
      </w:pPr>
      <w:r w:rsidRPr="00554E93">
        <w:rPr>
          <w:rFonts w:ascii="Times New Roman" w:eastAsia="Calibri" w:hAnsi="Times New Roman" w:cs="Times New Roman"/>
          <w:noProof/>
          <w:sz w:val="24"/>
          <w:lang w:val="en-US"/>
        </w:rPr>
        <w:drawing>
          <wp:inline distT="0" distB="0" distL="0" distR="0" wp14:anchorId="078F5A75" wp14:editId="218DE930">
            <wp:extent cx="6156960" cy="3268980"/>
            <wp:effectExtent l="0" t="0" r="0" b="7620"/>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56960" cy="3268980"/>
                    </a:xfrm>
                    <a:prstGeom prst="rect">
                      <a:avLst/>
                    </a:prstGeom>
                    <a:noFill/>
                    <a:ln>
                      <a:noFill/>
                    </a:ln>
                  </pic:spPr>
                </pic:pic>
              </a:graphicData>
            </a:graphic>
          </wp:inline>
        </w:drawing>
      </w:r>
    </w:p>
    <w:p w14:paraId="65A5675D" w14:textId="77777777" w:rsidR="00554E93" w:rsidRPr="00554E93" w:rsidRDefault="00554E93" w:rsidP="00554E93">
      <w:pPr>
        <w:spacing w:after="200" w:line="276" w:lineRule="auto"/>
        <w:jc w:val="center"/>
        <w:rPr>
          <w:rFonts w:ascii="Times New Roman" w:eastAsia="Calibri" w:hAnsi="Times New Roman" w:cs="Times New Roman"/>
          <w:sz w:val="24"/>
          <w:lang w:val="en-US"/>
        </w:rPr>
      </w:pPr>
      <w:r w:rsidRPr="00554E93">
        <w:rPr>
          <w:rFonts w:ascii="Times New Roman" w:eastAsia="Calibri" w:hAnsi="Times New Roman" w:cs="Times New Roman"/>
          <w:sz w:val="24"/>
          <w:lang w:val="en-US"/>
        </w:rPr>
        <w:t>Figure 4: the trend of interest rate in the UK for the last 45 years (UK Interest Rate History / Graph, 2020)</w:t>
      </w:r>
    </w:p>
    <w:p w14:paraId="157B3779"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lastRenderedPageBreak/>
        <w:t xml:space="preserve">Favorably, the car companies of the United Kingdom </w:t>
      </w:r>
      <w:proofErr w:type="gramStart"/>
      <w:r w:rsidRPr="00554E93">
        <w:rPr>
          <w:rFonts w:ascii="Times New Roman" w:eastAsia="Calibri" w:hAnsi="Times New Roman" w:cs="Times New Roman"/>
          <w:sz w:val="24"/>
          <w:lang w:val="en-US"/>
        </w:rPr>
        <w:t>gets</w:t>
      </w:r>
      <w:proofErr w:type="gramEnd"/>
      <w:r w:rsidRPr="00554E93">
        <w:rPr>
          <w:rFonts w:ascii="Times New Roman" w:eastAsia="Calibri" w:hAnsi="Times New Roman" w:cs="Times New Roman"/>
          <w:sz w:val="24"/>
          <w:lang w:val="en-US"/>
        </w:rPr>
        <w:t xml:space="preserve"> the benefit of business borrowing due to a little payment against their business loan. It has flourished the business of the car industry for the last 15 years since the companies need to introduce a huge capital expenditure in these kinds of businesses which is almost difficult to manage solely (UK Interest Rate History / Graph, 2020). </w:t>
      </w:r>
    </w:p>
    <w:p w14:paraId="330BEAE2"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noProof/>
          <w:sz w:val="24"/>
          <w:lang w:val="en-US"/>
        </w:rPr>
        <w:drawing>
          <wp:inline distT="0" distB="0" distL="0" distR="0" wp14:anchorId="5C379022" wp14:editId="5AA13CF2">
            <wp:extent cx="5227320" cy="2971800"/>
            <wp:effectExtent l="0" t="0" r="0" b="0"/>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27320" cy="2971800"/>
                    </a:xfrm>
                    <a:prstGeom prst="rect">
                      <a:avLst/>
                    </a:prstGeom>
                    <a:noFill/>
                    <a:ln>
                      <a:noFill/>
                    </a:ln>
                  </pic:spPr>
                </pic:pic>
              </a:graphicData>
            </a:graphic>
          </wp:inline>
        </w:drawing>
      </w:r>
    </w:p>
    <w:p w14:paraId="6B3EB657"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Figure 5: National income (GDP) trend in the UK (GDP growth (annual %) - United Kingdom | Data, 2020) </w:t>
      </w:r>
    </w:p>
    <w:p w14:paraId="5FE62A6E"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 national income of the UK is quite satisfactory for the car business. The income has faced a downturn in 2018 due to the Brexit circumstance, however, the economy has turned back to its income generation at 1.41%. This explains the aggregation of four factors of the economy that are consumption, investment, government spending, and net export. </w:t>
      </w:r>
    </w:p>
    <w:p w14:paraId="1BF69D7F"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 aggregate demand of the economy suggests the automotive industry to initiate new cars and manufacture more since the demand is high which comprises consumer spending, investment spending, government spending, and export-import spending. The inflationary situation is moderate indicating the purchasing power of the consumers for capital expenditure. At the same time, the unemployment rate indicates that the car manufacturing industry can facilitate more employees who are unemployed due to some economic shifts (Pettinger, 2020). </w:t>
      </w:r>
    </w:p>
    <w:p w14:paraId="5F04DB50"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noProof/>
          <w:sz w:val="24"/>
          <w:lang w:val="en-US"/>
        </w:rPr>
        <w:lastRenderedPageBreak/>
        <w:drawing>
          <wp:inline distT="0" distB="0" distL="0" distR="0" wp14:anchorId="76ABEC86" wp14:editId="3C9DBE00">
            <wp:extent cx="5463540" cy="4053840"/>
            <wp:effectExtent l="19050" t="19050" r="22860" b="22860"/>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63540" cy="4053840"/>
                    </a:xfrm>
                    <a:prstGeom prst="rect">
                      <a:avLst/>
                    </a:prstGeom>
                    <a:noFill/>
                    <a:ln w="9525" cmpd="sng">
                      <a:solidFill>
                        <a:srgbClr val="000000"/>
                      </a:solidFill>
                      <a:miter lim="800000"/>
                      <a:headEnd/>
                      <a:tailEnd/>
                    </a:ln>
                    <a:effectLst/>
                  </pic:spPr>
                </pic:pic>
              </a:graphicData>
            </a:graphic>
          </wp:inline>
        </w:drawing>
      </w:r>
    </w:p>
    <w:p w14:paraId="585E8585"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sz w:val="24"/>
          <w:lang w:val="en-US"/>
        </w:rPr>
        <w:t>Figure 6: Unemployment and the inflationary situation in the UK (Pettinger, 2020)</w:t>
      </w:r>
    </w:p>
    <w:p w14:paraId="3D352A04" w14:textId="77777777" w:rsidR="00554E93" w:rsidRPr="00554E93" w:rsidRDefault="00554E93" w:rsidP="00554E93">
      <w:pPr>
        <w:keepNext/>
        <w:keepLines/>
        <w:spacing w:before="40" w:after="0" w:line="360" w:lineRule="auto"/>
        <w:jc w:val="both"/>
        <w:outlineLvl w:val="1"/>
        <w:rPr>
          <w:rFonts w:ascii="Times New Roman" w:eastAsia="Times New Roman" w:hAnsi="Times New Roman" w:cs="Times New Roman"/>
          <w:b/>
          <w:sz w:val="28"/>
          <w:szCs w:val="26"/>
          <w:lang w:val="en-US"/>
        </w:rPr>
      </w:pPr>
      <w:bookmarkStart w:id="5" w:name="_Toc48692033"/>
      <w:r w:rsidRPr="00554E93">
        <w:rPr>
          <w:rFonts w:ascii="Times New Roman" w:eastAsia="Times New Roman" w:hAnsi="Times New Roman" w:cs="Times New Roman"/>
          <w:b/>
          <w:sz w:val="28"/>
          <w:szCs w:val="26"/>
          <w:lang w:val="en-US"/>
        </w:rPr>
        <w:t>Socio-cultural Factors</w:t>
      </w:r>
      <w:bookmarkEnd w:id="5"/>
    </w:p>
    <w:p w14:paraId="3B99A81B"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 social and cultural base of a country shapes the preferences and spending patterns of an individual. Several factors influence consumers in their buying nature. </w:t>
      </w:r>
    </w:p>
    <w:p w14:paraId="10D2E6AF"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noProof/>
          <w:sz w:val="24"/>
          <w:lang w:val="en-US"/>
        </w:rPr>
        <w:drawing>
          <wp:inline distT="0" distB="0" distL="0" distR="0" wp14:anchorId="0A8EE071" wp14:editId="26450BBF">
            <wp:extent cx="6423660" cy="1981200"/>
            <wp:effectExtent l="0" t="0" r="0" b="0"/>
            <wp:docPr id="2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r w:rsidRPr="00554E93">
        <w:rPr>
          <w:rFonts w:ascii="Times New Roman" w:eastAsia="Calibri" w:hAnsi="Times New Roman" w:cs="Times New Roman"/>
          <w:sz w:val="24"/>
          <w:lang w:val="en-US"/>
        </w:rPr>
        <w:t xml:space="preserve"> </w:t>
      </w:r>
    </w:p>
    <w:p w14:paraId="05E87702"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Although the people of the United Kingdom lead an expensive lifestyle, due to the massive Pandemic COVID-19, the lifestyle has broadly shifted to the health and food industries while cutting the spending for transportation and luxury products. The restrictions on the movement </w:t>
      </w:r>
      <w:r w:rsidRPr="00554E93">
        <w:rPr>
          <w:rFonts w:ascii="Times New Roman" w:eastAsia="Calibri" w:hAnsi="Times New Roman" w:cs="Times New Roman"/>
          <w:sz w:val="24"/>
          <w:lang w:val="en-US"/>
        </w:rPr>
        <w:lastRenderedPageBreak/>
        <w:t xml:space="preserve">in the Pandemic situation, the global price of crude oil </w:t>
      </w:r>
      <w:proofErr w:type="gramStart"/>
      <w:r w:rsidRPr="00554E93">
        <w:rPr>
          <w:rFonts w:ascii="Times New Roman" w:eastAsia="Calibri" w:hAnsi="Times New Roman" w:cs="Times New Roman"/>
          <w:sz w:val="24"/>
          <w:lang w:val="en-US"/>
        </w:rPr>
        <w:t>were</w:t>
      </w:r>
      <w:proofErr w:type="gramEnd"/>
      <w:r w:rsidRPr="00554E93">
        <w:rPr>
          <w:rFonts w:ascii="Times New Roman" w:eastAsia="Calibri" w:hAnsi="Times New Roman" w:cs="Times New Roman"/>
          <w:sz w:val="24"/>
          <w:lang w:val="en-US"/>
        </w:rPr>
        <w:t xml:space="preserve"> responsible for a large consumer price inflation downturn in the UK. </w:t>
      </w:r>
    </w:p>
    <w:p w14:paraId="422A3A61"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noProof/>
          <w:sz w:val="24"/>
          <w:lang w:val="en-US"/>
        </w:rPr>
        <w:drawing>
          <wp:inline distT="0" distB="0" distL="0" distR="0" wp14:anchorId="41E056CF" wp14:editId="566F146C">
            <wp:extent cx="6225540" cy="3154680"/>
            <wp:effectExtent l="0" t="0" r="3810" b="7620"/>
            <wp:docPr id="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25540" cy="3154680"/>
                    </a:xfrm>
                    <a:prstGeom prst="rect">
                      <a:avLst/>
                    </a:prstGeom>
                    <a:noFill/>
                    <a:ln>
                      <a:noFill/>
                    </a:ln>
                  </pic:spPr>
                </pic:pic>
              </a:graphicData>
            </a:graphic>
          </wp:inline>
        </w:drawing>
      </w:r>
    </w:p>
    <w:p w14:paraId="690E6CFC"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sz w:val="24"/>
          <w:lang w:val="en-US"/>
        </w:rPr>
        <w:t>Figure 7: Contribution to the change in the consumer price index in the UK (Consumer price inflation, UK - Office for National Statistics, 2020)</w:t>
      </w:r>
    </w:p>
    <w:p w14:paraId="6977DFE7"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This downturn in the car industry explains the alarming situation while the post-pandemic situation gives the light of hope since the situation shifted the consumers from using public transportation to private vehicles. Along with that, the multi-culture system, </w:t>
      </w:r>
      <w:proofErr w:type="gramStart"/>
      <w:r w:rsidRPr="00554E93">
        <w:rPr>
          <w:rFonts w:ascii="Times New Roman" w:eastAsia="Calibri" w:hAnsi="Times New Roman" w:cs="Times New Roman"/>
          <w:sz w:val="24"/>
          <w:lang w:val="en-US"/>
        </w:rPr>
        <w:t>the majority of</w:t>
      </w:r>
      <w:proofErr w:type="gramEnd"/>
      <w:r w:rsidRPr="00554E93">
        <w:rPr>
          <w:rFonts w:ascii="Times New Roman" w:eastAsia="Calibri" w:hAnsi="Times New Roman" w:cs="Times New Roman"/>
          <w:sz w:val="24"/>
          <w:lang w:val="en-US"/>
        </w:rPr>
        <w:t xml:space="preserve"> working-class people of the UK with a stable income, increased age-old population, and lavish lifestyle denotes the potential for the car industry in the United Kingdom. </w:t>
      </w:r>
    </w:p>
    <w:p w14:paraId="36D59163" w14:textId="77777777" w:rsidR="00554E93" w:rsidRPr="00554E93" w:rsidRDefault="00554E93" w:rsidP="00554E93">
      <w:pPr>
        <w:keepNext/>
        <w:keepLines/>
        <w:spacing w:before="40" w:after="0" w:line="360" w:lineRule="auto"/>
        <w:jc w:val="both"/>
        <w:outlineLvl w:val="1"/>
        <w:rPr>
          <w:rFonts w:ascii="Times New Roman" w:eastAsia="Times New Roman" w:hAnsi="Times New Roman" w:cs="Times New Roman"/>
          <w:b/>
          <w:sz w:val="28"/>
          <w:szCs w:val="26"/>
          <w:lang w:val="en-US"/>
        </w:rPr>
      </w:pPr>
      <w:bookmarkStart w:id="6" w:name="_Toc48692034"/>
      <w:r w:rsidRPr="00554E93">
        <w:rPr>
          <w:rFonts w:ascii="Times New Roman" w:eastAsia="Times New Roman" w:hAnsi="Times New Roman" w:cs="Times New Roman"/>
          <w:b/>
          <w:sz w:val="28"/>
          <w:szCs w:val="26"/>
          <w:lang w:val="en-US"/>
        </w:rPr>
        <w:t>Technological Factors</w:t>
      </w:r>
      <w:bookmarkEnd w:id="6"/>
    </w:p>
    <w:p w14:paraId="3A374F18"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For flourishing the car industry of the UK, it is necessary to outline the product improvisation, technological infrastructure, data sources, and R &amp; D expenses. Since the world is moving towards electric cars, it is a time-bound decision for this industry to shift with a dynamic response. The government of the UK is relentlessly supporting the technological aspects to flourish new ideas, strengthen infrastructure with talented specialists, and investing a pool of funds in this development. The car industry gets this benefit of adequate infrastructural support of technology. An integrated manufacturing system assisted by Artificial intelligence made the industry comfortable to innovate new cars. However, comparing to the global perspective, the United Kingdom is lagging in the race of research and development expenses (Research and </w:t>
      </w:r>
      <w:r w:rsidRPr="00554E93">
        <w:rPr>
          <w:rFonts w:ascii="Times New Roman" w:eastAsia="Calibri" w:hAnsi="Times New Roman" w:cs="Times New Roman"/>
          <w:sz w:val="24"/>
          <w:lang w:val="en-US"/>
        </w:rPr>
        <w:lastRenderedPageBreak/>
        <w:t>development (R&amp;D) support in the UK - great.gov.uk international, 2020). The US and Japan are leading the research and development expenditures while the UK stands in 9</w:t>
      </w:r>
      <w:r w:rsidRPr="00554E93">
        <w:rPr>
          <w:rFonts w:ascii="Times New Roman" w:eastAsia="Calibri" w:hAnsi="Times New Roman" w:cs="Times New Roman"/>
          <w:sz w:val="24"/>
          <w:vertAlign w:val="superscript"/>
          <w:lang w:val="en-US"/>
        </w:rPr>
        <w:t>th</w:t>
      </w:r>
      <w:r w:rsidRPr="00554E93">
        <w:rPr>
          <w:rFonts w:ascii="Times New Roman" w:eastAsia="Calibri" w:hAnsi="Times New Roman" w:cs="Times New Roman"/>
          <w:sz w:val="24"/>
          <w:lang w:val="en-US"/>
        </w:rPr>
        <w:t xml:space="preserve"> position in the work ranking of research and development expenditures. </w:t>
      </w:r>
    </w:p>
    <w:p w14:paraId="76E2142C"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noProof/>
          <w:sz w:val="24"/>
          <w:lang w:val="en-US"/>
        </w:rPr>
        <w:drawing>
          <wp:inline distT="0" distB="0" distL="0" distR="0" wp14:anchorId="7E6F492C" wp14:editId="0E572A4D">
            <wp:extent cx="5943600" cy="3634740"/>
            <wp:effectExtent l="19050" t="19050" r="19050" b="22860"/>
            <wp:docPr id="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634740"/>
                    </a:xfrm>
                    <a:prstGeom prst="rect">
                      <a:avLst/>
                    </a:prstGeom>
                    <a:noFill/>
                    <a:ln w="9525" cmpd="sng">
                      <a:solidFill>
                        <a:srgbClr val="000000"/>
                      </a:solidFill>
                      <a:miter lim="800000"/>
                      <a:headEnd/>
                      <a:tailEnd/>
                    </a:ln>
                    <a:effectLst/>
                  </pic:spPr>
                </pic:pic>
              </a:graphicData>
            </a:graphic>
          </wp:inline>
        </w:drawing>
      </w:r>
    </w:p>
    <w:p w14:paraId="5A2CCEA0"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sz w:val="24"/>
          <w:lang w:val="en-US"/>
        </w:rPr>
        <w:t>Figure 8: Research and development expenditures in several countries (Top countries by gross R&amp;D expenditure worldwide 2019 | Statista, 2020)</w:t>
      </w:r>
    </w:p>
    <w:p w14:paraId="03FFA6AC" w14:textId="77777777" w:rsidR="00554E93" w:rsidRPr="00554E93" w:rsidRDefault="00554E93" w:rsidP="00554E93">
      <w:pPr>
        <w:keepNext/>
        <w:keepLines/>
        <w:spacing w:before="40" w:after="0" w:line="360" w:lineRule="auto"/>
        <w:jc w:val="both"/>
        <w:outlineLvl w:val="1"/>
        <w:rPr>
          <w:rFonts w:ascii="Times New Roman" w:eastAsia="Times New Roman" w:hAnsi="Times New Roman" w:cs="Times New Roman"/>
          <w:b/>
          <w:sz w:val="28"/>
          <w:szCs w:val="26"/>
          <w:lang w:val="en-US"/>
        </w:rPr>
      </w:pPr>
      <w:bookmarkStart w:id="7" w:name="_Toc48692035"/>
      <w:r w:rsidRPr="00554E93">
        <w:rPr>
          <w:rFonts w:ascii="Times New Roman" w:eastAsia="Times New Roman" w:hAnsi="Times New Roman" w:cs="Times New Roman"/>
          <w:b/>
          <w:sz w:val="28"/>
          <w:szCs w:val="26"/>
          <w:lang w:val="en-US"/>
        </w:rPr>
        <w:t>Environmental Factors</w:t>
      </w:r>
      <w:bookmarkEnd w:id="7"/>
    </w:p>
    <w:p w14:paraId="01A9C019"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Environmental protection has become a fundamental issue for all businesses. Initiating green products and services get the priority of consumer preference since the consumers are now very concerned about the ecological balance. The government of the UK is concerned about plastic pollution since only 1.5 </w:t>
      </w:r>
      <w:proofErr w:type="spellStart"/>
      <w:r w:rsidRPr="00554E93">
        <w:rPr>
          <w:rFonts w:ascii="Times New Roman" w:eastAsia="Calibri" w:hAnsi="Times New Roman" w:cs="Times New Roman"/>
          <w:sz w:val="24"/>
          <w:lang w:val="en-US"/>
        </w:rPr>
        <w:t>tonnes</w:t>
      </w:r>
      <w:proofErr w:type="spellEnd"/>
      <w:r w:rsidRPr="00554E93">
        <w:rPr>
          <w:rFonts w:ascii="Times New Roman" w:eastAsia="Calibri" w:hAnsi="Times New Roman" w:cs="Times New Roman"/>
          <w:sz w:val="24"/>
          <w:lang w:val="en-US"/>
        </w:rPr>
        <w:t xml:space="preserve"> of plastics are renewable which is one-third of the total plastic waste (Mohamed, 2015). </w:t>
      </w:r>
      <w:proofErr w:type="gramStart"/>
      <w:r w:rsidRPr="00554E93">
        <w:rPr>
          <w:rFonts w:ascii="Times New Roman" w:eastAsia="Calibri" w:hAnsi="Times New Roman" w:cs="Times New Roman"/>
          <w:sz w:val="24"/>
          <w:lang w:val="en-US"/>
        </w:rPr>
        <w:t>Thus</w:t>
      </w:r>
      <w:proofErr w:type="gramEnd"/>
      <w:r w:rsidRPr="00554E93">
        <w:rPr>
          <w:rFonts w:ascii="Times New Roman" w:eastAsia="Calibri" w:hAnsi="Times New Roman" w:cs="Times New Roman"/>
          <w:sz w:val="24"/>
          <w:lang w:val="en-US"/>
        </w:rPr>
        <w:t xml:space="preserve"> the automotive industry is suggested to use plastic parts that are renewable and less harmful for the environment. Diesel cars are more harmful to air pollution as it emits more carbon than that of petrol. For this reason, the car industry of the UK needs concentration in initiating green technology and transport so that it can settle down environmental issues. </w:t>
      </w:r>
    </w:p>
    <w:p w14:paraId="683B279E" w14:textId="77777777" w:rsidR="00554E93" w:rsidRPr="00554E93" w:rsidRDefault="00554E93" w:rsidP="00554E93">
      <w:pPr>
        <w:keepNext/>
        <w:keepLines/>
        <w:spacing w:before="40" w:after="0" w:line="360" w:lineRule="auto"/>
        <w:jc w:val="both"/>
        <w:outlineLvl w:val="1"/>
        <w:rPr>
          <w:rFonts w:ascii="Times New Roman" w:eastAsia="Times New Roman" w:hAnsi="Times New Roman" w:cs="Times New Roman"/>
          <w:b/>
          <w:sz w:val="28"/>
          <w:szCs w:val="26"/>
          <w:lang w:val="en-US"/>
        </w:rPr>
      </w:pPr>
      <w:bookmarkStart w:id="8" w:name="_Toc48692036"/>
      <w:r w:rsidRPr="00554E93">
        <w:rPr>
          <w:rFonts w:ascii="Times New Roman" w:eastAsia="Times New Roman" w:hAnsi="Times New Roman" w:cs="Times New Roman"/>
          <w:b/>
          <w:sz w:val="28"/>
          <w:szCs w:val="26"/>
          <w:lang w:val="en-US"/>
        </w:rPr>
        <w:lastRenderedPageBreak/>
        <w:t>Legal Factors</w:t>
      </w:r>
      <w:bookmarkEnd w:id="8"/>
    </w:p>
    <w:p w14:paraId="406BBC81"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 legal environment of the United Kingdom is very strict for any sector. While it is about the transportation sector, the manufacturers are obligated to maintain health and safety measures. Moreover, the sector is suggested to practice equal pay structure of the employees, minimum wage compliance, race as well as ethnicity indiscrimination. Including Toyota, many prominent companies have faced questions due to their faulty airbags (Five reasons the car industry is struggling, 2020). It has brought the new regulation for the car companies to put the safety of passengers first. </w:t>
      </w:r>
    </w:p>
    <w:p w14:paraId="002B7995" w14:textId="77777777" w:rsidR="00554E93" w:rsidRPr="00554E93" w:rsidRDefault="00554E93" w:rsidP="00554E93">
      <w:pPr>
        <w:keepNext/>
        <w:keepLines/>
        <w:spacing w:before="240" w:after="0" w:line="360" w:lineRule="auto"/>
        <w:jc w:val="both"/>
        <w:outlineLvl w:val="0"/>
        <w:rPr>
          <w:rFonts w:ascii="Times New Roman" w:eastAsia="Times New Roman" w:hAnsi="Times New Roman" w:cs="Times New Roman"/>
          <w:b/>
          <w:color w:val="0070C0"/>
          <w:sz w:val="32"/>
          <w:szCs w:val="32"/>
          <w:lang w:val="en-US"/>
        </w:rPr>
      </w:pPr>
      <w:bookmarkStart w:id="9" w:name="_Toc48692037"/>
      <w:r w:rsidRPr="00554E93">
        <w:rPr>
          <w:rFonts w:ascii="Times New Roman" w:eastAsia="Times New Roman" w:hAnsi="Times New Roman" w:cs="Times New Roman"/>
          <w:b/>
          <w:color w:val="0070C0"/>
          <w:sz w:val="32"/>
          <w:szCs w:val="32"/>
          <w:lang w:val="en-US"/>
        </w:rPr>
        <w:t>Evaluating Competitive Positioning of Car Industry Using Porter’s Five Forces Model</w:t>
      </w:r>
      <w:bookmarkEnd w:id="9"/>
    </w:p>
    <w:p w14:paraId="1EE3FF01"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Using Porter’s five forces model, the competitive positioning of the Car industry is evaluated in this section where five concepts are analyzed based on the recent situation. </w:t>
      </w:r>
    </w:p>
    <w:p w14:paraId="2BBA93D8" w14:textId="77777777" w:rsidR="00554E93" w:rsidRPr="00554E93" w:rsidRDefault="00554E93" w:rsidP="00554E93">
      <w:pPr>
        <w:keepNext/>
        <w:keepLines/>
        <w:spacing w:before="40" w:after="0" w:line="360" w:lineRule="auto"/>
        <w:jc w:val="both"/>
        <w:outlineLvl w:val="1"/>
        <w:rPr>
          <w:rFonts w:ascii="Times New Roman" w:eastAsia="Times New Roman" w:hAnsi="Times New Roman" w:cs="Times New Roman"/>
          <w:b/>
          <w:sz w:val="28"/>
          <w:szCs w:val="26"/>
          <w:lang w:val="en-US"/>
        </w:rPr>
      </w:pPr>
      <w:bookmarkStart w:id="10" w:name="_Toc48692038"/>
      <w:r w:rsidRPr="00554E93">
        <w:rPr>
          <w:rFonts w:ascii="Times New Roman" w:eastAsia="Times New Roman" w:hAnsi="Times New Roman" w:cs="Times New Roman"/>
          <w:b/>
          <w:sz w:val="28"/>
          <w:szCs w:val="26"/>
          <w:lang w:val="en-US"/>
        </w:rPr>
        <w:t>Bargaining Power of Buyers</w:t>
      </w:r>
      <w:bookmarkEnd w:id="10"/>
      <w:r w:rsidRPr="00554E93">
        <w:rPr>
          <w:rFonts w:ascii="Times New Roman" w:eastAsia="Times New Roman" w:hAnsi="Times New Roman" w:cs="Times New Roman"/>
          <w:b/>
          <w:sz w:val="28"/>
          <w:szCs w:val="26"/>
          <w:lang w:val="en-US"/>
        </w:rPr>
        <w:t xml:space="preserve"> </w:t>
      </w:r>
    </w:p>
    <w:p w14:paraId="2FC69C76"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There are a lot of companies that are operating their business in the car industry. Along with domestic companies, foreign cars are grasping the market of the UK. For this reason, the buyers of this industry have a strong force to switch to another company due to the low cost of the switch. The quality of information is high in this region for which buyers can easily get access to the authentic information about the product (UK car market down 2.4% in 2019, 2020). The companies tend to remain cautious about their product due to the strong bargaining power of buyers.</w:t>
      </w:r>
    </w:p>
    <w:p w14:paraId="716D3048" w14:textId="77777777" w:rsidR="00554E93" w:rsidRPr="00554E93" w:rsidRDefault="00554E93" w:rsidP="00554E93">
      <w:pPr>
        <w:keepNext/>
        <w:keepLines/>
        <w:spacing w:before="40" w:after="0" w:line="360" w:lineRule="auto"/>
        <w:jc w:val="both"/>
        <w:outlineLvl w:val="1"/>
        <w:rPr>
          <w:rFonts w:ascii="Times New Roman" w:eastAsia="Times New Roman" w:hAnsi="Times New Roman" w:cs="Times New Roman"/>
          <w:b/>
          <w:sz w:val="28"/>
          <w:szCs w:val="26"/>
          <w:lang w:val="en-US"/>
        </w:rPr>
      </w:pPr>
      <w:bookmarkStart w:id="11" w:name="_Toc48692039"/>
      <w:r w:rsidRPr="00554E93">
        <w:rPr>
          <w:rFonts w:ascii="Times New Roman" w:eastAsia="Times New Roman" w:hAnsi="Times New Roman" w:cs="Times New Roman"/>
          <w:b/>
          <w:sz w:val="28"/>
          <w:szCs w:val="26"/>
          <w:lang w:val="en-US"/>
        </w:rPr>
        <w:t>Bargaining Power of Suppliers</w:t>
      </w:r>
      <w:bookmarkEnd w:id="11"/>
      <w:r w:rsidRPr="00554E93">
        <w:rPr>
          <w:rFonts w:ascii="Times New Roman" w:eastAsia="Times New Roman" w:hAnsi="Times New Roman" w:cs="Times New Roman"/>
          <w:b/>
          <w:sz w:val="28"/>
          <w:szCs w:val="26"/>
          <w:lang w:val="en-US"/>
        </w:rPr>
        <w:t xml:space="preserve"> </w:t>
      </w:r>
    </w:p>
    <w:p w14:paraId="04E23D0F"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 bargaining power of suppliers is low because the industry has immense suppliers to produce parts of the car. Moreover, the companies can import the parts from China as well as Japan for which the suppliers have become adequate for all the companies (Mohamed, 2015). Multiple supply chains, less likely forward integration of suppliers have made the force weaker. </w:t>
      </w:r>
    </w:p>
    <w:p w14:paraId="764D2883" w14:textId="77777777" w:rsidR="00554E93" w:rsidRPr="00554E93" w:rsidRDefault="00554E93" w:rsidP="00554E93">
      <w:pPr>
        <w:keepNext/>
        <w:keepLines/>
        <w:spacing w:before="40" w:after="0" w:line="360" w:lineRule="auto"/>
        <w:jc w:val="both"/>
        <w:outlineLvl w:val="1"/>
        <w:rPr>
          <w:rFonts w:ascii="Times New Roman" w:eastAsia="Times New Roman" w:hAnsi="Times New Roman" w:cs="Times New Roman"/>
          <w:b/>
          <w:sz w:val="28"/>
          <w:szCs w:val="26"/>
          <w:lang w:val="en-US"/>
        </w:rPr>
      </w:pPr>
      <w:bookmarkStart w:id="12" w:name="_Toc48692040"/>
      <w:r w:rsidRPr="00554E93">
        <w:rPr>
          <w:rFonts w:ascii="Times New Roman" w:eastAsia="Times New Roman" w:hAnsi="Times New Roman" w:cs="Times New Roman"/>
          <w:b/>
          <w:sz w:val="28"/>
          <w:szCs w:val="26"/>
          <w:lang w:val="en-US"/>
        </w:rPr>
        <w:t>The threat of New Entrants</w:t>
      </w:r>
      <w:bookmarkEnd w:id="12"/>
      <w:r w:rsidRPr="00554E93">
        <w:rPr>
          <w:rFonts w:ascii="Times New Roman" w:eastAsia="Times New Roman" w:hAnsi="Times New Roman" w:cs="Times New Roman"/>
          <w:b/>
          <w:sz w:val="28"/>
          <w:szCs w:val="26"/>
          <w:lang w:val="en-US"/>
        </w:rPr>
        <w:t xml:space="preserve"> </w:t>
      </w:r>
    </w:p>
    <w:p w14:paraId="09180F0C"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Since the automotive industry requires huge capital expenditure, it is less likely to have a sudden threat of new entrants in this sector. After </w:t>
      </w:r>
      <w:proofErr w:type="gramStart"/>
      <w:r w:rsidRPr="00554E93">
        <w:rPr>
          <w:rFonts w:ascii="Times New Roman" w:eastAsia="Calibri" w:hAnsi="Times New Roman" w:cs="Times New Roman"/>
          <w:sz w:val="24"/>
          <w:lang w:val="en-US"/>
        </w:rPr>
        <w:t>entering into</w:t>
      </w:r>
      <w:proofErr w:type="gramEnd"/>
      <w:r w:rsidRPr="00554E93">
        <w:rPr>
          <w:rFonts w:ascii="Times New Roman" w:eastAsia="Calibri" w:hAnsi="Times New Roman" w:cs="Times New Roman"/>
          <w:sz w:val="24"/>
          <w:lang w:val="en-US"/>
        </w:rPr>
        <w:t xml:space="preserve"> this industry, a brand needs to develop the product for a certain period. That is why the threat of new entrants is weak in the </w:t>
      </w:r>
      <w:r w:rsidRPr="00554E93">
        <w:rPr>
          <w:rFonts w:ascii="Times New Roman" w:eastAsia="Calibri" w:hAnsi="Times New Roman" w:cs="Times New Roman"/>
          <w:sz w:val="24"/>
          <w:lang w:val="en-US"/>
        </w:rPr>
        <w:lastRenderedPageBreak/>
        <w:t xml:space="preserve">car industry. Moreover, the economics of scale cannot be achieved at the initial level of the company that discourages new entrants to operate in can industry. </w:t>
      </w:r>
    </w:p>
    <w:p w14:paraId="7B05F0BC" w14:textId="77777777" w:rsidR="00554E93" w:rsidRPr="00554E93" w:rsidRDefault="00554E93" w:rsidP="00554E93">
      <w:pPr>
        <w:keepNext/>
        <w:keepLines/>
        <w:spacing w:before="40" w:after="0" w:line="360" w:lineRule="auto"/>
        <w:jc w:val="both"/>
        <w:outlineLvl w:val="1"/>
        <w:rPr>
          <w:rFonts w:ascii="Times New Roman" w:eastAsia="Times New Roman" w:hAnsi="Times New Roman" w:cs="Times New Roman"/>
          <w:b/>
          <w:sz w:val="28"/>
          <w:szCs w:val="26"/>
          <w:lang w:val="en-US"/>
        </w:rPr>
      </w:pPr>
      <w:bookmarkStart w:id="13" w:name="_Toc48692041"/>
      <w:r w:rsidRPr="00554E93">
        <w:rPr>
          <w:rFonts w:ascii="Times New Roman" w:eastAsia="Times New Roman" w:hAnsi="Times New Roman" w:cs="Times New Roman"/>
          <w:b/>
          <w:sz w:val="28"/>
          <w:szCs w:val="26"/>
          <w:lang w:val="en-US"/>
        </w:rPr>
        <w:t>Threat of Substitute</w:t>
      </w:r>
      <w:bookmarkEnd w:id="13"/>
    </w:p>
    <w:p w14:paraId="2DF15109"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The substitute product of cars exerts bicycles, public transports, and motorbikes. All these are easily available. However, in suburban or urban areas in the UK, public transport is merely available to transport (</w:t>
      </w:r>
      <w:proofErr w:type="spellStart"/>
      <w:r w:rsidRPr="00554E93">
        <w:rPr>
          <w:rFonts w:ascii="Times New Roman" w:eastAsia="Calibri" w:hAnsi="Times New Roman" w:cs="Times New Roman"/>
          <w:sz w:val="24"/>
          <w:lang w:val="en-US"/>
        </w:rPr>
        <w:t>Bekker</w:t>
      </w:r>
      <w:proofErr w:type="spellEnd"/>
      <w:r w:rsidRPr="00554E93">
        <w:rPr>
          <w:rFonts w:ascii="Times New Roman" w:eastAsia="Calibri" w:hAnsi="Times New Roman" w:cs="Times New Roman"/>
          <w:sz w:val="24"/>
          <w:lang w:val="en-US"/>
        </w:rPr>
        <w:t xml:space="preserve">, 2020). Moreover, it cannot give the convenience of the car for which the threat of substitutes is moderate for the car industry. </w:t>
      </w:r>
    </w:p>
    <w:p w14:paraId="1DBEA01C" w14:textId="77777777" w:rsidR="00554E93" w:rsidRPr="00554E93" w:rsidRDefault="00554E93" w:rsidP="00554E93">
      <w:pPr>
        <w:keepNext/>
        <w:keepLines/>
        <w:spacing w:before="40" w:after="0" w:line="360" w:lineRule="auto"/>
        <w:jc w:val="both"/>
        <w:outlineLvl w:val="1"/>
        <w:rPr>
          <w:rFonts w:ascii="Times New Roman" w:eastAsia="Times New Roman" w:hAnsi="Times New Roman" w:cs="Times New Roman"/>
          <w:b/>
          <w:sz w:val="28"/>
          <w:szCs w:val="26"/>
          <w:lang w:val="en-US"/>
        </w:rPr>
      </w:pPr>
      <w:bookmarkStart w:id="14" w:name="_Toc48692042"/>
      <w:r w:rsidRPr="00554E93">
        <w:rPr>
          <w:rFonts w:ascii="Times New Roman" w:eastAsia="Times New Roman" w:hAnsi="Times New Roman" w:cs="Times New Roman"/>
          <w:b/>
          <w:sz w:val="28"/>
          <w:szCs w:val="26"/>
          <w:lang w:val="en-US"/>
        </w:rPr>
        <w:t>Competitive Rivalry</w:t>
      </w:r>
      <w:bookmarkEnd w:id="14"/>
      <w:r w:rsidRPr="00554E93">
        <w:rPr>
          <w:rFonts w:ascii="Times New Roman" w:eastAsia="Times New Roman" w:hAnsi="Times New Roman" w:cs="Times New Roman"/>
          <w:b/>
          <w:sz w:val="28"/>
          <w:szCs w:val="26"/>
          <w:lang w:val="en-US"/>
        </w:rPr>
        <w:t xml:space="preserve"> </w:t>
      </w:r>
    </w:p>
    <w:p w14:paraId="351123D8"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There is aggressive competitiveness among the companies in the car industry. Two types of car companies are present in this sector; cost leaders and differentiators. For this high variety, the firms can differentiate their product and get the benefit of competitive positioning. </w:t>
      </w:r>
    </w:p>
    <w:p w14:paraId="6D98EEDB"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noProof/>
          <w:sz w:val="24"/>
          <w:lang w:val="en-US"/>
        </w:rPr>
        <w:drawing>
          <wp:inline distT="0" distB="0" distL="0" distR="0" wp14:anchorId="40FE95A1" wp14:editId="01BF0A2C">
            <wp:extent cx="5372100" cy="3284220"/>
            <wp:effectExtent l="0" t="0" r="0" b="0"/>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72100" cy="3284220"/>
                    </a:xfrm>
                    <a:prstGeom prst="rect">
                      <a:avLst/>
                    </a:prstGeom>
                    <a:noFill/>
                    <a:ln>
                      <a:noFill/>
                    </a:ln>
                  </pic:spPr>
                </pic:pic>
              </a:graphicData>
            </a:graphic>
          </wp:inline>
        </w:drawing>
      </w:r>
    </w:p>
    <w:p w14:paraId="1F103C26" w14:textId="77777777" w:rsidR="00554E93" w:rsidRPr="00554E93" w:rsidRDefault="00554E93" w:rsidP="00554E93">
      <w:pPr>
        <w:spacing w:after="200" w:line="360" w:lineRule="auto"/>
        <w:jc w:val="center"/>
        <w:rPr>
          <w:rFonts w:ascii="Times New Roman" w:eastAsia="Calibri" w:hAnsi="Times New Roman" w:cs="Times New Roman"/>
          <w:sz w:val="24"/>
          <w:lang w:val="en-US"/>
        </w:rPr>
      </w:pPr>
      <w:r w:rsidRPr="00554E93">
        <w:rPr>
          <w:rFonts w:ascii="Times New Roman" w:eastAsia="Calibri" w:hAnsi="Times New Roman" w:cs="Times New Roman"/>
          <w:sz w:val="24"/>
          <w:lang w:val="en-US"/>
        </w:rPr>
        <w:t>Figure 9: Market share of car companies in the UK (Car brands' UK market share by month 2020 | Statista, 2020)</w:t>
      </w:r>
    </w:p>
    <w:p w14:paraId="4CE0498F"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The market fragmentation explains the competitive positioning of the car industry. Along with the domestic manufacturers, a lot of foreign cars are present who gets sizable market share within the industry.</w:t>
      </w:r>
    </w:p>
    <w:p w14:paraId="5372BEED" w14:textId="77777777" w:rsidR="00554E93" w:rsidRPr="00554E93" w:rsidRDefault="00554E93" w:rsidP="00554E93">
      <w:pPr>
        <w:keepNext/>
        <w:keepLines/>
        <w:spacing w:before="240" w:after="0" w:line="360" w:lineRule="auto"/>
        <w:jc w:val="both"/>
        <w:outlineLvl w:val="0"/>
        <w:rPr>
          <w:rFonts w:ascii="Times New Roman" w:eastAsia="Times New Roman" w:hAnsi="Times New Roman" w:cs="Times New Roman"/>
          <w:b/>
          <w:color w:val="0070C0"/>
          <w:sz w:val="32"/>
          <w:szCs w:val="32"/>
          <w:lang w:val="en-US"/>
        </w:rPr>
      </w:pPr>
      <w:bookmarkStart w:id="15" w:name="_Toc48692043"/>
      <w:r w:rsidRPr="00554E93">
        <w:rPr>
          <w:rFonts w:ascii="Times New Roman" w:eastAsia="Times New Roman" w:hAnsi="Times New Roman" w:cs="Times New Roman"/>
          <w:b/>
          <w:color w:val="0070C0"/>
          <w:sz w:val="32"/>
          <w:szCs w:val="32"/>
          <w:lang w:val="en-US"/>
        </w:rPr>
        <w:lastRenderedPageBreak/>
        <w:t>Assessing Opportunities and Challenges of the Car Industry in the UK</w:t>
      </w:r>
      <w:bookmarkEnd w:id="15"/>
    </w:p>
    <w:p w14:paraId="74136AFA"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Using SWOT analysis, the opportunities and challenges of the car industry are outlined in this section. This is the internal and external environmental analysis of an industry through which threats can be found out and opportunities can be outlined. </w:t>
      </w:r>
    </w:p>
    <w:tbl>
      <w:tblPr>
        <w:tblStyle w:val="TableGrid"/>
        <w:tblW w:w="9445" w:type="dxa"/>
        <w:tblInd w:w="0" w:type="dxa"/>
        <w:tblLook w:val="04A0" w:firstRow="1" w:lastRow="0" w:firstColumn="1" w:lastColumn="0" w:noHBand="0" w:noVBand="1"/>
      </w:tblPr>
      <w:tblGrid>
        <w:gridCol w:w="1537"/>
        <w:gridCol w:w="7908"/>
      </w:tblGrid>
      <w:tr w:rsidR="00554E93" w:rsidRPr="00554E93" w14:paraId="03604B67" w14:textId="77777777" w:rsidTr="00554E93">
        <w:tc>
          <w:tcPr>
            <w:tcW w:w="1426" w:type="dxa"/>
            <w:tcBorders>
              <w:top w:val="single" w:sz="4" w:space="0" w:color="auto"/>
              <w:left w:val="single" w:sz="4" w:space="0" w:color="auto"/>
              <w:bottom w:val="single" w:sz="4" w:space="0" w:color="auto"/>
              <w:right w:val="single" w:sz="4" w:space="0" w:color="auto"/>
            </w:tcBorders>
            <w:hideMark/>
          </w:tcPr>
          <w:p w14:paraId="27FBF3B4" w14:textId="77777777" w:rsidR="00554E93" w:rsidRPr="00554E93" w:rsidRDefault="00554E93" w:rsidP="00554E93">
            <w:pPr>
              <w:spacing w:line="360" w:lineRule="auto"/>
              <w:jc w:val="both"/>
              <w:rPr>
                <w:rFonts w:ascii="Times New Roman" w:hAnsi="Times New Roman"/>
                <w:b/>
                <w:color w:val="0070C0"/>
              </w:rPr>
            </w:pPr>
            <w:r w:rsidRPr="00554E93">
              <w:rPr>
                <w:rFonts w:ascii="Times New Roman" w:hAnsi="Times New Roman"/>
                <w:b/>
                <w:color w:val="0070C0"/>
              </w:rPr>
              <w:t xml:space="preserve">Strengths </w:t>
            </w:r>
          </w:p>
        </w:tc>
        <w:tc>
          <w:tcPr>
            <w:tcW w:w="8019" w:type="dxa"/>
            <w:tcBorders>
              <w:top w:val="single" w:sz="4" w:space="0" w:color="auto"/>
              <w:left w:val="single" w:sz="4" w:space="0" w:color="auto"/>
              <w:bottom w:val="single" w:sz="4" w:space="0" w:color="auto"/>
              <w:right w:val="single" w:sz="4" w:space="0" w:color="auto"/>
            </w:tcBorders>
            <w:hideMark/>
          </w:tcPr>
          <w:p w14:paraId="07C1160A" w14:textId="77777777" w:rsidR="00554E93" w:rsidRPr="00554E93" w:rsidRDefault="00554E93" w:rsidP="00554E93">
            <w:pPr>
              <w:spacing w:line="360" w:lineRule="auto"/>
              <w:jc w:val="both"/>
              <w:rPr>
                <w:rFonts w:ascii="Times New Roman" w:hAnsi="Times New Roman"/>
              </w:rPr>
            </w:pPr>
            <w:r w:rsidRPr="00554E93">
              <w:rPr>
                <w:rFonts w:ascii="Times New Roman" w:hAnsi="Times New Roman"/>
              </w:rPr>
              <w:t>1. The car industry in the UK is persistent in innovation.</w:t>
            </w:r>
          </w:p>
          <w:p w14:paraId="1577225A" w14:textId="77777777" w:rsidR="00554E93" w:rsidRPr="00554E93" w:rsidRDefault="00554E93" w:rsidP="00554E93">
            <w:pPr>
              <w:spacing w:line="360" w:lineRule="auto"/>
              <w:jc w:val="both"/>
              <w:rPr>
                <w:rFonts w:ascii="Times New Roman" w:hAnsi="Times New Roman"/>
              </w:rPr>
            </w:pPr>
            <w:r w:rsidRPr="00554E93">
              <w:rPr>
                <w:rFonts w:ascii="Times New Roman" w:hAnsi="Times New Roman"/>
              </w:rPr>
              <w:t>2. It has a world-class technological infrastructure to develop products.</w:t>
            </w:r>
          </w:p>
          <w:p w14:paraId="166D8A53" w14:textId="77777777" w:rsidR="00554E93" w:rsidRPr="00554E93" w:rsidRDefault="00554E93" w:rsidP="00554E93">
            <w:pPr>
              <w:spacing w:line="360" w:lineRule="auto"/>
              <w:jc w:val="both"/>
              <w:rPr>
                <w:rFonts w:ascii="Times New Roman" w:hAnsi="Times New Roman"/>
              </w:rPr>
            </w:pPr>
            <w:r w:rsidRPr="00554E93">
              <w:rPr>
                <w:rFonts w:ascii="Times New Roman" w:hAnsi="Times New Roman"/>
              </w:rPr>
              <w:t>3. The consumers of the UK prefer personal vehicles rather than the public.</w:t>
            </w:r>
          </w:p>
        </w:tc>
      </w:tr>
      <w:tr w:rsidR="00554E93" w:rsidRPr="00554E93" w14:paraId="38F1B58D" w14:textId="77777777" w:rsidTr="00554E93">
        <w:tc>
          <w:tcPr>
            <w:tcW w:w="1426" w:type="dxa"/>
            <w:tcBorders>
              <w:top w:val="single" w:sz="4" w:space="0" w:color="auto"/>
              <w:left w:val="single" w:sz="4" w:space="0" w:color="auto"/>
              <w:bottom w:val="single" w:sz="4" w:space="0" w:color="auto"/>
              <w:right w:val="single" w:sz="4" w:space="0" w:color="auto"/>
            </w:tcBorders>
            <w:hideMark/>
          </w:tcPr>
          <w:p w14:paraId="20395934" w14:textId="77777777" w:rsidR="00554E93" w:rsidRPr="00554E93" w:rsidRDefault="00554E93" w:rsidP="00554E93">
            <w:pPr>
              <w:spacing w:line="360" w:lineRule="auto"/>
              <w:jc w:val="both"/>
              <w:rPr>
                <w:rFonts w:ascii="Times New Roman" w:hAnsi="Times New Roman"/>
                <w:b/>
                <w:color w:val="0070C0"/>
              </w:rPr>
            </w:pPr>
            <w:r w:rsidRPr="00554E93">
              <w:rPr>
                <w:rFonts w:ascii="Times New Roman" w:hAnsi="Times New Roman"/>
                <w:b/>
                <w:color w:val="0070C0"/>
              </w:rPr>
              <w:t xml:space="preserve">Weaknesses </w:t>
            </w:r>
          </w:p>
        </w:tc>
        <w:tc>
          <w:tcPr>
            <w:tcW w:w="8019" w:type="dxa"/>
            <w:tcBorders>
              <w:top w:val="single" w:sz="4" w:space="0" w:color="auto"/>
              <w:left w:val="single" w:sz="4" w:space="0" w:color="auto"/>
              <w:bottom w:val="single" w:sz="4" w:space="0" w:color="auto"/>
              <w:right w:val="single" w:sz="4" w:space="0" w:color="auto"/>
            </w:tcBorders>
            <w:hideMark/>
          </w:tcPr>
          <w:p w14:paraId="531FEEDD" w14:textId="77777777" w:rsidR="00554E93" w:rsidRPr="00554E93" w:rsidRDefault="00554E93" w:rsidP="00554E93">
            <w:pPr>
              <w:spacing w:line="360" w:lineRule="auto"/>
              <w:jc w:val="both"/>
              <w:rPr>
                <w:rFonts w:ascii="Times New Roman" w:hAnsi="Times New Roman"/>
              </w:rPr>
            </w:pPr>
            <w:r w:rsidRPr="00554E93">
              <w:rPr>
                <w:rFonts w:ascii="Times New Roman" w:hAnsi="Times New Roman"/>
              </w:rPr>
              <w:t xml:space="preserve">1. The consumer’s high bargaining power makes difficulties for the key player of the industry </w:t>
            </w:r>
            <w:r w:rsidRPr="00554E93">
              <w:rPr>
                <w:rFonts w:ascii="Times New Roman" w:hAnsi="Times New Roman"/>
                <w:sz w:val="24"/>
              </w:rPr>
              <w:t>(Five reasons the car industry is struggling, 2020)</w:t>
            </w:r>
            <w:r w:rsidRPr="00554E93">
              <w:rPr>
                <w:rFonts w:ascii="Times New Roman" w:hAnsi="Times New Roman"/>
              </w:rPr>
              <w:t>.</w:t>
            </w:r>
          </w:p>
          <w:p w14:paraId="0B1B7F5C" w14:textId="77777777" w:rsidR="00554E93" w:rsidRPr="00554E93" w:rsidRDefault="00554E93" w:rsidP="00554E93">
            <w:pPr>
              <w:spacing w:line="360" w:lineRule="auto"/>
              <w:jc w:val="both"/>
              <w:rPr>
                <w:rFonts w:ascii="Times New Roman" w:hAnsi="Times New Roman"/>
              </w:rPr>
            </w:pPr>
            <w:r w:rsidRPr="00554E93">
              <w:rPr>
                <w:rFonts w:ascii="Times New Roman" w:hAnsi="Times New Roman"/>
              </w:rPr>
              <w:t xml:space="preserve">2. Government restriction on transportation in any situation can create vulnerability of industry.  </w:t>
            </w:r>
          </w:p>
        </w:tc>
      </w:tr>
      <w:tr w:rsidR="00554E93" w:rsidRPr="00554E93" w14:paraId="563F6CE5" w14:textId="77777777" w:rsidTr="00554E93">
        <w:tc>
          <w:tcPr>
            <w:tcW w:w="1426" w:type="dxa"/>
            <w:tcBorders>
              <w:top w:val="single" w:sz="4" w:space="0" w:color="auto"/>
              <w:left w:val="single" w:sz="4" w:space="0" w:color="auto"/>
              <w:bottom w:val="single" w:sz="4" w:space="0" w:color="auto"/>
              <w:right w:val="single" w:sz="4" w:space="0" w:color="auto"/>
            </w:tcBorders>
            <w:hideMark/>
          </w:tcPr>
          <w:p w14:paraId="2BCEC6DA" w14:textId="77777777" w:rsidR="00554E93" w:rsidRPr="00554E93" w:rsidRDefault="00554E93" w:rsidP="00554E93">
            <w:pPr>
              <w:spacing w:line="360" w:lineRule="auto"/>
              <w:jc w:val="both"/>
              <w:rPr>
                <w:rFonts w:ascii="Times New Roman" w:hAnsi="Times New Roman"/>
                <w:b/>
                <w:color w:val="0070C0"/>
              </w:rPr>
            </w:pPr>
            <w:r w:rsidRPr="00554E93">
              <w:rPr>
                <w:rFonts w:ascii="Times New Roman" w:hAnsi="Times New Roman"/>
                <w:b/>
                <w:color w:val="0070C0"/>
              </w:rPr>
              <w:t>Opportunities</w:t>
            </w:r>
          </w:p>
        </w:tc>
        <w:tc>
          <w:tcPr>
            <w:tcW w:w="8019" w:type="dxa"/>
            <w:tcBorders>
              <w:top w:val="single" w:sz="4" w:space="0" w:color="auto"/>
              <w:left w:val="single" w:sz="4" w:space="0" w:color="auto"/>
              <w:bottom w:val="single" w:sz="4" w:space="0" w:color="auto"/>
              <w:right w:val="single" w:sz="4" w:space="0" w:color="auto"/>
            </w:tcBorders>
            <w:hideMark/>
          </w:tcPr>
          <w:p w14:paraId="36AF70DD" w14:textId="77777777" w:rsidR="00554E93" w:rsidRPr="00554E93" w:rsidRDefault="00554E93" w:rsidP="00554E93">
            <w:pPr>
              <w:spacing w:line="360" w:lineRule="auto"/>
              <w:jc w:val="both"/>
              <w:rPr>
                <w:rFonts w:ascii="Times New Roman" w:hAnsi="Times New Roman"/>
              </w:rPr>
            </w:pPr>
            <w:r w:rsidRPr="00554E93">
              <w:rPr>
                <w:rFonts w:ascii="Times New Roman" w:hAnsi="Times New Roman"/>
              </w:rPr>
              <w:t xml:space="preserve">1. By 2025, 15% of the new cars will be designed as electric cars which creates the opportunity for new companies as well as old ones to flourish brand development </w:t>
            </w:r>
            <w:r w:rsidRPr="00554E93">
              <w:rPr>
                <w:rFonts w:ascii="Times New Roman" w:hAnsi="Times New Roman"/>
                <w:sz w:val="24"/>
              </w:rPr>
              <w:t>(</w:t>
            </w:r>
            <w:proofErr w:type="spellStart"/>
            <w:r w:rsidRPr="00554E93">
              <w:rPr>
                <w:rFonts w:ascii="Times New Roman" w:hAnsi="Times New Roman"/>
                <w:sz w:val="24"/>
              </w:rPr>
              <w:t>Bekker</w:t>
            </w:r>
            <w:proofErr w:type="spellEnd"/>
            <w:r w:rsidRPr="00554E93">
              <w:rPr>
                <w:rFonts w:ascii="Times New Roman" w:hAnsi="Times New Roman"/>
                <w:sz w:val="24"/>
              </w:rPr>
              <w:t>, 2020)</w:t>
            </w:r>
            <w:r w:rsidRPr="00554E93">
              <w:rPr>
                <w:rFonts w:ascii="Times New Roman" w:hAnsi="Times New Roman"/>
              </w:rPr>
              <w:t>.</w:t>
            </w:r>
          </w:p>
          <w:p w14:paraId="038995B2" w14:textId="77777777" w:rsidR="00554E93" w:rsidRPr="00554E93" w:rsidRDefault="00554E93" w:rsidP="00554E93">
            <w:pPr>
              <w:spacing w:line="360" w:lineRule="auto"/>
              <w:jc w:val="both"/>
              <w:rPr>
                <w:rFonts w:ascii="Times New Roman" w:hAnsi="Times New Roman"/>
              </w:rPr>
            </w:pPr>
            <w:r w:rsidRPr="00554E93">
              <w:rPr>
                <w:rFonts w:ascii="Times New Roman" w:hAnsi="Times New Roman"/>
              </w:rPr>
              <w:t>2. Since people are pursuing freedom in their lifestyle in the UK, it exerts a good opportunity to expand the market of cars.</w:t>
            </w:r>
          </w:p>
          <w:p w14:paraId="5040851C" w14:textId="77777777" w:rsidR="00554E93" w:rsidRPr="00554E93" w:rsidRDefault="00554E93" w:rsidP="00554E93">
            <w:pPr>
              <w:spacing w:line="360" w:lineRule="auto"/>
              <w:jc w:val="both"/>
              <w:rPr>
                <w:rFonts w:ascii="Times New Roman" w:hAnsi="Times New Roman"/>
              </w:rPr>
            </w:pPr>
            <w:r w:rsidRPr="00554E93">
              <w:rPr>
                <w:rFonts w:ascii="Times New Roman" w:hAnsi="Times New Roman"/>
              </w:rPr>
              <w:t>3. After the COVID-19 situation, the people will be habituated with private cars rather than public due to a sudden shift in their lifestyle. It indicates potential market expansion and industry upward trend.</w:t>
            </w:r>
          </w:p>
        </w:tc>
      </w:tr>
      <w:tr w:rsidR="00554E93" w:rsidRPr="00554E93" w14:paraId="2E0CACF3" w14:textId="77777777" w:rsidTr="00554E93">
        <w:tc>
          <w:tcPr>
            <w:tcW w:w="1426" w:type="dxa"/>
            <w:tcBorders>
              <w:top w:val="single" w:sz="4" w:space="0" w:color="auto"/>
              <w:left w:val="single" w:sz="4" w:space="0" w:color="auto"/>
              <w:bottom w:val="single" w:sz="4" w:space="0" w:color="auto"/>
              <w:right w:val="single" w:sz="4" w:space="0" w:color="auto"/>
            </w:tcBorders>
            <w:hideMark/>
          </w:tcPr>
          <w:p w14:paraId="5A417258" w14:textId="77777777" w:rsidR="00554E93" w:rsidRPr="00554E93" w:rsidRDefault="00554E93" w:rsidP="00554E93">
            <w:pPr>
              <w:spacing w:line="360" w:lineRule="auto"/>
              <w:jc w:val="both"/>
              <w:rPr>
                <w:rFonts w:ascii="Times New Roman" w:hAnsi="Times New Roman"/>
                <w:b/>
                <w:color w:val="0070C0"/>
              </w:rPr>
            </w:pPr>
            <w:r w:rsidRPr="00554E93">
              <w:rPr>
                <w:rFonts w:ascii="Times New Roman" w:hAnsi="Times New Roman"/>
                <w:b/>
                <w:color w:val="0070C0"/>
              </w:rPr>
              <w:t>Threats</w:t>
            </w:r>
          </w:p>
        </w:tc>
        <w:tc>
          <w:tcPr>
            <w:tcW w:w="8019" w:type="dxa"/>
            <w:tcBorders>
              <w:top w:val="single" w:sz="4" w:space="0" w:color="auto"/>
              <w:left w:val="single" w:sz="4" w:space="0" w:color="auto"/>
              <w:bottom w:val="single" w:sz="4" w:space="0" w:color="auto"/>
              <w:right w:val="single" w:sz="4" w:space="0" w:color="auto"/>
            </w:tcBorders>
            <w:hideMark/>
          </w:tcPr>
          <w:p w14:paraId="1BCC7C0D" w14:textId="77777777" w:rsidR="00554E93" w:rsidRPr="00554E93" w:rsidRDefault="00554E93" w:rsidP="00554E93">
            <w:pPr>
              <w:spacing w:line="360" w:lineRule="auto"/>
              <w:jc w:val="both"/>
              <w:rPr>
                <w:rFonts w:ascii="Times New Roman" w:hAnsi="Times New Roman"/>
              </w:rPr>
            </w:pPr>
            <w:r w:rsidRPr="00554E93">
              <w:rPr>
                <w:rFonts w:ascii="Times New Roman" w:hAnsi="Times New Roman"/>
              </w:rPr>
              <w:t xml:space="preserve">1. </w:t>
            </w:r>
            <w:proofErr w:type="gramStart"/>
            <w:r w:rsidRPr="00554E93">
              <w:rPr>
                <w:rFonts w:ascii="Times New Roman" w:hAnsi="Times New Roman"/>
              </w:rPr>
              <w:t>As long as</w:t>
            </w:r>
            <w:proofErr w:type="gramEnd"/>
            <w:r w:rsidRPr="00554E93">
              <w:rPr>
                <w:rFonts w:ascii="Times New Roman" w:hAnsi="Times New Roman"/>
              </w:rPr>
              <w:t xml:space="preserve"> the car companies in the UK cannot start manufacturing electric cars, fuel prices will make the sufferer of this industry.</w:t>
            </w:r>
          </w:p>
          <w:p w14:paraId="0EBFCFA6" w14:textId="77777777" w:rsidR="00554E93" w:rsidRPr="00554E93" w:rsidRDefault="00554E93" w:rsidP="00554E93">
            <w:pPr>
              <w:spacing w:line="360" w:lineRule="auto"/>
              <w:jc w:val="both"/>
              <w:rPr>
                <w:rFonts w:ascii="Times New Roman" w:hAnsi="Times New Roman"/>
              </w:rPr>
            </w:pPr>
            <w:r w:rsidRPr="00554E93">
              <w:rPr>
                <w:rFonts w:ascii="Times New Roman" w:hAnsi="Times New Roman"/>
              </w:rPr>
              <w:t xml:space="preserve">2. Since the country is sluggish due to lower interest rates and national income, players in this industry will wipe out due to recession, unemployment, and competition at an aggressive level </w:t>
            </w:r>
            <w:r w:rsidRPr="00554E93">
              <w:rPr>
                <w:rFonts w:ascii="Times New Roman" w:hAnsi="Times New Roman"/>
                <w:sz w:val="24"/>
              </w:rPr>
              <w:t>(</w:t>
            </w:r>
            <w:proofErr w:type="spellStart"/>
            <w:r w:rsidRPr="00554E93">
              <w:rPr>
                <w:rFonts w:ascii="Times New Roman" w:hAnsi="Times New Roman"/>
                <w:sz w:val="24"/>
              </w:rPr>
              <w:t>Bekker</w:t>
            </w:r>
            <w:proofErr w:type="spellEnd"/>
            <w:r w:rsidRPr="00554E93">
              <w:rPr>
                <w:rFonts w:ascii="Times New Roman" w:hAnsi="Times New Roman"/>
                <w:sz w:val="24"/>
              </w:rPr>
              <w:t>, 2020)</w:t>
            </w:r>
            <w:r w:rsidRPr="00554E93">
              <w:rPr>
                <w:rFonts w:ascii="Times New Roman" w:hAnsi="Times New Roman"/>
              </w:rPr>
              <w:t xml:space="preserve">. </w:t>
            </w:r>
          </w:p>
          <w:p w14:paraId="6F8DCD5F" w14:textId="77777777" w:rsidR="00554E93" w:rsidRPr="00554E93" w:rsidRDefault="00554E93" w:rsidP="00554E93">
            <w:pPr>
              <w:spacing w:line="360" w:lineRule="auto"/>
              <w:jc w:val="both"/>
              <w:rPr>
                <w:rFonts w:ascii="Times New Roman" w:hAnsi="Times New Roman"/>
              </w:rPr>
            </w:pPr>
            <w:r w:rsidRPr="00554E93">
              <w:rPr>
                <w:rFonts w:ascii="Times New Roman" w:hAnsi="Times New Roman"/>
              </w:rPr>
              <w:t xml:space="preserve">3. If the pandemic situation continues for a long time, this sector is likely to face the massive downturn in demand, production, cost structure, and portability.  </w:t>
            </w:r>
          </w:p>
        </w:tc>
      </w:tr>
    </w:tbl>
    <w:p w14:paraId="3753AE6F" w14:textId="77777777" w:rsidR="00554E93" w:rsidRPr="00554E93" w:rsidRDefault="00554E93" w:rsidP="00554E93">
      <w:pPr>
        <w:spacing w:after="200" w:line="360" w:lineRule="auto"/>
        <w:jc w:val="both"/>
        <w:rPr>
          <w:rFonts w:ascii="Times New Roman" w:eastAsia="Calibri" w:hAnsi="Times New Roman" w:cs="Times New Roman"/>
          <w:sz w:val="24"/>
          <w:lang w:val="en-US"/>
        </w:rPr>
      </w:pPr>
    </w:p>
    <w:p w14:paraId="2057AF18" w14:textId="77777777" w:rsidR="00554E93" w:rsidRPr="00554E93" w:rsidRDefault="00554E93" w:rsidP="00554E93">
      <w:pPr>
        <w:spacing w:after="200" w:line="360" w:lineRule="auto"/>
        <w:jc w:val="both"/>
        <w:rPr>
          <w:rFonts w:ascii="Times New Roman" w:eastAsia="Calibri" w:hAnsi="Times New Roman" w:cs="Times New Roman"/>
          <w:sz w:val="24"/>
          <w:lang w:val="en-US"/>
        </w:rPr>
      </w:pPr>
    </w:p>
    <w:p w14:paraId="5EE4EC3B" w14:textId="77777777" w:rsidR="00554E93" w:rsidRPr="00554E93" w:rsidRDefault="00554E93" w:rsidP="00554E93">
      <w:pPr>
        <w:keepNext/>
        <w:keepLines/>
        <w:spacing w:before="240" w:after="0" w:line="360" w:lineRule="auto"/>
        <w:jc w:val="both"/>
        <w:outlineLvl w:val="0"/>
        <w:rPr>
          <w:rFonts w:ascii="Times New Roman" w:eastAsia="Times New Roman" w:hAnsi="Times New Roman" w:cs="Times New Roman"/>
          <w:b/>
          <w:color w:val="0070C0"/>
          <w:sz w:val="32"/>
          <w:szCs w:val="32"/>
          <w:lang w:val="en-US"/>
        </w:rPr>
      </w:pPr>
      <w:bookmarkStart w:id="16" w:name="_Toc48692044"/>
      <w:r w:rsidRPr="00554E93">
        <w:rPr>
          <w:rFonts w:ascii="Times New Roman" w:eastAsia="Times New Roman" w:hAnsi="Times New Roman" w:cs="Times New Roman"/>
          <w:b/>
          <w:color w:val="0070C0"/>
          <w:sz w:val="32"/>
          <w:szCs w:val="32"/>
          <w:lang w:val="en-US"/>
        </w:rPr>
        <w:t>Conclusion</w:t>
      </w:r>
      <w:bookmarkEnd w:id="16"/>
      <w:r w:rsidRPr="00554E93">
        <w:rPr>
          <w:rFonts w:ascii="Times New Roman" w:eastAsia="Times New Roman" w:hAnsi="Times New Roman" w:cs="Times New Roman"/>
          <w:b/>
          <w:color w:val="0070C0"/>
          <w:sz w:val="32"/>
          <w:szCs w:val="32"/>
          <w:lang w:val="en-US"/>
        </w:rPr>
        <w:t xml:space="preserve"> </w:t>
      </w:r>
    </w:p>
    <w:p w14:paraId="0F477C56" w14:textId="77777777" w:rsidR="00554E93" w:rsidRPr="00554E93" w:rsidRDefault="00554E93" w:rsidP="00554E93">
      <w:pPr>
        <w:spacing w:after="200" w:line="360" w:lineRule="auto"/>
        <w:jc w:val="both"/>
        <w:rPr>
          <w:rFonts w:ascii="Times New Roman" w:eastAsia="Calibri" w:hAnsi="Times New Roman" w:cs="Times New Roman"/>
          <w:sz w:val="24"/>
          <w:lang w:val="en-US"/>
        </w:rPr>
      </w:pPr>
      <w:r w:rsidRPr="00554E93">
        <w:rPr>
          <w:rFonts w:ascii="Times New Roman" w:eastAsia="Calibri" w:hAnsi="Times New Roman" w:cs="Times New Roman"/>
          <w:sz w:val="24"/>
          <w:lang w:val="en-US"/>
        </w:rPr>
        <w:t xml:space="preserve">In the age of globalization and its effect, the businesses have become more customer-centric, innovative, and difficult (Mohamed, 2015). With the presence of domestic and foreign </w:t>
      </w:r>
      <w:r w:rsidRPr="00554E93">
        <w:rPr>
          <w:rFonts w:ascii="Times New Roman" w:eastAsia="Calibri" w:hAnsi="Times New Roman" w:cs="Times New Roman"/>
          <w:sz w:val="24"/>
          <w:lang w:val="en-US"/>
        </w:rPr>
        <w:lastRenderedPageBreak/>
        <w:t>manufacturers, the business environment has become more agile for which it is necessary to observe the internal and external environment of the business cautiously. This report illustrated the business environment of the car industry in the United Kingdom. The first phase of the report revealed the external environmental analysis of car industry using PESTEL framework which evidenced that the UK had a mild political risk, good economic opportunities for can manufacturers due to lower interest rate, favorable socio-cultural, technological and legal base for car manufacturers, however a strict environmental practices overseas. The second phase demonstrated the competitive positioning of the industry using Porter's five forces model which indicated the industry fragmentation with aggressive competitiveness. The final portion of the report evaluated the opportunities and threats of this industry using SWOT analysis which effectively evidenced the potential of the industry while it might face situational threats for pandemic as well as many other economic downturns.</w:t>
      </w:r>
    </w:p>
    <w:p w14:paraId="4479AE1B" w14:textId="77777777" w:rsidR="00554E93" w:rsidRPr="00554E93" w:rsidRDefault="00554E93" w:rsidP="00554E93">
      <w:pPr>
        <w:spacing w:after="200" w:line="360" w:lineRule="auto"/>
        <w:jc w:val="both"/>
        <w:rPr>
          <w:rFonts w:ascii="Times New Roman" w:eastAsia="Calibri" w:hAnsi="Times New Roman" w:cs="Times New Roman"/>
          <w:sz w:val="24"/>
          <w:lang w:val="en-US"/>
        </w:rPr>
      </w:pPr>
    </w:p>
    <w:p w14:paraId="0B192ADD" w14:textId="77777777" w:rsidR="00554E93" w:rsidRPr="00554E93" w:rsidRDefault="00554E93" w:rsidP="00554E93">
      <w:pPr>
        <w:spacing w:after="200" w:line="360" w:lineRule="auto"/>
        <w:jc w:val="both"/>
        <w:rPr>
          <w:rFonts w:ascii="Times New Roman" w:eastAsia="Calibri" w:hAnsi="Times New Roman" w:cs="Times New Roman"/>
          <w:sz w:val="24"/>
          <w:lang w:val="en-US"/>
        </w:rPr>
      </w:pPr>
    </w:p>
    <w:p w14:paraId="5F8E06B9" w14:textId="77777777" w:rsidR="00554E93" w:rsidRPr="00554E93" w:rsidRDefault="00554E93" w:rsidP="00554E93">
      <w:pPr>
        <w:spacing w:after="200" w:line="360" w:lineRule="auto"/>
        <w:jc w:val="both"/>
        <w:rPr>
          <w:rFonts w:ascii="Times New Roman" w:eastAsia="Calibri" w:hAnsi="Times New Roman" w:cs="Times New Roman"/>
          <w:sz w:val="24"/>
          <w:lang w:val="en-US"/>
        </w:rPr>
      </w:pPr>
    </w:p>
    <w:p w14:paraId="66A4C803" w14:textId="77777777" w:rsidR="00554E93" w:rsidRPr="00554E93" w:rsidRDefault="00554E93" w:rsidP="00554E93">
      <w:pPr>
        <w:spacing w:after="200" w:line="360" w:lineRule="auto"/>
        <w:jc w:val="both"/>
        <w:rPr>
          <w:rFonts w:ascii="Times New Roman" w:eastAsia="Calibri" w:hAnsi="Times New Roman" w:cs="Times New Roman"/>
          <w:sz w:val="24"/>
          <w:lang w:val="en-US"/>
        </w:rPr>
      </w:pPr>
    </w:p>
    <w:p w14:paraId="5A9A0F01" w14:textId="77777777" w:rsidR="00554E93" w:rsidRPr="00554E93" w:rsidRDefault="00554E93" w:rsidP="00554E93">
      <w:pPr>
        <w:spacing w:after="200" w:line="360" w:lineRule="auto"/>
        <w:jc w:val="both"/>
        <w:rPr>
          <w:rFonts w:ascii="Times New Roman" w:eastAsia="Calibri" w:hAnsi="Times New Roman" w:cs="Times New Roman"/>
          <w:sz w:val="24"/>
          <w:lang w:val="en-US"/>
        </w:rPr>
      </w:pPr>
    </w:p>
    <w:p w14:paraId="633E7320" w14:textId="77777777" w:rsidR="00554E93" w:rsidRPr="00554E93" w:rsidRDefault="00554E93" w:rsidP="00554E93">
      <w:pPr>
        <w:spacing w:after="200" w:line="276" w:lineRule="auto"/>
        <w:rPr>
          <w:rFonts w:ascii="Times New Roman" w:eastAsia="Calibri" w:hAnsi="Times New Roman" w:cs="Times New Roman"/>
          <w:sz w:val="24"/>
          <w:lang w:val="en-US"/>
        </w:rPr>
      </w:pPr>
      <w:r w:rsidRPr="00554E93">
        <w:rPr>
          <w:rFonts w:ascii="Times New Roman" w:eastAsia="Calibri" w:hAnsi="Times New Roman" w:cs="Times New Roman"/>
          <w:sz w:val="24"/>
          <w:lang w:val="en-US"/>
        </w:rPr>
        <w:br w:type="page"/>
      </w:r>
    </w:p>
    <w:p w14:paraId="6DD383B0" w14:textId="77777777" w:rsidR="00554E93" w:rsidRPr="00554E93" w:rsidRDefault="00554E93" w:rsidP="00554E93">
      <w:pPr>
        <w:keepNext/>
        <w:keepLines/>
        <w:spacing w:before="240" w:after="0" w:line="360" w:lineRule="auto"/>
        <w:jc w:val="both"/>
        <w:outlineLvl w:val="0"/>
        <w:rPr>
          <w:rFonts w:ascii="Times New Roman" w:eastAsia="Times New Roman" w:hAnsi="Times New Roman" w:cs="Times New Roman"/>
          <w:b/>
          <w:color w:val="0070C0"/>
          <w:sz w:val="32"/>
          <w:szCs w:val="32"/>
          <w:lang w:val="en-US"/>
        </w:rPr>
      </w:pPr>
      <w:bookmarkStart w:id="17" w:name="_Toc48692045"/>
      <w:r w:rsidRPr="00554E93">
        <w:rPr>
          <w:rFonts w:ascii="Times New Roman" w:eastAsia="Times New Roman" w:hAnsi="Times New Roman" w:cs="Times New Roman"/>
          <w:b/>
          <w:color w:val="0070C0"/>
          <w:sz w:val="32"/>
          <w:szCs w:val="32"/>
          <w:lang w:val="en-US"/>
        </w:rPr>
        <w:lastRenderedPageBreak/>
        <w:t>References</w:t>
      </w:r>
      <w:bookmarkEnd w:id="17"/>
      <w:r w:rsidRPr="00554E93">
        <w:rPr>
          <w:rFonts w:ascii="Times New Roman" w:eastAsia="Times New Roman" w:hAnsi="Times New Roman" w:cs="Times New Roman"/>
          <w:b/>
          <w:color w:val="0070C0"/>
          <w:sz w:val="32"/>
          <w:szCs w:val="32"/>
          <w:lang w:val="en-US"/>
        </w:rPr>
        <w:t xml:space="preserve"> </w:t>
      </w:r>
    </w:p>
    <w:p w14:paraId="666FFACF"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BBC News. 2020. </w:t>
      </w:r>
      <w:r w:rsidRPr="00554E93">
        <w:rPr>
          <w:rFonts w:ascii="Times New Roman" w:eastAsia="Times New Roman" w:hAnsi="Times New Roman" w:cs="Times New Roman"/>
          <w:i/>
          <w:iCs/>
          <w:color w:val="000000"/>
          <w:sz w:val="24"/>
          <w:szCs w:val="27"/>
          <w:lang w:val="en-US"/>
        </w:rPr>
        <w:t xml:space="preserve">Five Reasons </w:t>
      </w:r>
      <w:proofErr w:type="gramStart"/>
      <w:r w:rsidRPr="00554E93">
        <w:rPr>
          <w:rFonts w:ascii="Times New Roman" w:eastAsia="Times New Roman" w:hAnsi="Times New Roman" w:cs="Times New Roman"/>
          <w:i/>
          <w:iCs/>
          <w:color w:val="000000"/>
          <w:sz w:val="24"/>
          <w:szCs w:val="27"/>
          <w:lang w:val="en-US"/>
        </w:rPr>
        <w:t>The</w:t>
      </w:r>
      <w:proofErr w:type="gramEnd"/>
      <w:r w:rsidRPr="00554E93">
        <w:rPr>
          <w:rFonts w:ascii="Times New Roman" w:eastAsia="Times New Roman" w:hAnsi="Times New Roman" w:cs="Times New Roman"/>
          <w:i/>
          <w:iCs/>
          <w:color w:val="000000"/>
          <w:sz w:val="24"/>
          <w:szCs w:val="27"/>
          <w:lang w:val="en-US"/>
        </w:rPr>
        <w:t xml:space="preserve"> Car Industry Is Struggling</w:t>
      </w:r>
      <w:r w:rsidRPr="00554E93">
        <w:rPr>
          <w:rFonts w:ascii="Times New Roman" w:eastAsia="Times New Roman" w:hAnsi="Times New Roman" w:cs="Times New Roman"/>
          <w:color w:val="000000"/>
          <w:sz w:val="24"/>
          <w:szCs w:val="27"/>
          <w:lang w:val="en-US"/>
        </w:rPr>
        <w:t>. [online] Available at: &lt;https://www.bbc.com/news/business-48545733&gt; [Accessed 18 August 2020].</w:t>
      </w:r>
    </w:p>
    <w:p w14:paraId="70F5CB69"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proofErr w:type="spellStart"/>
      <w:r w:rsidRPr="00554E93">
        <w:rPr>
          <w:rFonts w:ascii="Times New Roman" w:eastAsia="Times New Roman" w:hAnsi="Times New Roman" w:cs="Times New Roman"/>
          <w:color w:val="000000"/>
          <w:sz w:val="24"/>
          <w:szCs w:val="27"/>
          <w:lang w:val="en-US"/>
        </w:rPr>
        <w:t>Bekker</w:t>
      </w:r>
      <w:proofErr w:type="spellEnd"/>
      <w:r w:rsidRPr="00554E93">
        <w:rPr>
          <w:rFonts w:ascii="Times New Roman" w:eastAsia="Times New Roman" w:hAnsi="Times New Roman" w:cs="Times New Roman"/>
          <w:color w:val="000000"/>
          <w:sz w:val="24"/>
          <w:szCs w:val="27"/>
          <w:lang w:val="en-US"/>
        </w:rPr>
        <w:t>, H., 2020. </w:t>
      </w:r>
      <w:r w:rsidRPr="00554E93">
        <w:rPr>
          <w:rFonts w:ascii="Times New Roman" w:eastAsia="Times New Roman" w:hAnsi="Times New Roman" w:cs="Times New Roman"/>
          <w:i/>
          <w:iCs/>
          <w:color w:val="000000"/>
          <w:sz w:val="24"/>
          <w:szCs w:val="27"/>
          <w:lang w:val="en-US"/>
        </w:rPr>
        <w:t xml:space="preserve">2019 (Full Year) Britain: New Car Market Overview </w:t>
      </w:r>
      <w:proofErr w:type="gramStart"/>
      <w:r w:rsidRPr="00554E93">
        <w:rPr>
          <w:rFonts w:ascii="Times New Roman" w:eastAsia="Times New Roman" w:hAnsi="Times New Roman" w:cs="Times New Roman"/>
          <w:i/>
          <w:iCs/>
          <w:color w:val="000000"/>
          <w:sz w:val="24"/>
          <w:szCs w:val="27"/>
          <w:lang w:val="en-US"/>
        </w:rPr>
        <w:t>And</w:t>
      </w:r>
      <w:proofErr w:type="gramEnd"/>
      <w:r w:rsidRPr="00554E93">
        <w:rPr>
          <w:rFonts w:ascii="Times New Roman" w:eastAsia="Times New Roman" w:hAnsi="Times New Roman" w:cs="Times New Roman"/>
          <w:i/>
          <w:iCs/>
          <w:color w:val="000000"/>
          <w:sz w:val="24"/>
          <w:szCs w:val="27"/>
          <w:lang w:val="en-US"/>
        </w:rPr>
        <w:t xml:space="preserve"> Analysis - Car Sales Statistics</w:t>
      </w:r>
      <w:r w:rsidRPr="00554E93">
        <w:rPr>
          <w:rFonts w:ascii="Times New Roman" w:eastAsia="Times New Roman" w:hAnsi="Times New Roman" w:cs="Times New Roman"/>
          <w:color w:val="000000"/>
          <w:sz w:val="24"/>
          <w:szCs w:val="27"/>
          <w:lang w:val="en-US"/>
        </w:rPr>
        <w:t>. [online] Car Sales Statistics. Available at: &lt;https://www.best-selling-cars.com/britain-uk/2019-full-year-britain-new-car-market-overview-and-analysis/&gt; [Accessed 18 August 2020].</w:t>
      </w:r>
    </w:p>
    <w:p w14:paraId="208970C9"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Data.worldbank.org. 2020. </w:t>
      </w:r>
      <w:r w:rsidRPr="00554E93">
        <w:rPr>
          <w:rFonts w:ascii="Times New Roman" w:eastAsia="Times New Roman" w:hAnsi="Times New Roman" w:cs="Times New Roman"/>
          <w:i/>
          <w:iCs/>
          <w:color w:val="000000"/>
          <w:sz w:val="24"/>
          <w:szCs w:val="27"/>
          <w:lang w:val="en-US"/>
        </w:rPr>
        <w:t>GDP Growth (Annual %) - United Kingdom | Data</w:t>
      </w:r>
      <w:r w:rsidRPr="00554E93">
        <w:rPr>
          <w:rFonts w:ascii="Times New Roman" w:eastAsia="Times New Roman" w:hAnsi="Times New Roman" w:cs="Times New Roman"/>
          <w:color w:val="000000"/>
          <w:sz w:val="24"/>
          <w:szCs w:val="27"/>
          <w:lang w:val="en-US"/>
        </w:rPr>
        <w:t>. [online] Available at: &lt;https://data.worldbank.org/indicator/NY.GDP.MKTP.KD.ZG?end=2019&amp;locations=GB&amp;start=2010&amp;view=chart&gt; [Accessed 18 August 2020].</w:t>
      </w:r>
    </w:p>
    <w:p w14:paraId="53B88963"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Great.gov.uk. 2020. </w:t>
      </w:r>
      <w:r w:rsidRPr="00554E93">
        <w:rPr>
          <w:rFonts w:ascii="Times New Roman" w:eastAsia="Times New Roman" w:hAnsi="Times New Roman" w:cs="Times New Roman"/>
          <w:i/>
          <w:iCs/>
          <w:color w:val="000000"/>
          <w:sz w:val="24"/>
          <w:szCs w:val="27"/>
          <w:lang w:val="en-US"/>
        </w:rPr>
        <w:t xml:space="preserve">Research And Development (R&amp;D) Support In The UK - </w:t>
      </w:r>
      <w:proofErr w:type="gramStart"/>
      <w:r w:rsidRPr="00554E93">
        <w:rPr>
          <w:rFonts w:ascii="Times New Roman" w:eastAsia="Times New Roman" w:hAnsi="Times New Roman" w:cs="Times New Roman"/>
          <w:i/>
          <w:iCs/>
          <w:color w:val="000000"/>
          <w:sz w:val="24"/>
          <w:szCs w:val="27"/>
          <w:lang w:val="en-US"/>
        </w:rPr>
        <w:t>Great.Gov.Uk</w:t>
      </w:r>
      <w:proofErr w:type="gramEnd"/>
      <w:r w:rsidRPr="00554E93">
        <w:rPr>
          <w:rFonts w:ascii="Times New Roman" w:eastAsia="Times New Roman" w:hAnsi="Times New Roman" w:cs="Times New Roman"/>
          <w:i/>
          <w:iCs/>
          <w:color w:val="000000"/>
          <w:sz w:val="24"/>
          <w:szCs w:val="27"/>
          <w:lang w:val="en-US"/>
        </w:rPr>
        <w:t xml:space="preserve"> International</w:t>
      </w:r>
      <w:r w:rsidRPr="00554E93">
        <w:rPr>
          <w:rFonts w:ascii="Times New Roman" w:eastAsia="Times New Roman" w:hAnsi="Times New Roman" w:cs="Times New Roman"/>
          <w:color w:val="000000"/>
          <w:sz w:val="24"/>
          <w:szCs w:val="27"/>
          <w:lang w:val="en-US"/>
        </w:rPr>
        <w:t>. [online] Available at: &lt;https://www.great.gov.uk/international/content/invest/how-to-setup-in-the-uk/research-and-development-rd-support-in-the-uk/&gt; [Accessed 18 August 2020].</w:t>
      </w:r>
    </w:p>
    <w:p w14:paraId="697B87E9"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Just-auto.com. 2020. </w:t>
      </w:r>
      <w:r w:rsidRPr="00554E93">
        <w:rPr>
          <w:rFonts w:ascii="Times New Roman" w:eastAsia="Times New Roman" w:hAnsi="Times New Roman" w:cs="Times New Roman"/>
          <w:i/>
          <w:iCs/>
          <w:color w:val="000000"/>
          <w:sz w:val="24"/>
          <w:szCs w:val="27"/>
          <w:lang w:val="en-US"/>
        </w:rPr>
        <w:t>UK Car Market Down 2.4% In 2019</w:t>
      </w:r>
      <w:r w:rsidRPr="00554E93">
        <w:rPr>
          <w:rFonts w:ascii="Times New Roman" w:eastAsia="Times New Roman" w:hAnsi="Times New Roman" w:cs="Times New Roman"/>
          <w:color w:val="000000"/>
          <w:sz w:val="24"/>
          <w:szCs w:val="27"/>
          <w:lang w:val="en-US"/>
        </w:rPr>
        <w:t>. [online] Available at: &lt;https://www.just-auto.com/news/uk-car-market-down-24-in-2019_id192838.aspx&gt; [Accessed 18 August 2020].</w:t>
      </w:r>
    </w:p>
    <w:p w14:paraId="4319D388"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proofErr w:type="spellStart"/>
      <w:r w:rsidRPr="00554E93">
        <w:rPr>
          <w:rFonts w:ascii="Times New Roman" w:eastAsia="Times New Roman" w:hAnsi="Times New Roman" w:cs="Times New Roman"/>
          <w:color w:val="000000"/>
          <w:sz w:val="24"/>
          <w:szCs w:val="27"/>
          <w:lang w:val="en-US"/>
        </w:rPr>
        <w:t>Knowledge@Wharton</w:t>
      </w:r>
      <w:proofErr w:type="spellEnd"/>
      <w:r w:rsidRPr="00554E93">
        <w:rPr>
          <w:rFonts w:ascii="Times New Roman" w:eastAsia="Times New Roman" w:hAnsi="Times New Roman" w:cs="Times New Roman"/>
          <w:color w:val="000000"/>
          <w:sz w:val="24"/>
          <w:szCs w:val="27"/>
          <w:lang w:val="en-US"/>
        </w:rPr>
        <w:t>. 2020. </w:t>
      </w:r>
      <w:r w:rsidRPr="00554E93">
        <w:rPr>
          <w:rFonts w:ascii="Times New Roman" w:eastAsia="Times New Roman" w:hAnsi="Times New Roman" w:cs="Times New Roman"/>
          <w:i/>
          <w:iCs/>
          <w:color w:val="000000"/>
          <w:sz w:val="24"/>
          <w:szCs w:val="27"/>
          <w:lang w:val="en-US"/>
        </w:rPr>
        <w:t xml:space="preserve">Why </w:t>
      </w:r>
      <w:proofErr w:type="gramStart"/>
      <w:r w:rsidRPr="00554E93">
        <w:rPr>
          <w:rFonts w:ascii="Times New Roman" w:eastAsia="Times New Roman" w:hAnsi="Times New Roman" w:cs="Times New Roman"/>
          <w:i/>
          <w:iCs/>
          <w:color w:val="000000"/>
          <w:sz w:val="24"/>
          <w:szCs w:val="27"/>
          <w:lang w:val="en-US"/>
        </w:rPr>
        <w:t>The</w:t>
      </w:r>
      <w:proofErr w:type="gramEnd"/>
      <w:r w:rsidRPr="00554E93">
        <w:rPr>
          <w:rFonts w:ascii="Times New Roman" w:eastAsia="Times New Roman" w:hAnsi="Times New Roman" w:cs="Times New Roman"/>
          <w:i/>
          <w:iCs/>
          <w:color w:val="000000"/>
          <w:sz w:val="24"/>
          <w:szCs w:val="27"/>
          <w:lang w:val="en-US"/>
        </w:rPr>
        <w:t xml:space="preserve"> U.K. Auto Industry Is Stalling Over Brexit Risks - </w:t>
      </w:r>
      <w:proofErr w:type="spellStart"/>
      <w:r w:rsidRPr="00554E93">
        <w:rPr>
          <w:rFonts w:ascii="Times New Roman" w:eastAsia="Times New Roman" w:hAnsi="Times New Roman" w:cs="Times New Roman"/>
          <w:i/>
          <w:iCs/>
          <w:color w:val="000000"/>
          <w:sz w:val="24"/>
          <w:szCs w:val="27"/>
          <w:lang w:val="en-US"/>
        </w:rPr>
        <w:t>Knowledge@Wharton</w:t>
      </w:r>
      <w:proofErr w:type="spellEnd"/>
      <w:r w:rsidRPr="00554E93">
        <w:rPr>
          <w:rFonts w:ascii="Times New Roman" w:eastAsia="Times New Roman" w:hAnsi="Times New Roman" w:cs="Times New Roman"/>
          <w:color w:val="000000"/>
          <w:sz w:val="24"/>
          <w:szCs w:val="27"/>
          <w:lang w:val="en-US"/>
        </w:rPr>
        <w:t>. [online] Available at: &lt;https://knowledge.wharton.upenn.edu/article/brexit-auto-industry/&gt; [Accessed 18 August 2020].</w:t>
      </w:r>
    </w:p>
    <w:p w14:paraId="50D4D2BC"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Mohamed, A., 2015. The international business environment: a proposed analytical framework. </w:t>
      </w:r>
      <w:r w:rsidRPr="00554E93">
        <w:rPr>
          <w:rFonts w:ascii="Times New Roman" w:eastAsia="Times New Roman" w:hAnsi="Times New Roman" w:cs="Times New Roman"/>
          <w:i/>
          <w:iCs/>
          <w:color w:val="000000"/>
          <w:sz w:val="24"/>
          <w:szCs w:val="27"/>
          <w:lang w:val="en-US"/>
        </w:rPr>
        <w:t>International Journal of Business Environment</w:t>
      </w:r>
      <w:r w:rsidRPr="00554E93">
        <w:rPr>
          <w:rFonts w:ascii="Times New Roman" w:eastAsia="Times New Roman" w:hAnsi="Times New Roman" w:cs="Times New Roman"/>
          <w:color w:val="000000"/>
          <w:sz w:val="24"/>
          <w:szCs w:val="27"/>
          <w:lang w:val="en-US"/>
        </w:rPr>
        <w:t>, 7(2), p.168.</w:t>
      </w:r>
    </w:p>
    <w:p w14:paraId="0FA55755"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Ons.gov.uk. 2020. </w:t>
      </w:r>
      <w:r w:rsidRPr="00554E93">
        <w:rPr>
          <w:rFonts w:ascii="Times New Roman" w:eastAsia="Times New Roman" w:hAnsi="Times New Roman" w:cs="Times New Roman"/>
          <w:i/>
          <w:iCs/>
          <w:color w:val="000000"/>
          <w:sz w:val="24"/>
          <w:szCs w:val="27"/>
          <w:lang w:val="en-US"/>
        </w:rPr>
        <w:t xml:space="preserve">Consumer Price Inflation, UK - Office </w:t>
      </w:r>
      <w:proofErr w:type="gramStart"/>
      <w:r w:rsidRPr="00554E93">
        <w:rPr>
          <w:rFonts w:ascii="Times New Roman" w:eastAsia="Times New Roman" w:hAnsi="Times New Roman" w:cs="Times New Roman"/>
          <w:i/>
          <w:iCs/>
          <w:color w:val="000000"/>
          <w:sz w:val="24"/>
          <w:szCs w:val="27"/>
          <w:lang w:val="en-US"/>
        </w:rPr>
        <w:t>For</w:t>
      </w:r>
      <w:proofErr w:type="gramEnd"/>
      <w:r w:rsidRPr="00554E93">
        <w:rPr>
          <w:rFonts w:ascii="Times New Roman" w:eastAsia="Times New Roman" w:hAnsi="Times New Roman" w:cs="Times New Roman"/>
          <w:i/>
          <w:iCs/>
          <w:color w:val="000000"/>
          <w:sz w:val="24"/>
          <w:szCs w:val="27"/>
          <w:lang w:val="en-US"/>
        </w:rPr>
        <w:t xml:space="preserve"> National Statistics</w:t>
      </w:r>
      <w:r w:rsidRPr="00554E93">
        <w:rPr>
          <w:rFonts w:ascii="Times New Roman" w:eastAsia="Times New Roman" w:hAnsi="Times New Roman" w:cs="Times New Roman"/>
          <w:color w:val="000000"/>
          <w:sz w:val="24"/>
          <w:szCs w:val="27"/>
          <w:lang w:val="en-US"/>
        </w:rPr>
        <w:t>. [online] Available at: &lt;https://www.ons.gov.uk/economy/inflationandpriceindices/bulletins/consumerpriceinflation/april2020#:~:text=1.,culture%20(0.31%20percentage%20points).&gt; [Accessed 18 August 2020].</w:t>
      </w:r>
    </w:p>
    <w:p w14:paraId="551413F8"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Pettinger, T., 2020. </w:t>
      </w:r>
      <w:r w:rsidRPr="00554E93">
        <w:rPr>
          <w:rFonts w:ascii="Times New Roman" w:eastAsia="Times New Roman" w:hAnsi="Times New Roman" w:cs="Times New Roman"/>
          <w:i/>
          <w:iCs/>
          <w:color w:val="000000"/>
          <w:sz w:val="24"/>
          <w:szCs w:val="27"/>
          <w:lang w:val="en-US"/>
        </w:rPr>
        <w:t>UK Monetary Policy - Economics Help</w:t>
      </w:r>
      <w:r w:rsidRPr="00554E93">
        <w:rPr>
          <w:rFonts w:ascii="Times New Roman" w:eastAsia="Times New Roman" w:hAnsi="Times New Roman" w:cs="Times New Roman"/>
          <w:color w:val="000000"/>
          <w:sz w:val="24"/>
          <w:szCs w:val="27"/>
          <w:lang w:val="en-US"/>
        </w:rPr>
        <w:t>. [online] Economics Help. Available at: &lt;https://www.economicshelp.org/macroeconomics/monetary-policy/&gt; [Accessed 18 August 2020].</w:t>
      </w:r>
    </w:p>
    <w:p w14:paraId="7E4F04DB"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Property Investment Project. 2020. </w:t>
      </w:r>
      <w:r w:rsidRPr="00554E93">
        <w:rPr>
          <w:rFonts w:ascii="Times New Roman" w:eastAsia="Times New Roman" w:hAnsi="Times New Roman" w:cs="Times New Roman"/>
          <w:i/>
          <w:iCs/>
          <w:color w:val="000000"/>
          <w:sz w:val="24"/>
          <w:szCs w:val="27"/>
          <w:lang w:val="en-US"/>
        </w:rPr>
        <w:t>UK Interest Rate History / Graph</w:t>
      </w:r>
      <w:r w:rsidRPr="00554E93">
        <w:rPr>
          <w:rFonts w:ascii="Times New Roman" w:eastAsia="Times New Roman" w:hAnsi="Times New Roman" w:cs="Times New Roman"/>
          <w:color w:val="000000"/>
          <w:sz w:val="24"/>
          <w:szCs w:val="27"/>
          <w:lang w:val="en-US"/>
        </w:rPr>
        <w:t>. [online] Available at: &lt;https://www.propertyinvestmentproject.co.uk/property-statistics/uk-interest-rate-history-graph/&gt; [Accessed 18 August 2020].</w:t>
      </w:r>
    </w:p>
    <w:p w14:paraId="387A37C0"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SMMT. 2020. </w:t>
      </w:r>
      <w:r w:rsidRPr="00554E93">
        <w:rPr>
          <w:rFonts w:ascii="Times New Roman" w:eastAsia="Times New Roman" w:hAnsi="Times New Roman" w:cs="Times New Roman"/>
          <w:i/>
          <w:iCs/>
          <w:color w:val="000000"/>
          <w:sz w:val="24"/>
          <w:szCs w:val="27"/>
          <w:lang w:val="en-US"/>
        </w:rPr>
        <w:t xml:space="preserve">SMMT | Supporting &amp; Promoting </w:t>
      </w:r>
      <w:proofErr w:type="gramStart"/>
      <w:r w:rsidRPr="00554E93">
        <w:rPr>
          <w:rFonts w:ascii="Times New Roman" w:eastAsia="Times New Roman" w:hAnsi="Times New Roman" w:cs="Times New Roman"/>
          <w:i/>
          <w:iCs/>
          <w:color w:val="000000"/>
          <w:sz w:val="24"/>
          <w:szCs w:val="27"/>
          <w:lang w:val="en-US"/>
        </w:rPr>
        <w:t>The</w:t>
      </w:r>
      <w:proofErr w:type="gramEnd"/>
      <w:r w:rsidRPr="00554E93">
        <w:rPr>
          <w:rFonts w:ascii="Times New Roman" w:eastAsia="Times New Roman" w:hAnsi="Times New Roman" w:cs="Times New Roman"/>
          <w:i/>
          <w:iCs/>
          <w:color w:val="000000"/>
          <w:sz w:val="24"/>
          <w:szCs w:val="27"/>
          <w:lang w:val="en-US"/>
        </w:rPr>
        <w:t xml:space="preserve"> UK Automotive Industry</w:t>
      </w:r>
      <w:r w:rsidRPr="00554E93">
        <w:rPr>
          <w:rFonts w:ascii="Times New Roman" w:eastAsia="Times New Roman" w:hAnsi="Times New Roman" w:cs="Times New Roman"/>
          <w:color w:val="000000"/>
          <w:sz w:val="24"/>
          <w:szCs w:val="27"/>
          <w:lang w:val="en-US"/>
        </w:rPr>
        <w:t>. [online] Available at: &lt;https://www.smmt.co.uk&gt; [Accessed 18 August 2020].</w:t>
      </w:r>
    </w:p>
    <w:p w14:paraId="43B993B2"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Statista. 2020. </w:t>
      </w:r>
      <w:r w:rsidRPr="00554E93">
        <w:rPr>
          <w:rFonts w:ascii="Times New Roman" w:eastAsia="Times New Roman" w:hAnsi="Times New Roman" w:cs="Times New Roman"/>
          <w:i/>
          <w:iCs/>
          <w:color w:val="000000"/>
          <w:sz w:val="24"/>
          <w:szCs w:val="27"/>
          <w:lang w:val="en-US"/>
        </w:rPr>
        <w:t xml:space="preserve">Car Brands' UK Market Share </w:t>
      </w:r>
      <w:proofErr w:type="gramStart"/>
      <w:r w:rsidRPr="00554E93">
        <w:rPr>
          <w:rFonts w:ascii="Times New Roman" w:eastAsia="Times New Roman" w:hAnsi="Times New Roman" w:cs="Times New Roman"/>
          <w:i/>
          <w:iCs/>
          <w:color w:val="000000"/>
          <w:sz w:val="24"/>
          <w:szCs w:val="27"/>
          <w:lang w:val="en-US"/>
        </w:rPr>
        <w:t>By</w:t>
      </w:r>
      <w:proofErr w:type="gramEnd"/>
      <w:r w:rsidRPr="00554E93">
        <w:rPr>
          <w:rFonts w:ascii="Times New Roman" w:eastAsia="Times New Roman" w:hAnsi="Times New Roman" w:cs="Times New Roman"/>
          <w:i/>
          <w:iCs/>
          <w:color w:val="000000"/>
          <w:sz w:val="24"/>
          <w:szCs w:val="27"/>
          <w:lang w:val="en-US"/>
        </w:rPr>
        <w:t xml:space="preserve"> Month 2020 | Statista</w:t>
      </w:r>
      <w:r w:rsidRPr="00554E93">
        <w:rPr>
          <w:rFonts w:ascii="Times New Roman" w:eastAsia="Times New Roman" w:hAnsi="Times New Roman" w:cs="Times New Roman"/>
          <w:color w:val="000000"/>
          <w:sz w:val="24"/>
          <w:szCs w:val="27"/>
          <w:lang w:val="en-US"/>
        </w:rPr>
        <w:t>. [online] Available at: &lt;https://www.statista.com/statistics/300467/leading-car-companies-market-share-in-the-united-kingdom/&gt; [Accessed 18 August 2020].</w:t>
      </w:r>
    </w:p>
    <w:p w14:paraId="4163F06D"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lastRenderedPageBreak/>
        <w:t>Statista. 2020. </w:t>
      </w:r>
      <w:r w:rsidRPr="00554E93">
        <w:rPr>
          <w:rFonts w:ascii="Times New Roman" w:eastAsia="Times New Roman" w:hAnsi="Times New Roman" w:cs="Times New Roman"/>
          <w:i/>
          <w:iCs/>
          <w:color w:val="000000"/>
          <w:sz w:val="24"/>
          <w:szCs w:val="27"/>
          <w:lang w:val="en-US"/>
        </w:rPr>
        <w:t xml:space="preserve">Top Countries </w:t>
      </w:r>
      <w:proofErr w:type="gramStart"/>
      <w:r w:rsidRPr="00554E93">
        <w:rPr>
          <w:rFonts w:ascii="Times New Roman" w:eastAsia="Times New Roman" w:hAnsi="Times New Roman" w:cs="Times New Roman"/>
          <w:i/>
          <w:iCs/>
          <w:color w:val="000000"/>
          <w:sz w:val="24"/>
          <w:szCs w:val="27"/>
          <w:lang w:val="en-US"/>
        </w:rPr>
        <w:t>By</w:t>
      </w:r>
      <w:proofErr w:type="gramEnd"/>
      <w:r w:rsidRPr="00554E93">
        <w:rPr>
          <w:rFonts w:ascii="Times New Roman" w:eastAsia="Times New Roman" w:hAnsi="Times New Roman" w:cs="Times New Roman"/>
          <w:i/>
          <w:iCs/>
          <w:color w:val="000000"/>
          <w:sz w:val="24"/>
          <w:szCs w:val="27"/>
          <w:lang w:val="en-US"/>
        </w:rPr>
        <w:t xml:space="preserve"> Gross R&amp;D Expenditure Worldwide 2019 | Statista</w:t>
      </w:r>
      <w:r w:rsidRPr="00554E93">
        <w:rPr>
          <w:rFonts w:ascii="Times New Roman" w:eastAsia="Times New Roman" w:hAnsi="Times New Roman" w:cs="Times New Roman"/>
          <w:color w:val="000000"/>
          <w:sz w:val="24"/>
          <w:szCs w:val="27"/>
          <w:lang w:val="en-US"/>
        </w:rPr>
        <w:t>. [online] Available at: &lt;https://www.statista.com/statistics/732247/worldwide-research-and-development-gross-expenditure-top-countries/&gt; [Accessed 18 August 2020].</w:t>
      </w:r>
    </w:p>
    <w:p w14:paraId="320B5A7E"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Tayeb, M., 2015. </w:t>
      </w:r>
      <w:r w:rsidRPr="00554E93">
        <w:rPr>
          <w:rFonts w:ascii="Times New Roman" w:eastAsia="Times New Roman" w:hAnsi="Times New Roman" w:cs="Times New Roman"/>
          <w:i/>
          <w:iCs/>
          <w:color w:val="000000"/>
          <w:sz w:val="24"/>
          <w:szCs w:val="27"/>
          <w:lang w:val="en-US"/>
        </w:rPr>
        <w:t>The Global Business Environment</w:t>
      </w:r>
      <w:r w:rsidRPr="00554E93">
        <w:rPr>
          <w:rFonts w:ascii="Times New Roman" w:eastAsia="Times New Roman" w:hAnsi="Times New Roman" w:cs="Times New Roman"/>
          <w:color w:val="000000"/>
          <w:sz w:val="24"/>
          <w:szCs w:val="27"/>
          <w:lang w:val="en-US"/>
        </w:rPr>
        <w:t>. London: Sage Publications.</w:t>
      </w:r>
    </w:p>
    <w:p w14:paraId="789B65E4" w14:textId="77777777" w:rsidR="00554E93" w:rsidRPr="00554E93" w:rsidRDefault="00554E93" w:rsidP="00554E93">
      <w:pPr>
        <w:spacing w:after="180" w:line="240" w:lineRule="auto"/>
        <w:ind w:left="450" w:hanging="450"/>
        <w:jc w:val="both"/>
        <w:rPr>
          <w:rFonts w:ascii="Times New Roman" w:eastAsia="Times New Roman" w:hAnsi="Times New Roman" w:cs="Times New Roman"/>
          <w:color w:val="000000"/>
          <w:sz w:val="24"/>
          <w:szCs w:val="27"/>
          <w:lang w:val="en-US"/>
        </w:rPr>
      </w:pPr>
      <w:r w:rsidRPr="00554E93">
        <w:rPr>
          <w:rFonts w:ascii="Times New Roman" w:eastAsia="Times New Roman" w:hAnsi="Times New Roman" w:cs="Times New Roman"/>
          <w:color w:val="000000"/>
          <w:sz w:val="24"/>
          <w:szCs w:val="27"/>
          <w:lang w:val="en-US"/>
        </w:rPr>
        <w:t>TheGlobalEconomy.com. 2020. </w:t>
      </w:r>
      <w:r w:rsidRPr="00554E93">
        <w:rPr>
          <w:rFonts w:ascii="Times New Roman" w:eastAsia="Times New Roman" w:hAnsi="Times New Roman" w:cs="Times New Roman"/>
          <w:i/>
          <w:iCs/>
          <w:color w:val="000000"/>
          <w:sz w:val="24"/>
          <w:szCs w:val="27"/>
          <w:lang w:val="en-US"/>
        </w:rPr>
        <w:t>United Kingdom Political Risk, Medium/Long-Term - Data, Chart | Theglobaleconomy.Com</w:t>
      </w:r>
      <w:r w:rsidRPr="00554E93">
        <w:rPr>
          <w:rFonts w:ascii="Times New Roman" w:eastAsia="Times New Roman" w:hAnsi="Times New Roman" w:cs="Times New Roman"/>
          <w:color w:val="000000"/>
          <w:sz w:val="24"/>
          <w:szCs w:val="27"/>
          <w:lang w:val="en-US"/>
        </w:rPr>
        <w:t>. [online] Available at: &lt;https://www.theglobaleconomy.com/United-Kingdom/political_risk_long_term/&gt; [Accessed 18 August 2020].</w:t>
      </w:r>
    </w:p>
    <w:p w14:paraId="7CA0DF06" w14:textId="77777777" w:rsidR="00554E93" w:rsidRPr="00554E93" w:rsidRDefault="00554E93" w:rsidP="00554E93">
      <w:pPr>
        <w:spacing w:after="200" w:line="360" w:lineRule="auto"/>
        <w:jc w:val="both"/>
        <w:rPr>
          <w:rFonts w:ascii="Times New Roman" w:eastAsia="Calibri" w:hAnsi="Times New Roman" w:cs="Times New Roman"/>
          <w:lang w:val="en-US"/>
        </w:rPr>
      </w:pPr>
    </w:p>
    <w:p w14:paraId="6FE51768" w14:textId="77777777" w:rsidR="0042526A" w:rsidRDefault="0042526A">
      <w:bookmarkStart w:id="18" w:name="_GoBack"/>
      <w:bookmarkEnd w:id="18"/>
    </w:p>
    <w:sectPr w:rsidR="004252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77B"/>
    <w:rsid w:val="0042526A"/>
    <w:rsid w:val="00554E93"/>
    <w:rsid w:val="00BF5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EA257B-D672-40E5-A180-ED47AB4BD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4E93"/>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609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44778\Desktop\Global%20Business%20Environment%20%20A1.docx" TargetMode="External"/><Relationship Id="rId18" Type="http://schemas.openxmlformats.org/officeDocument/2006/relationships/hyperlink" Target="file:///C:\Users\44778\Desktop\Global%20Business%20Environment%20%20A1.docx" TargetMode="External"/><Relationship Id="rId26" Type="http://schemas.openxmlformats.org/officeDocument/2006/relationships/image" Target="media/image5.png"/><Relationship Id="rId21" Type="http://schemas.openxmlformats.org/officeDocument/2006/relationships/hyperlink" Target="file:///C:\Users\44778\Desktop\Global%20Business%20Environment%20%20A1.docx" TargetMode="External"/><Relationship Id="rId34" Type="http://schemas.openxmlformats.org/officeDocument/2006/relationships/image" Target="media/image8.png"/><Relationship Id="rId7" Type="http://schemas.openxmlformats.org/officeDocument/2006/relationships/hyperlink" Target="file:///C:\Users\44778\Desktop\Global%20Business%20Environment%20%20A1.docx" TargetMode="External"/><Relationship Id="rId12" Type="http://schemas.openxmlformats.org/officeDocument/2006/relationships/hyperlink" Target="file:///C:\Users\44778\Desktop\Global%20Business%20Environment%20%20A1.docx" TargetMode="External"/><Relationship Id="rId17" Type="http://schemas.openxmlformats.org/officeDocument/2006/relationships/hyperlink" Target="file:///C:\Users\44778\Desktop\Global%20Business%20Environment%20%20A1.docx" TargetMode="External"/><Relationship Id="rId25" Type="http://schemas.openxmlformats.org/officeDocument/2006/relationships/image" Target="media/image4.png"/><Relationship Id="rId33"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hyperlink" Target="file:///C:\Users\44778\Desktop\Global%20Business%20Environment%20%20A1.docx" TargetMode="External"/><Relationship Id="rId20" Type="http://schemas.openxmlformats.org/officeDocument/2006/relationships/hyperlink" Target="file:///C:\Users\44778\Desktop\Global%20Business%20Environment%20%20A1.docx" TargetMode="External"/><Relationship Id="rId29" Type="http://schemas.openxmlformats.org/officeDocument/2006/relationships/diagramLayout" Target="diagrams/layout1.xml"/><Relationship Id="rId1" Type="http://schemas.openxmlformats.org/officeDocument/2006/relationships/styles" Target="styles.xml"/><Relationship Id="rId6" Type="http://schemas.openxmlformats.org/officeDocument/2006/relationships/hyperlink" Target="file:///C:\Users\44778\Desktop\Global%20Business%20Environment%20%20A1.docx" TargetMode="External"/><Relationship Id="rId11" Type="http://schemas.openxmlformats.org/officeDocument/2006/relationships/hyperlink" Target="file:///C:\Users\44778\Desktop\Global%20Business%20Environment%20%20A1.docx" TargetMode="External"/><Relationship Id="rId24" Type="http://schemas.openxmlformats.org/officeDocument/2006/relationships/image" Target="media/image3.png"/><Relationship Id="rId32" Type="http://schemas.microsoft.com/office/2007/relationships/diagramDrawing" Target="diagrams/drawing1.xml"/><Relationship Id="rId37" Type="http://schemas.openxmlformats.org/officeDocument/2006/relationships/theme" Target="theme/theme1.xml"/><Relationship Id="rId5" Type="http://schemas.openxmlformats.org/officeDocument/2006/relationships/hyperlink" Target="file:///C:\Users\44778\Desktop\Global%20Business%20Environment%20%20A1.docx" TargetMode="External"/><Relationship Id="rId15" Type="http://schemas.openxmlformats.org/officeDocument/2006/relationships/hyperlink" Target="file:///C:\Users\44778\Desktop\Global%20Business%20Environment%20%20A1.docx" TargetMode="External"/><Relationship Id="rId23" Type="http://schemas.openxmlformats.org/officeDocument/2006/relationships/image" Target="media/image2.png"/><Relationship Id="rId28" Type="http://schemas.openxmlformats.org/officeDocument/2006/relationships/diagramData" Target="diagrams/data1.xml"/><Relationship Id="rId36" Type="http://schemas.openxmlformats.org/officeDocument/2006/relationships/fontTable" Target="fontTable.xml"/><Relationship Id="rId10" Type="http://schemas.openxmlformats.org/officeDocument/2006/relationships/hyperlink" Target="file:///C:\Users\44778\Desktop\Global%20Business%20Environment%20%20A1.docx" TargetMode="External"/><Relationship Id="rId19" Type="http://schemas.openxmlformats.org/officeDocument/2006/relationships/hyperlink" Target="file:///C:\Users\44778\Desktop\Global%20Business%20Environment%20%20A1.docx" TargetMode="External"/><Relationship Id="rId31" Type="http://schemas.openxmlformats.org/officeDocument/2006/relationships/diagramColors" Target="diagrams/colors1.xml"/><Relationship Id="rId4" Type="http://schemas.openxmlformats.org/officeDocument/2006/relationships/hyperlink" Target="file:///C:\Users\44778\Desktop\Global%20Business%20Environment%20%20A1.docx" TargetMode="External"/><Relationship Id="rId9" Type="http://schemas.openxmlformats.org/officeDocument/2006/relationships/hyperlink" Target="file:///C:\Users\44778\Desktop\Global%20Business%20Environment%20%20A1.docx" TargetMode="External"/><Relationship Id="rId14" Type="http://schemas.openxmlformats.org/officeDocument/2006/relationships/hyperlink" Target="file:///C:\Users\44778\Desktop\Global%20Business%20Environment%20%20A1.docx"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diagramQuickStyle" Target="diagrams/quickStyle1.xml"/><Relationship Id="rId35" Type="http://schemas.openxmlformats.org/officeDocument/2006/relationships/image" Target="media/image9.png"/><Relationship Id="rId8" Type="http://schemas.openxmlformats.org/officeDocument/2006/relationships/hyperlink" Target="file:///C:\Users\44778\Desktop\Global%20Business%20Environment%20%20A1.docx" TargetMode="External"/><Relationship Id="rId3"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9B9108-170E-404E-B5A9-C9FB5D0EE219}" type="doc">
      <dgm:prSet loTypeId="urn:microsoft.com/office/officeart/2011/layout/CircleProcess" loCatId="process" qsTypeId="urn:microsoft.com/office/officeart/2005/8/quickstyle/simple4" qsCatId="simple" csTypeId="urn:microsoft.com/office/officeart/2005/8/colors/accent1_3" csCatId="accent1" phldr="1"/>
      <dgm:spPr/>
      <dgm:t>
        <a:bodyPr/>
        <a:lstStyle/>
        <a:p>
          <a:endParaRPr lang="en-US"/>
        </a:p>
      </dgm:t>
    </dgm:pt>
    <dgm:pt modelId="{B3B9F8EA-347F-4F6B-8CAD-4B631DCAAB15}">
      <dgm:prSet phldrT="[Text]" custT="1"/>
      <dgm:spPr>
        <a:xfrm>
          <a:off x="468582" y="463798"/>
          <a:ext cx="1053801" cy="1053800"/>
        </a:xfrm>
        <a:prstGeom prst="ellipse">
          <a:avLst/>
        </a:prstGeom>
        <a:solidFill>
          <a:sysClr val="window" lastClr="FFFFFF">
            <a:alpha val="90000"/>
            <a:hueOff val="0"/>
            <a:satOff val="0"/>
            <a:lumOff val="0"/>
            <a:alphaOff val="0"/>
          </a:sysClr>
        </a:solidFill>
        <a:ln w="9525" cap="flat" cmpd="sng" algn="ctr">
          <a:solidFill>
            <a:srgbClr val="4F81BD">
              <a:shade val="80000"/>
              <a:hueOff val="306246"/>
              <a:satOff val="-4392"/>
              <a:lumOff val="25615"/>
              <a:alphaOff val="0"/>
            </a:srgbClr>
          </a:solidFill>
          <a:prstDash val="solid"/>
        </a:ln>
        <a:effectLst/>
      </dgm:spPr>
      <dgm:t>
        <a:bodyPr/>
        <a:lstStyle/>
        <a:p>
          <a:pPr>
            <a:buNone/>
          </a:pPr>
          <a:r>
            <a:rPr lang="en-US"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Cultural influences </a:t>
          </a:r>
        </a:p>
      </dgm:t>
    </dgm:pt>
    <dgm:pt modelId="{1DEE6910-0619-45E2-BD3D-C0D134DC0B71}" type="parTrans" cxnId="{956849FE-7BDF-4456-8156-59A4ECCE80C5}">
      <dgm:prSet/>
      <dgm:spPr/>
      <dgm:t>
        <a:bodyPr/>
        <a:lstStyle/>
        <a:p>
          <a:endParaRPr lang="en-US" sz="2000">
            <a:latin typeface="Times New Roman" panose="02020603050405020304" pitchFamily="18" charset="0"/>
            <a:cs typeface="Times New Roman" panose="02020603050405020304" pitchFamily="18" charset="0"/>
          </a:endParaRPr>
        </a:p>
      </dgm:t>
    </dgm:pt>
    <dgm:pt modelId="{11F41C46-9CB3-4E1D-8770-8ED767B33A75}" type="sibTrans" cxnId="{956849FE-7BDF-4456-8156-59A4ECCE80C5}">
      <dgm:prSet/>
      <dgm:spPr/>
      <dgm:t>
        <a:bodyPr/>
        <a:lstStyle/>
        <a:p>
          <a:endParaRPr lang="en-US" sz="2000">
            <a:latin typeface="Times New Roman" panose="02020603050405020304" pitchFamily="18" charset="0"/>
            <a:cs typeface="Times New Roman" panose="02020603050405020304" pitchFamily="18" charset="0"/>
          </a:endParaRPr>
        </a:p>
      </dgm:t>
    </dgm:pt>
    <dgm:pt modelId="{32B566AD-91CD-4D24-B47E-FEAD8CDB9027}">
      <dgm:prSet phldrT="[Text]" custT="1"/>
      <dgm:spPr>
        <a:xfrm>
          <a:off x="1635333" y="463798"/>
          <a:ext cx="1053801" cy="1053800"/>
        </a:xfrm>
        <a:prstGeom prst="ellipse">
          <a:avLst/>
        </a:prstGeom>
        <a:solidFill>
          <a:sysClr val="window" lastClr="FFFFFF">
            <a:alpha val="90000"/>
            <a:hueOff val="0"/>
            <a:satOff val="0"/>
            <a:lumOff val="0"/>
            <a:alphaOff val="0"/>
          </a:sysClr>
        </a:solidFill>
        <a:ln w="9525" cap="flat" cmpd="sng" algn="ctr">
          <a:solidFill>
            <a:srgbClr val="4F81BD">
              <a:shade val="80000"/>
              <a:hueOff val="229684"/>
              <a:satOff val="-3294"/>
              <a:lumOff val="19211"/>
              <a:alphaOff val="0"/>
            </a:srgbClr>
          </a:solidFill>
          <a:prstDash val="solid"/>
        </a:ln>
        <a:effectLst/>
      </dgm:spPr>
      <dgm:t>
        <a:bodyPr/>
        <a:lstStyle/>
        <a:p>
          <a:pPr>
            <a:buNone/>
          </a:pPr>
          <a:r>
            <a:rPr lang="en-US"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Social class membership</a:t>
          </a:r>
        </a:p>
      </dgm:t>
    </dgm:pt>
    <dgm:pt modelId="{5FF68C74-DAE4-4A04-B02F-939A3550F0E5}" type="parTrans" cxnId="{6465EB82-B1A2-4133-B7DA-FC12F040B8A5}">
      <dgm:prSet/>
      <dgm:spPr/>
      <dgm:t>
        <a:bodyPr/>
        <a:lstStyle/>
        <a:p>
          <a:endParaRPr lang="en-US" sz="2000">
            <a:latin typeface="Times New Roman" panose="02020603050405020304" pitchFamily="18" charset="0"/>
            <a:cs typeface="Times New Roman" panose="02020603050405020304" pitchFamily="18" charset="0"/>
          </a:endParaRPr>
        </a:p>
      </dgm:t>
    </dgm:pt>
    <dgm:pt modelId="{749C0384-1E91-49A1-B489-22B2EC0A5F10}" type="sibTrans" cxnId="{6465EB82-B1A2-4133-B7DA-FC12F040B8A5}">
      <dgm:prSet/>
      <dgm:spPr/>
      <dgm:t>
        <a:bodyPr/>
        <a:lstStyle/>
        <a:p>
          <a:endParaRPr lang="en-US" sz="2000">
            <a:latin typeface="Times New Roman" panose="02020603050405020304" pitchFamily="18" charset="0"/>
            <a:cs typeface="Times New Roman" panose="02020603050405020304" pitchFamily="18" charset="0"/>
          </a:endParaRPr>
        </a:p>
      </dgm:t>
    </dgm:pt>
    <dgm:pt modelId="{424CF35C-BE45-4C16-91E6-E60674FC4AD9}">
      <dgm:prSet phldrT="[Text]" custT="1"/>
      <dgm:spPr>
        <a:xfrm>
          <a:off x="2802085" y="463798"/>
          <a:ext cx="1053801" cy="1053800"/>
        </a:xfrm>
        <a:prstGeom prst="ellipse">
          <a:avLst/>
        </a:prstGeom>
        <a:solidFill>
          <a:sysClr val="window" lastClr="FFFFFF">
            <a:alpha val="90000"/>
            <a:hueOff val="0"/>
            <a:satOff val="0"/>
            <a:lumOff val="0"/>
            <a:alphaOff val="0"/>
          </a:sysClr>
        </a:solidFill>
        <a:ln w="9525" cap="flat" cmpd="sng" algn="ctr">
          <a:solidFill>
            <a:srgbClr val="4F81BD">
              <a:shade val="80000"/>
              <a:hueOff val="153123"/>
              <a:satOff val="-2196"/>
              <a:lumOff val="12807"/>
              <a:alphaOff val="0"/>
            </a:srgbClr>
          </a:solidFill>
          <a:prstDash val="solid"/>
        </a:ln>
        <a:effectLst/>
      </dgm:spPr>
      <dgm:t>
        <a:bodyPr/>
        <a:lstStyle/>
        <a:p>
          <a:pPr>
            <a:buNone/>
          </a:pPr>
          <a:r>
            <a:rPr lang="en-US"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Reference group</a:t>
          </a:r>
        </a:p>
      </dgm:t>
    </dgm:pt>
    <dgm:pt modelId="{880B6193-68B8-4F3B-8845-20C9FE3A88B7}" type="parTrans" cxnId="{F0094699-6A14-49A0-9C8A-DF378231A38A}">
      <dgm:prSet/>
      <dgm:spPr/>
      <dgm:t>
        <a:bodyPr/>
        <a:lstStyle/>
        <a:p>
          <a:endParaRPr lang="en-US" sz="2000">
            <a:latin typeface="Times New Roman" panose="02020603050405020304" pitchFamily="18" charset="0"/>
            <a:cs typeface="Times New Roman" panose="02020603050405020304" pitchFamily="18" charset="0"/>
          </a:endParaRPr>
        </a:p>
      </dgm:t>
    </dgm:pt>
    <dgm:pt modelId="{3F7A7A28-2F9A-4405-A276-E2CC806BA025}" type="sibTrans" cxnId="{F0094699-6A14-49A0-9C8A-DF378231A38A}">
      <dgm:prSet/>
      <dgm:spPr/>
      <dgm:t>
        <a:bodyPr/>
        <a:lstStyle/>
        <a:p>
          <a:endParaRPr lang="en-US" sz="2000">
            <a:latin typeface="Times New Roman" panose="02020603050405020304" pitchFamily="18" charset="0"/>
            <a:cs typeface="Times New Roman" panose="02020603050405020304" pitchFamily="18" charset="0"/>
          </a:endParaRPr>
        </a:p>
      </dgm:t>
    </dgm:pt>
    <dgm:pt modelId="{9A365622-21C4-4305-B854-5B525FC43849}">
      <dgm:prSet phldrT="[Text]" custT="1"/>
      <dgm:spPr>
        <a:xfrm>
          <a:off x="3968836" y="463798"/>
          <a:ext cx="1053801" cy="1053800"/>
        </a:xfrm>
        <a:prstGeom prst="ellipse">
          <a:avLst/>
        </a:prstGeom>
        <a:solidFill>
          <a:sysClr val="window" lastClr="FFFFFF">
            <a:alpha val="90000"/>
            <a:hueOff val="0"/>
            <a:satOff val="0"/>
            <a:lumOff val="0"/>
            <a:alphaOff val="0"/>
          </a:sysClr>
        </a:solidFill>
        <a:ln w="9525" cap="flat" cmpd="sng" algn="ctr">
          <a:solidFill>
            <a:srgbClr val="4F81BD">
              <a:shade val="80000"/>
              <a:hueOff val="76561"/>
              <a:satOff val="-1098"/>
              <a:lumOff val="6404"/>
              <a:alphaOff val="0"/>
            </a:srgbClr>
          </a:solidFill>
          <a:prstDash val="solid"/>
        </a:ln>
        <a:effectLst/>
      </dgm:spPr>
      <dgm:t>
        <a:bodyPr/>
        <a:lstStyle/>
        <a:p>
          <a:pPr>
            <a:buNone/>
          </a:pPr>
          <a:r>
            <a:rPr lang="en-US"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Individual's Physical and Psychological make-up</a:t>
          </a:r>
        </a:p>
      </dgm:t>
    </dgm:pt>
    <dgm:pt modelId="{D2E19261-2200-4D13-9401-FACDF0BCBC28}" type="parTrans" cxnId="{B39011C6-D8E6-4D22-A39E-9A9D75B45654}">
      <dgm:prSet/>
      <dgm:spPr/>
      <dgm:t>
        <a:bodyPr/>
        <a:lstStyle/>
        <a:p>
          <a:endParaRPr lang="en-US" sz="2000">
            <a:latin typeface="Times New Roman" panose="02020603050405020304" pitchFamily="18" charset="0"/>
            <a:cs typeface="Times New Roman" panose="02020603050405020304" pitchFamily="18" charset="0"/>
          </a:endParaRPr>
        </a:p>
      </dgm:t>
    </dgm:pt>
    <dgm:pt modelId="{E4CAC746-3F63-4AC1-8B08-8AC705E55607}" type="sibTrans" cxnId="{B39011C6-D8E6-4D22-A39E-9A9D75B45654}">
      <dgm:prSet/>
      <dgm:spPr/>
      <dgm:t>
        <a:bodyPr/>
        <a:lstStyle/>
        <a:p>
          <a:endParaRPr lang="en-US" sz="2000">
            <a:latin typeface="Times New Roman" panose="02020603050405020304" pitchFamily="18" charset="0"/>
            <a:cs typeface="Times New Roman" panose="02020603050405020304" pitchFamily="18" charset="0"/>
          </a:endParaRPr>
        </a:p>
      </dgm:t>
    </dgm:pt>
    <dgm:pt modelId="{A988E5C0-7C46-45DC-8017-33190E781AB7}">
      <dgm:prSet phldrT="[Text]" custT="1"/>
      <dgm:spPr>
        <a:xfrm>
          <a:off x="5134987" y="463798"/>
          <a:ext cx="1053801" cy="1053800"/>
        </a:xfrm>
        <a:prstGeom prst="ellipse">
          <a:avLst/>
        </a:prstGeom>
        <a:solidFill>
          <a:srgbClr val="4BACC6">
            <a:lumMod val="60000"/>
            <a:lumOff val="40000"/>
          </a:srgbClr>
        </a:solidFill>
        <a:ln w="9525" cap="flat" cmpd="sng" algn="ctr">
          <a:solidFill>
            <a:srgbClr val="4F81BD">
              <a:shade val="80000"/>
              <a:hueOff val="0"/>
              <a:satOff val="0"/>
              <a:lumOff val="0"/>
              <a:alphaOff val="0"/>
            </a:srgbClr>
          </a:solidFill>
          <a:prstDash val="solid"/>
        </a:ln>
        <a:effectLst/>
      </dgm:spPr>
      <dgm:t>
        <a:bodyPr/>
        <a:lstStyle/>
        <a:p>
          <a:pPr>
            <a:buNone/>
          </a:pPr>
          <a:r>
            <a:rPr lang="en-US" sz="1000">
              <a:solidFill>
                <a:sysClr val="window" lastClr="FFFFFF"/>
              </a:solidFill>
              <a:latin typeface="Times New Roman" panose="02020603050405020304" pitchFamily="18" charset="0"/>
              <a:ea typeface="+mn-ea"/>
              <a:cs typeface="Times New Roman" panose="02020603050405020304" pitchFamily="18" charset="0"/>
            </a:rPr>
            <a:t>The Individual Consumer </a:t>
          </a:r>
        </a:p>
      </dgm:t>
    </dgm:pt>
    <dgm:pt modelId="{B3B0856F-BF59-4AE2-8A78-E96007B1F54B}" type="parTrans" cxnId="{37F50C8B-C337-4FA6-9569-C6429682C2C3}">
      <dgm:prSet/>
      <dgm:spPr/>
      <dgm:t>
        <a:bodyPr/>
        <a:lstStyle/>
        <a:p>
          <a:endParaRPr lang="en-US" sz="2000">
            <a:latin typeface="Times New Roman" panose="02020603050405020304" pitchFamily="18" charset="0"/>
            <a:cs typeface="Times New Roman" panose="02020603050405020304" pitchFamily="18" charset="0"/>
          </a:endParaRPr>
        </a:p>
      </dgm:t>
    </dgm:pt>
    <dgm:pt modelId="{47109583-0B26-4BB0-82A9-5B74AE1D3E76}" type="sibTrans" cxnId="{37F50C8B-C337-4FA6-9569-C6429682C2C3}">
      <dgm:prSet/>
      <dgm:spPr/>
      <dgm:t>
        <a:bodyPr/>
        <a:lstStyle/>
        <a:p>
          <a:endParaRPr lang="en-US" sz="2000">
            <a:latin typeface="Times New Roman" panose="02020603050405020304" pitchFamily="18" charset="0"/>
            <a:cs typeface="Times New Roman" panose="02020603050405020304" pitchFamily="18" charset="0"/>
          </a:endParaRPr>
        </a:p>
      </dgm:t>
    </dgm:pt>
    <dgm:pt modelId="{76DE9AEA-33C7-4A71-8242-F3590ABEBB65}" type="pres">
      <dgm:prSet presAssocID="{EA9B9108-170E-404E-B5A9-C9FB5D0EE219}" presName="Name0" presStyleCnt="0">
        <dgm:presLayoutVars>
          <dgm:chMax val="11"/>
          <dgm:chPref val="11"/>
          <dgm:dir/>
          <dgm:resizeHandles/>
        </dgm:presLayoutVars>
      </dgm:prSet>
      <dgm:spPr/>
    </dgm:pt>
    <dgm:pt modelId="{9C24AA66-4D75-4482-9E2E-19F591CA85E0}" type="pres">
      <dgm:prSet presAssocID="{A988E5C0-7C46-45DC-8017-33190E781AB7}" presName="Accent5" presStyleCnt="0"/>
      <dgm:spPr/>
    </dgm:pt>
    <dgm:pt modelId="{81F763D8-A8A6-4A5D-8941-2ABDF2379DA2}" type="pres">
      <dgm:prSet presAssocID="{A988E5C0-7C46-45DC-8017-33190E781AB7}" presName="Accent" presStyleLbl="node1" presStyleIdx="0" presStyleCnt="5"/>
      <dgm:spPr>
        <a:xfrm>
          <a:off x="5097737" y="426156"/>
          <a:ext cx="1128901" cy="1129085"/>
        </a:xfrm>
        <a:prstGeom prst="ellipse">
          <a:avLst/>
        </a:prstGeom>
        <a:gradFill rotWithShape="0">
          <a:gsLst>
            <a:gs pos="0">
              <a:srgbClr val="4F81BD">
                <a:shade val="80000"/>
                <a:hueOff val="0"/>
                <a:satOff val="0"/>
                <a:lumOff val="0"/>
                <a:alphaOff val="0"/>
                <a:shade val="51000"/>
                <a:satMod val="130000"/>
              </a:srgbClr>
            </a:gs>
            <a:gs pos="80000">
              <a:srgbClr val="4F81BD">
                <a:shade val="80000"/>
                <a:hueOff val="0"/>
                <a:satOff val="0"/>
                <a:lumOff val="0"/>
                <a:alphaOff val="0"/>
                <a:shade val="93000"/>
                <a:satMod val="130000"/>
              </a:srgbClr>
            </a:gs>
            <a:gs pos="100000">
              <a:srgbClr val="4F81BD">
                <a:shade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pt>
    <dgm:pt modelId="{AEF030B6-E529-496C-A841-DE2C4C2BBED9}" type="pres">
      <dgm:prSet presAssocID="{A988E5C0-7C46-45DC-8017-33190E781AB7}" presName="ParentBackground5" presStyleCnt="0"/>
      <dgm:spPr/>
    </dgm:pt>
    <dgm:pt modelId="{22EF9DBB-040F-47DA-A1FD-0C4FD5BAF27C}" type="pres">
      <dgm:prSet presAssocID="{A988E5C0-7C46-45DC-8017-33190E781AB7}" presName="ParentBackground" presStyleLbl="fgAcc1" presStyleIdx="0" presStyleCnt="5"/>
      <dgm:spPr/>
    </dgm:pt>
    <dgm:pt modelId="{B638E012-8C1B-44F6-9CE8-8E8FFBBA6964}" type="pres">
      <dgm:prSet presAssocID="{A988E5C0-7C46-45DC-8017-33190E781AB7}" presName="Parent5" presStyleLbl="revTx" presStyleIdx="0" presStyleCnt="0">
        <dgm:presLayoutVars>
          <dgm:chMax val="1"/>
          <dgm:chPref val="1"/>
          <dgm:bulletEnabled val="1"/>
        </dgm:presLayoutVars>
      </dgm:prSet>
      <dgm:spPr/>
    </dgm:pt>
    <dgm:pt modelId="{124E67A9-0B7A-4503-9668-107D8AEF239C}" type="pres">
      <dgm:prSet presAssocID="{9A365622-21C4-4305-B854-5B525FC43849}" presName="Accent4" presStyleCnt="0"/>
      <dgm:spPr/>
    </dgm:pt>
    <dgm:pt modelId="{0879E703-95DD-465C-9021-CF385A484D00}" type="pres">
      <dgm:prSet presAssocID="{9A365622-21C4-4305-B854-5B525FC43849}" presName="Accent" presStyleLbl="node1" presStyleIdx="1" presStyleCnt="5"/>
      <dgm:spPr>
        <a:xfrm rot="2700000">
          <a:off x="3930450" y="426214"/>
          <a:ext cx="1128770" cy="1128770"/>
        </a:xfrm>
        <a:prstGeom prst="teardrop">
          <a:avLst>
            <a:gd name="adj" fmla="val 100000"/>
          </a:avLst>
        </a:prstGeom>
        <a:gradFill rotWithShape="0">
          <a:gsLst>
            <a:gs pos="0">
              <a:srgbClr val="4F81BD">
                <a:shade val="80000"/>
                <a:hueOff val="76561"/>
                <a:satOff val="-1098"/>
                <a:lumOff val="6404"/>
                <a:alphaOff val="0"/>
                <a:shade val="51000"/>
                <a:satMod val="130000"/>
              </a:srgbClr>
            </a:gs>
            <a:gs pos="80000">
              <a:srgbClr val="4F81BD">
                <a:shade val="80000"/>
                <a:hueOff val="76561"/>
                <a:satOff val="-1098"/>
                <a:lumOff val="6404"/>
                <a:alphaOff val="0"/>
                <a:shade val="93000"/>
                <a:satMod val="130000"/>
              </a:srgbClr>
            </a:gs>
            <a:gs pos="100000">
              <a:srgbClr val="4F81BD">
                <a:shade val="80000"/>
                <a:hueOff val="76561"/>
                <a:satOff val="-1098"/>
                <a:lumOff val="6404"/>
                <a:alphaOff val="0"/>
                <a:shade val="94000"/>
                <a:satMod val="135000"/>
              </a:srgbClr>
            </a:gs>
          </a:gsLst>
          <a:lin ang="16200000" scaled="0"/>
        </a:gradFill>
        <a:ln>
          <a:noFill/>
        </a:ln>
        <a:effectLst>
          <a:outerShdw blurRad="40000" dist="23000" dir="5400000" rotWithShape="0">
            <a:srgbClr val="000000">
              <a:alpha val="35000"/>
            </a:srgbClr>
          </a:outerShdw>
        </a:effectLst>
      </dgm:spPr>
    </dgm:pt>
    <dgm:pt modelId="{104BBEEC-477D-453A-B29F-CA4BD381B1E7}" type="pres">
      <dgm:prSet presAssocID="{9A365622-21C4-4305-B854-5B525FC43849}" presName="ParentBackground4" presStyleCnt="0"/>
      <dgm:spPr/>
    </dgm:pt>
    <dgm:pt modelId="{4C0DD5EF-7330-4FA4-A444-B9B776A1E068}" type="pres">
      <dgm:prSet presAssocID="{9A365622-21C4-4305-B854-5B525FC43849}" presName="ParentBackground" presStyleLbl="fgAcc1" presStyleIdx="1" presStyleCnt="5"/>
      <dgm:spPr/>
    </dgm:pt>
    <dgm:pt modelId="{67C46B30-41F4-4DAD-90E8-5C37E73C8BD1}" type="pres">
      <dgm:prSet presAssocID="{9A365622-21C4-4305-B854-5B525FC43849}" presName="Parent4" presStyleLbl="revTx" presStyleIdx="0" presStyleCnt="0">
        <dgm:presLayoutVars>
          <dgm:chMax val="1"/>
          <dgm:chPref val="1"/>
          <dgm:bulletEnabled val="1"/>
        </dgm:presLayoutVars>
      </dgm:prSet>
      <dgm:spPr/>
    </dgm:pt>
    <dgm:pt modelId="{36417712-3B76-4208-A132-4FC72B38AE7E}" type="pres">
      <dgm:prSet presAssocID="{424CF35C-BE45-4C16-91E6-E60674FC4AD9}" presName="Accent3" presStyleCnt="0"/>
      <dgm:spPr/>
    </dgm:pt>
    <dgm:pt modelId="{24BF3F19-B5A8-4586-84B3-5744DEF53306}" type="pres">
      <dgm:prSet presAssocID="{424CF35C-BE45-4C16-91E6-E60674FC4AD9}" presName="Accent" presStyleLbl="node1" presStyleIdx="2" presStyleCnt="5"/>
      <dgm:spPr>
        <a:xfrm rot="2700000">
          <a:off x="2764300" y="426214"/>
          <a:ext cx="1128770" cy="1128770"/>
        </a:xfrm>
        <a:prstGeom prst="teardrop">
          <a:avLst>
            <a:gd name="adj" fmla="val 100000"/>
          </a:avLst>
        </a:prstGeom>
        <a:gradFill rotWithShape="0">
          <a:gsLst>
            <a:gs pos="0">
              <a:srgbClr val="4F81BD">
                <a:shade val="80000"/>
                <a:hueOff val="153123"/>
                <a:satOff val="-2196"/>
                <a:lumOff val="12807"/>
                <a:alphaOff val="0"/>
                <a:shade val="51000"/>
                <a:satMod val="130000"/>
              </a:srgbClr>
            </a:gs>
            <a:gs pos="80000">
              <a:srgbClr val="4F81BD">
                <a:shade val="80000"/>
                <a:hueOff val="153123"/>
                <a:satOff val="-2196"/>
                <a:lumOff val="12807"/>
                <a:alphaOff val="0"/>
                <a:shade val="93000"/>
                <a:satMod val="130000"/>
              </a:srgbClr>
            </a:gs>
            <a:gs pos="100000">
              <a:srgbClr val="4F81BD">
                <a:shade val="80000"/>
                <a:hueOff val="153123"/>
                <a:satOff val="-2196"/>
                <a:lumOff val="12807"/>
                <a:alphaOff val="0"/>
                <a:shade val="94000"/>
                <a:satMod val="135000"/>
              </a:srgbClr>
            </a:gs>
          </a:gsLst>
          <a:lin ang="16200000" scaled="0"/>
        </a:gradFill>
        <a:ln>
          <a:noFill/>
        </a:ln>
        <a:effectLst>
          <a:outerShdw blurRad="40000" dist="23000" dir="5400000" rotWithShape="0">
            <a:srgbClr val="000000">
              <a:alpha val="35000"/>
            </a:srgbClr>
          </a:outerShdw>
        </a:effectLst>
      </dgm:spPr>
    </dgm:pt>
    <dgm:pt modelId="{41A967D8-A022-4F11-BBB6-8C3174557D50}" type="pres">
      <dgm:prSet presAssocID="{424CF35C-BE45-4C16-91E6-E60674FC4AD9}" presName="ParentBackground3" presStyleCnt="0"/>
      <dgm:spPr/>
    </dgm:pt>
    <dgm:pt modelId="{CA9BF1A1-3D3A-41CF-AA74-40BD94AA2306}" type="pres">
      <dgm:prSet presAssocID="{424CF35C-BE45-4C16-91E6-E60674FC4AD9}" presName="ParentBackground" presStyleLbl="fgAcc1" presStyleIdx="2" presStyleCnt="5"/>
      <dgm:spPr/>
    </dgm:pt>
    <dgm:pt modelId="{91253490-0955-42EF-AE4B-409A2F54213C}" type="pres">
      <dgm:prSet presAssocID="{424CF35C-BE45-4C16-91E6-E60674FC4AD9}" presName="Parent3" presStyleLbl="revTx" presStyleIdx="0" presStyleCnt="0">
        <dgm:presLayoutVars>
          <dgm:chMax val="1"/>
          <dgm:chPref val="1"/>
          <dgm:bulletEnabled val="1"/>
        </dgm:presLayoutVars>
      </dgm:prSet>
      <dgm:spPr/>
    </dgm:pt>
    <dgm:pt modelId="{B436AC7E-11FA-4CEB-9C5F-38F7BD176DEF}" type="pres">
      <dgm:prSet presAssocID="{32B566AD-91CD-4D24-B47E-FEAD8CDB9027}" presName="Accent2" presStyleCnt="0"/>
      <dgm:spPr/>
    </dgm:pt>
    <dgm:pt modelId="{A6B01FDC-7703-4321-A660-193D67AAB2FC}" type="pres">
      <dgm:prSet presAssocID="{32B566AD-91CD-4D24-B47E-FEAD8CDB9027}" presName="Accent" presStyleLbl="node1" presStyleIdx="3" presStyleCnt="5"/>
      <dgm:spPr>
        <a:xfrm rot="2700000">
          <a:off x="1597548" y="426214"/>
          <a:ext cx="1128770" cy="1128770"/>
        </a:xfrm>
        <a:prstGeom prst="teardrop">
          <a:avLst>
            <a:gd name="adj" fmla="val 100000"/>
          </a:avLst>
        </a:prstGeom>
        <a:gradFill rotWithShape="0">
          <a:gsLst>
            <a:gs pos="0">
              <a:srgbClr val="4F81BD">
                <a:shade val="80000"/>
                <a:hueOff val="229684"/>
                <a:satOff val="-3294"/>
                <a:lumOff val="19211"/>
                <a:alphaOff val="0"/>
                <a:shade val="51000"/>
                <a:satMod val="130000"/>
              </a:srgbClr>
            </a:gs>
            <a:gs pos="80000">
              <a:srgbClr val="4F81BD">
                <a:shade val="80000"/>
                <a:hueOff val="229684"/>
                <a:satOff val="-3294"/>
                <a:lumOff val="19211"/>
                <a:alphaOff val="0"/>
                <a:shade val="93000"/>
                <a:satMod val="130000"/>
              </a:srgbClr>
            </a:gs>
            <a:gs pos="100000">
              <a:srgbClr val="4F81BD">
                <a:shade val="80000"/>
                <a:hueOff val="229684"/>
                <a:satOff val="-3294"/>
                <a:lumOff val="19211"/>
                <a:alphaOff val="0"/>
                <a:shade val="94000"/>
                <a:satMod val="135000"/>
              </a:srgbClr>
            </a:gs>
          </a:gsLst>
          <a:lin ang="16200000" scaled="0"/>
        </a:gradFill>
        <a:ln>
          <a:noFill/>
        </a:ln>
        <a:effectLst>
          <a:outerShdw blurRad="40000" dist="23000" dir="5400000" rotWithShape="0">
            <a:srgbClr val="000000">
              <a:alpha val="35000"/>
            </a:srgbClr>
          </a:outerShdw>
        </a:effectLst>
      </dgm:spPr>
    </dgm:pt>
    <dgm:pt modelId="{A652DA3E-87D5-41D0-B69E-9ABCBF99E84D}" type="pres">
      <dgm:prSet presAssocID="{32B566AD-91CD-4D24-B47E-FEAD8CDB9027}" presName="ParentBackground2" presStyleCnt="0"/>
      <dgm:spPr/>
    </dgm:pt>
    <dgm:pt modelId="{6CCF37A1-FCE0-4000-B12C-AB5455681A17}" type="pres">
      <dgm:prSet presAssocID="{32B566AD-91CD-4D24-B47E-FEAD8CDB9027}" presName="ParentBackground" presStyleLbl="fgAcc1" presStyleIdx="3" presStyleCnt="5"/>
      <dgm:spPr/>
    </dgm:pt>
    <dgm:pt modelId="{F83449BD-00D5-45E2-AFAA-EAC268DE66B6}" type="pres">
      <dgm:prSet presAssocID="{32B566AD-91CD-4D24-B47E-FEAD8CDB9027}" presName="Parent2" presStyleLbl="revTx" presStyleIdx="0" presStyleCnt="0">
        <dgm:presLayoutVars>
          <dgm:chMax val="1"/>
          <dgm:chPref val="1"/>
          <dgm:bulletEnabled val="1"/>
        </dgm:presLayoutVars>
      </dgm:prSet>
      <dgm:spPr/>
    </dgm:pt>
    <dgm:pt modelId="{B091822E-BB05-47F5-A3BD-5DBA755B5607}" type="pres">
      <dgm:prSet presAssocID="{B3B9F8EA-347F-4F6B-8CAD-4B631DCAAB15}" presName="Accent1" presStyleCnt="0"/>
      <dgm:spPr/>
    </dgm:pt>
    <dgm:pt modelId="{7C71BBB5-15A2-4998-94FD-3BC2B8B58F74}" type="pres">
      <dgm:prSet presAssocID="{B3B9F8EA-347F-4F6B-8CAD-4B631DCAAB15}" presName="Accent" presStyleLbl="node1" presStyleIdx="4" presStyleCnt="5"/>
      <dgm:spPr>
        <a:xfrm rot="2700000">
          <a:off x="430797" y="426214"/>
          <a:ext cx="1128770" cy="1128770"/>
        </a:xfrm>
        <a:prstGeom prst="teardrop">
          <a:avLst>
            <a:gd name="adj" fmla="val 100000"/>
          </a:avLst>
        </a:prstGeom>
        <a:gradFill rotWithShape="0">
          <a:gsLst>
            <a:gs pos="0">
              <a:srgbClr val="4F81BD">
                <a:shade val="80000"/>
                <a:hueOff val="306246"/>
                <a:satOff val="-4392"/>
                <a:lumOff val="25615"/>
                <a:alphaOff val="0"/>
                <a:shade val="51000"/>
                <a:satMod val="130000"/>
              </a:srgbClr>
            </a:gs>
            <a:gs pos="80000">
              <a:srgbClr val="4F81BD">
                <a:shade val="80000"/>
                <a:hueOff val="306246"/>
                <a:satOff val="-4392"/>
                <a:lumOff val="25615"/>
                <a:alphaOff val="0"/>
                <a:shade val="93000"/>
                <a:satMod val="130000"/>
              </a:srgbClr>
            </a:gs>
            <a:gs pos="100000">
              <a:srgbClr val="4F81BD">
                <a:shade val="80000"/>
                <a:hueOff val="306246"/>
                <a:satOff val="-4392"/>
                <a:lumOff val="25615"/>
                <a:alphaOff val="0"/>
                <a:shade val="94000"/>
                <a:satMod val="135000"/>
              </a:srgbClr>
            </a:gs>
          </a:gsLst>
          <a:lin ang="16200000" scaled="0"/>
        </a:gradFill>
        <a:ln>
          <a:noFill/>
        </a:ln>
        <a:effectLst>
          <a:outerShdw blurRad="40000" dist="23000" dir="5400000" rotWithShape="0">
            <a:srgbClr val="000000">
              <a:alpha val="35000"/>
            </a:srgbClr>
          </a:outerShdw>
        </a:effectLst>
      </dgm:spPr>
    </dgm:pt>
    <dgm:pt modelId="{D938BF80-F19A-4A94-837A-307BB7059D49}" type="pres">
      <dgm:prSet presAssocID="{B3B9F8EA-347F-4F6B-8CAD-4B631DCAAB15}" presName="ParentBackground1" presStyleCnt="0"/>
      <dgm:spPr/>
    </dgm:pt>
    <dgm:pt modelId="{D20F0652-5D9E-420C-8789-47D3663AC3A9}" type="pres">
      <dgm:prSet presAssocID="{B3B9F8EA-347F-4F6B-8CAD-4B631DCAAB15}" presName="ParentBackground" presStyleLbl="fgAcc1" presStyleIdx="4" presStyleCnt="5"/>
      <dgm:spPr/>
    </dgm:pt>
    <dgm:pt modelId="{F74B32A6-F5AA-4E27-A350-DA1D6170D3BE}" type="pres">
      <dgm:prSet presAssocID="{B3B9F8EA-347F-4F6B-8CAD-4B631DCAAB15}" presName="Parent1" presStyleLbl="revTx" presStyleIdx="0" presStyleCnt="0">
        <dgm:presLayoutVars>
          <dgm:chMax val="1"/>
          <dgm:chPref val="1"/>
          <dgm:bulletEnabled val="1"/>
        </dgm:presLayoutVars>
      </dgm:prSet>
      <dgm:spPr/>
    </dgm:pt>
  </dgm:ptLst>
  <dgm:cxnLst>
    <dgm:cxn modelId="{D9729713-E76A-4A8B-9ED3-680ACEF74171}" type="presOf" srcId="{B3B9F8EA-347F-4F6B-8CAD-4B631DCAAB15}" destId="{D20F0652-5D9E-420C-8789-47D3663AC3A9}" srcOrd="0" destOrd="0" presId="urn:microsoft.com/office/officeart/2011/layout/CircleProcess"/>
    <dgm:cxn modelId="{5A9F0F17-4DF4-4D63-AF85-5838DF2ED0F6}" type="presOf" srcId="{A988E5C0-7C46-45DC-8017-33190E781AB7}" destId="{B638E012-8C1B-44F6-9CE8-8E8FFBBA6964}" srcOrd="1" destOrd="0" presId="urn:microsoft.com/office/officeart/2011/layout/CircleProcess"/>
    <dgm:cxn modelId="{4468B617-5E24-4CD3-AC6B-4F35BEBA40B7}" type="presOf" srcId="{A988E5C0-7C46-45DC-8017-33190E781AB7}" destId="{22EF9DBB-040F-47DA-A1FD-0C4FD5BAF27C}" srcOrd="0" destOrd="0" presId="urn:microsoft.com/office/officeart/2011/layout/CircleProcess"/>
    <dgm:cxn modelId="{248C0224-5FE3-41D2-BCDC-9F93F188AA60}" type="presOf" srcId="{424CF35C-BE45-4C16-91E6-E60674FC4AD9}" destId="{91253490-0955-42EF-AE4B-409A2F54213C}" srcOrd="1" destOrd="0" presId="urn:microsoft.com/office/officeart/2011/layout/CircleProcess"/>
    <dgm:cxn modelId="{5270E15F-08C5-4F4F-9A73-5A036FC39442}" type="presOf" srcId="{9A365622-21C4-4305-B854-5B525FC43849}" destId="{67C46B30-41F4-4DAD-90E8-5C37E73C8BD1}" srcOrd="1" destOrd="0" presId="urn:microsoft.com/office/officeart/2011/layout/CircleProcess"/>
    <dgm:cxn modelId="{248BD466-C497-4C53-AECA-96420FB74D07}" type="presOf" srcId="{32B566AD-91CD-4D24-B47E-FEAD8CDB9027}" destId="{F83449BD-00D5-45E2-AFAA-EAC268DE66B6}" srcOrd="1" destOrd="0" presId="urn:microsoft.com/office/officeart/2011/layout/CircleProcess"/>
    <dgm:cxn modelId="{4DE24869-1D11-4629-93A6-3E70D8AE588B}" type="presOf" srcId="{32B566AD-91CD-4D24-B47E-FEAD8CDB9027}" destId="{6CCF37A1-FCE0-4000-B12C-AB5455681A17}" srcOrd="0" destOrd="0" presId="urn:microsoft.com/office/officeart/2011/layout/CircleProcess"/>
    <dgm:cxn modelId="{6465EB82-B1A2-4133-B7DA-FC12F040B8A5}" srcId="{EA9B9108-170E-404E-B5A9-C9FB5D0EE219}" destId="{32B566AD-91CD-4D24-B47E-FEAD8CDB9027}" srcOrd="1" destOrd="0" parTransId="{5FF68C74-DAE4-4A04-B02F-939A3550F0E5}" sibTransId="{749C0384-1E91-49A1-B489-22B2EC0A5F10}"/>
    <dgm:cxn modelId="{37F50C8B-C337-4FA6-9569-C6429682C2C3}" srcId="{EA9B9108-170E-404E-B5A9-C9FB5D0EE219}" destId="{A988E5C0-7C46-45DC-8017-33190E781AB7}" srcOrd="4" destOrd="0" parTransId="{B3B0856F-BF59-4AE2-8A78-E96007B1F54B}" sibTransId="{47109583-0B26-4BB0-82A9-5B74AE1D3E76}"/>
    <dgm:cxn modelId="{F0094699-6A14-49A0-9C8A-DF378231A38A}" srcId="{EA9B9108-170E-404E-B5A9-C9FB5D0EE219}" destId="{424CF35C-BE45-4C16-91E6-E60674FC4AD9}" srcOrd="2" destOrd="0" parTransId="{880B6193-68B8-4F3B-8845-20C9FE3A88B7}" sibTransId="{3F7A7A28-2F9A-4405-A276-E2CC806BA025}"/>
    <dgm:cxn modelId="{F8D666AA-9765-4A78-A625-748A0A3FF287}" type="presOf" srcId="{EA9B9108-170E-404E-B5A9-C9FB5D0EE219}" destId="{76DE9AEA-33C7-4A71-8242-F3590ABEBB65}" srcOrd="0" destOrd="0" presId="urn:microsoft.com/office/officeart/2011/layout/CircleProcess"/>
    <dgm:cxn modelId="{F8A907BF-6D66-4FB0-A35C-4BF0C35A278F}" type="presOf" srcId="{B3B9F8EA-347F-4F6B-8CAD-4B631DCAAB15}" destId="{F74B32A6-F5AA-4E27-A350-DA1D6170D3BE}" srcOrd="1" destOrd="0" presId="urn:microsoft.com/office/officeart/2011/layout/CircleProcess"/>
    <dgm:cxn modelId="{2E697ABF-750A-47D4-92B2-4C1A692F4033}" type="presOf" srcId="{9A365622-21C4-4305-B854-5B525FC43849}" destId="{4C0DD5EF-7330-4FA4-A444-B9B776A1E068}" srcOrd="0" destOrd="0" presId="urn:microsoft.com/office/officeart/2011/layout/CircleProcess"/>
    <dgm:cxn modelId="{B39011C6-D8E6-4D22-A39E-9A9D75B45654}" srcId="{EA9B9108-170E-404E-B5A9-C9FB5D0EE219}" destId="{9A365622-21C4-4305-B854-5B525FC43849}" srcOrd="3" destOrd="0" parTransId="{D2E19261-2200-4D13-9401-FACDF0BCBC28}" sibTransId="{E4CAC746-3F63-4AC1-8B08-8AC705E55607}"/>
    <dgm:cxn modelId="{50B623E2-5A64-4C5F-A637-C6FE7CF67DB8}" type="presOf" srcId="{424CF35C-BE45-4C16-91E6-E60674FC4AD9}" destId="{CA9BF1A1-3D3A-41CF-AA74-40BD94AA2306}" srcOrd="0" destOrd="0" presId="urn:microsoft.com/office/officeart/2011/layout/CircleProcess"/>
    <dgm:cxn modelId="{956849FE-7BDF-4456-8156-59A4ECCE80C5}" srcId="{EA9B9108-170E-404E-B5A9-C9FB5D0EE219}" destId="{B3B9F8EA-347F-4F6B-8CAD-4B631DCAAB15}" srcOrd="0" destOrd="0" parTransId="{1DEE6910-0619-45E2-BD3D-C0D134DC0B71}" sibTransId="{11F41C46-9CB3-4E1D-8770-8ED767B33A75}"/>
    <dgm:cxn modelId="{7180D9A1-1EAB-43BC-A234-3706B927461C}" type="presParOf" srcId="{76DE9AEA-33C7-4A71-8242-F3590ABEBB65}" destId="{9C24AA66-4D75-4482-9E2E-19F591CA85E0}" srcOrd="0" destOrd="0" presId="urn:microsoft.com/office/officeart/2011/layout/CircleProcess"/>
    <dgm:cxn modelId="{8277DC9E-4B8B-454C-90A2-1BD769C4A87E}" type="presParOf" srcId="{9C24AA66-4D75-4482-9E2E-19F591CA85E0}" destId="{81F763D8-A8A6-4A5D-8941-2ABDF2379DA2}" srcOrd="0" destOrd="0" presId="urn:microsoft.com/office/officeart/2011/layout/CircleProcess"/>
    <dgm:cxn modelId="{06EF7E57-F915-400A-A5BE-31F8D95C58ED}" type="presParOf" srcId="{76DE9AEA-33C7-4A71-8242-F3590ABEBB65}" destId="{AEF030B6-E529-496C-A841-DE2C4C2BBED9}" srcOrd="1" destOrd="0" presId="urn:microsoft.com/office/officeart/2011/layout/CircleProcess"/>
    <dgm:cxn modelId="{B31559D0-4C78-46C3-8A22-8973428DBDC4}" type="presParOf" srcId="{AEF030B6-E529-496C-A841-DE2C4C2BBED9}" destId="{22EF9DBB-040F-47DA-A1FD-0C4FD5BAF27C}" srcOrd="0" destOrd="0" presId="urn:microsoft.com/office/officeart/2011/layout/CircleProcess"/>
    <dgm:cxn modelId="{FE529861-60BA-41A4-9C46-7A03BA02FE5E}" type="presParOf" srcId="{76DE9AEA-33C7-4A71-8242-F3590ABEBB65}" destId="{B638E012-8C1B-44F6-9CE8-8E8FFBBA6964}" srcOrd="2" destOrd="0" presId="urn:microsoft.com/office/officeart/2011/layout/CircleProcess"/>
    <dgm:cxn modelId="{BF2EC128-4927-4D21-858B-7D92493FB746}" type="presParOf" srcId="{76DE9AEA-33C7-4A71-8242-F3590ABEBB65}" destId="{124E67A9-0B7A-4503-9668-107D8AEF239C}" srcOrd="3" destOrd="0" presId="urn:microsoft.com/office/officeart/2011/layout/CircleProcess"/>
    <dgm:cxn modelId="{D488C6D1-E5D5-4133-AF32-6292E0F704F7}" type="presParOf" srcId="{124E67A9-0B7A-4503-9668-107D8AEF239C}" destId="{0879E703-95DD-465C-9021-CF385A484D00}" srcOrd="0" destOrd="0" presId="urn:microsoft.com/office/officeart/2011/layout/CircleProcess"/>
    <dgm:cxn modelId="{C130F0E0-576E-4226-9F98-65DF0CB890E5}" type="presParOf" srcId="{76DE9AEA-33C7-4A71-8242-F3590ABEBB65}" destId="{104BBEEC-477D-453A-B29F-CA4BD381B1E7}" srcOrd="4" destOrd="0" presId="urn:microsoft.com/office/officeart/2011/layout/CircleProcess"/>
    <dgm:cxn modelId="{823C1DF4-97CA-48D0-BC0D-246135581E8C}" type="presParOf" srcId="{104BBEEC-477D-453A-B29F-CA4BD381B1E7}" destId="{4C0DD5EF-7330-4FA4-A444-B9B776A1E068}" srcOrd="0" destOrd="0" presId="urn:microsoft.com/office/officeart/2011/layout/CircleProcess"/>
    <dgm:cxn modelId="{483C9A9F-90D0-4AE3-A0DA-F8933E34E2D9}" type="presParOf" srcId="{76DE9AEA-33C7-4A71-8242-F3590ABEBB65}" destId="{67C46B30-41F4-4DAD-90E8-5C37E73C8BD1}" srcOrd="5" destOrd="0" presId="urn:microsoft.com/office/officeart/2011/layout/CircleProcess"/>
    <dgm:cxn modelId="{4777A899-6423-4892-B2F9-8605682B3BC1}" type="presParOf" srcId="{76DE9AEA-33C7-4A71-8242-F3590ABEBB65}" destId="{36417712-3B76-4208-A132-4FC72B38AE7E}" srcOrd="6" destOrd="0" presId="urn:microsoft.com/office/officeart/2011/layout/CircleProcess"/>
    <dgm:cxn modelId="{23D8FE87-B60C-482D-97A5-294F94E00096}" type="presParOf" srcId="{36417712-3B76-4208-A132-4FC72B38AE7E}" destId="{24BF3F19-B5A8-4586-84B3-5744DEF53306}" srcOrd="0" destOrd="0" presId="urn:microsoft.com/office/officeart/2011/layout/CircleProcess"/>
    <dgm:cxn modelId="{20B51D26-EB2D-4E9F-903A-5B640AEA0F21}" type="presParOf" srcId="{76DE9AEA-33C7-4A71-8242-F3590ABEBB65}" destId="{41A967D8-A022-4F11-BBB6-8C3174557D50}" srcOrd="7" destOrd="0" presId="urn:microsoft.com/office/officeart/2011/layout/CircleProcess"/>
    <dgm:cxn modelId="{AE26BCDE-3FBE-4E01-BAB1-2D93EE4A8032}" type="presParOf" srcId="{41A967D8-A022-4F11-BBB6-8C3174557D50}" destId="{CA9BF1A1-3D3A-41CF-AA74-40BD94AA2306}" srcOrd="0" destOrd="0" presId="urn:microsoft.com/office/officeart/2011/layout/CircleProcess"/>
    <dgm:cxn modelId="{F676DFE8-66FF-460D-8467-B6D46EDB79C3}" type="presParOf" srcId="{76DE9AEA-33C7-4A71-8242-F3590ABEBB65}" destId="{91253490-0955-42EF-AE4B-409A2F54213C}" srcOrd="8" destOrd="0" presId="urn:microsoft.com/office/officeart/2011/layout/CircleProcess"/>
    <dgm:cxn modelId="{AD8834AC-7EE8-486F-A837-FACF5EA53A74}" type="presParOf" srcId="{76DE9AEA-33C7-4A71-8242-F3590ABEBB65}" destId="{B436AC7E-11FA-4CEB-9C5F-38F7BD176DEF}" srcOrd="9" destOrd="0" presId="urn:microsoft.com/office/officeart/2011/layout/CircleProcess"/>
    <dgm:cxn modelId="{82619F10-7C20-4595-A5E1-BB307F3BCD08}" type="presParOf" srcId="{B436AC7E-11FA-4CEB-9C5F-38F7BD176DEF}" destId="{A6B01FDC-7703-4321-A660-193D67AAB2FC}" srcOrd="0" destOrd="0" presId="urn:microsoft.com/office/officeart/2011/layout/CircleProcess"/>
    <dgm:cxn modelId="{617F19D6-3544-4866-AB2A-EA742A2EB2BA}" type="presParOf" srcId="{76DE9AEA-33C7-4A71-8242-F3590ABEBB65}" destId="{A652DA3E-87D5-41D0-B69E-9ABCBF99E84D}" srcOrd="10" destOrd="0" presId="urn:microsoft.com/office/officeart/2011/layout/CircleProcess"/>
    <dgm:cxn modelId="{9AF73F7F-DF31-45E0-A817-E6F14FAF58A8}" type="presParOf" srcId="{A652DA3E-87D5-41D0-B69E-9ABCBF99E84D}" destId="{6CCF37A1-FCE0-4000-B12C-AB5455681A17}" srcOrd="0" destOrd="0" presId="urn:microsoft.com/office/officeart/2011/layout/CircleProcess"/>
    <dgm:cxn modelId="{7371AAEE-022B-497F-BA74-568DBE0593DC}" type="presParOf" srcId="{76DE9AEA-33C7-4A71-8242-F3590ABEBB65}" destId="{F83449BD-00D5-45E2-AFAA-EAC268DE66B6}" srcOrd="11" destOrd="0" presId="urn:microsoft.com/office/officeart/2011/layout/CircleProcess"/>
    <dgm:cxn modelId="{EDAAD50E-1572-4075-BEB1-864826685616}" type="presParOf" srcId="{76DE9AEA-33C7-4A71-8242-F3590ABEBB65}" destId="{B091822E-BB05-47F5-A3BD-5DBA755B5607}" srcOrd="12" destOrd="0" presId="urn:microsoft.com/office/officeart/2011/layout/CircleProcess"/>
    <dgm:cxn modelId="{72C18C4C-8FCD-4047-95DB-5EBF9C7F832C}" type="presParOf" srcId="{B091822E-BB05-47F5-A3BD-5DBA755B5607}" destId="{7C71BBB5-15A2-4998-94FD-3BC2B8B58F74}" srcOrd="0" destOrd="0" presId="urn:microsoft.com/office/officeart/2011/layout/CircleProcess"/>
    <dgm:cxn modelId="{3410D5BC-4222-458C-97C9-FE15C55971D3}" type="presParOf" srcId="{76DE9AEA-33C7-4A71-8242-F3590ABEBB65}" destId="{D938BF80-F19A-4A94-837A-307BB7059D49}" srcOrd="13" destOrd="0" presId="urn:microsoft.com/office/officeart/2011/layout/CircleProcess"/>
    <dgm:cxn modelId="{F2E9C8F8-6234-411B-95A8-807356EE14AC}" type="presParOf" srcId="{D938BF80-F19A-4A94-837A-307BB7059D49}" destId="{D20F0652-5D9E-420C-8789-47D3663AC3A9}" srcOrd="0" destOrd="0" presId="urn:microsoft.com/office/officeart/2011/layout/CircleProcess"/>
    <dgm:cxn modelId="{8BD9E41B-DF5C-4AC3-B120-5EBAEC4DB98E}" type="presParOf" srcId="{76DE9AEA-33C7-4A71-8242-F3590ABEBB65}" destId="{F74B32A6-F5AA-4E27-A350-DA1D6170D3BE}" srcOrd="14" destOrd="0" presId="urn:microsoft.com/office/officeart/2011/layout/CircleProcess"/>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F763D8-A8A6-4A5D-8941-2ABDF2379DA2}">
      <dsp:nvSpPr>
        <dsp:cNvPr id="0" name=""/>
        <dsp:cNvSpPr/>
      </dsp:nvSpPr>
      <dsp:spPr>
        <a:xfrm>
          <a:off x="5090972" y="428180"/>
          <a:ext cx="1124851" cy="1125035"/>
        </a:xfrm>
        <a:prstGeom prst="ellipse">
          <a:avLst/>
        </a:prstGeom>
        <a:gradFill rotWithShape="0">
          <a:gsLst>
            <a:gs pos="0">
              <a:srgbClr val="4F81BD">
                <a:shade val="80000"/>
                <a:hueOff val="0"/>
                <a:satOff val="0"/>
                <a:lumOff val="0"/>
                <a:alphaOff val="0"/>
                <a:shade val="51000"/>
                <a:satMod val="130000"/>
              </a:srgbClr>
            </a:gs>
            <a:gs pos="80000">
              <a:srgbClr val="4F81BD">
                <a:shade val="80000"/>
                <a:hueOff val="0"/>
                <a:satOff val="0"/>
                <a:lumOff val="0"/>
                <a:alphaOff val="0"/>
                <a:shade val="93000"/>
                <a:satMod val="130000"/>
              </a:srgbClr>
            </a:gs>
            <a:gs pos="100000">
              <a:srgbClr val="4F81BD">
                <a:shade val="8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2EF9DBB-040F-47DA-A1FD-0C4FD5BAF27C}">
      <dsp:nvSpPr>
        <dsp:cNvPr id="0" name=""/>
        <dsp:cNvSpPr/>
      </dsp:nvSpPr>
      <dsp:spPr>
        <a:xfrm>
          <a:off x="5128088" y="465688"/>
          <a:ext cx="1050021" cy="1050020"/>
        </a:xfrm>
        <a:prstGeom prst="ellipse">
          <a:avLst/>
        </a:prstGeom>
        <a:solidFill>
          <a:srgbClr val="4BACC6">
            <a:lumMod val="60000"/>
            <a:lumOff val="40000"/>
          </a:srgbClr>
        </a:solidFill>
        <a:ln w="9525" cap="flat" cmpd="sng" algn="ctr">
          <a:solidFill>
            <a:srgbClr val="4F81BD">
              <a:shade val="80000"/>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 lastClr="FFFFFF"/>
              </a:solidFill>
              <a:latin typeface="Times New Roman" panose="02020603050405020304" pitchFamily="18" charset="0"/>
              <a:ea typeface="+mn-ea"/>
              <a:cs typeface="Times New Roman" panose="02020603050405020304" pitchFamily="18" charset="0"/>
            </a:rPr>
            <a:t>The Individual Consumer </a:t>
          </a:r>
        </a:p>
      </dsp:txBody>
      <dsp:txXfrm>
        <a:off x="5388198" y="725548"/>
        <a:ext cx="530400" cy="530300"/>
      </dsp:txXfrm>
    </dsp:sp>
    <dsp:sp modelId="{0879E703-95DD-465C-9021-CF385A484D00}">
      <dsp:nvSpPr>
        <dsp:cNvPr id="0" name=""/>
        <dsp:cNvSpPr/>
      </dsp:nvSpPr>
      <dsp:spPr>
        <a:xfrm rot="2700000">
          <a:off x="3927873" y="428239"/>
          <a:ext cx="1124721" cy="1124721"/>
        </a:xfrm>
        <a:prstGeom prst="teardrop">
          <a:avLst>
            <a:gd name="adj" fmla="val 100000"/>
          </a:avLst>
        </a:prstGeom>
        <a:gradFill rotWithShape="0">
          <a:gsLst>
            <a:gs pos="0">
              <a:srgbClr val="4F81BD">
                <a:shade val="80000"/>
                <a:hueOff val="76561"/>
                <a:satOff val="-1098"/>
                <a:lumOff val="6404"/>
                <a:alphaOff val="0"/>
                <a:shade val="51000"/>
                <a:satMod val="130000"/>
              </a:srgbClr>
            </a:gs>
            <a:gs pos="80000">
              <a:srgbClr val="4F81BD">
                <a:shade val="80000"/>
                <a:hueOff val="76561"/>
                <a:satOff val="-1098"/>
                <a:lumOff val="6404"/>
                <a:alphaOff val="0"/>
                <a:shade val="93000"/>
                <a:satMod val="130000"/>
              </a:srgbClr>
            </a:gs>
            <a:gs pos="100000">
              <a:srgbClr val="4F81BD">
                <a:shade val="80000"/>
                <a:hueOff val="76561"/>
                <a:satOff val="-1098"/>
                <a:lumOff val="6404"/>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C0DD5EF-7330-4FA4-A444-B9B776A1E068}">
      <dsp:nvSpPr>
        <dsp:cNvPr id="0" name=""/>
        <dsp:cNvSpPr/>
      </dsp:nvSpPr>
      <dsp:spPr>
        <a:xfrm>
          <a:off x="3966121" y="465688"/>
          <a:ext cx="1050021" cy="1050020"/>
        </a:xfrm>
        <a:prstGeom prst="ellipse">
          <a:avLst/>
        </a:prstGeom>
        <a:solidFill>
          <a:sysClr val="window" lastClr="FFFFFF">
            <a:alpha val="90000"/>
            <a:hueOff val="0"/>
            <a:satOff val="0"/>
            <a:lumOff val="0"/>
            <a:alphaOff val="0"/>
          </a:sysClr>
        </a:solidFill>
        <a:ln w="9525" cap="flat" cmpd="sng" algn="ctr">
          <a:solidFill>
            <a:srgbClr val="4F81BD">
              <a:shade val="80000"/>
              <a:hueOff val="76561"/>
              <a:satOff val="-1098"/>
              <a:lumOff val="6404"/>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Individual's Physical and Psychological make-up</a:t>
          </a:r>
        </a:p>
      </dsp:txBody>
      <dsp:txXfrm>
        <a:off x="4225632" y="725548"/>
        <a:ext cx="530400" cy="530300"/>
      </dsp:txXfrm>
    </dsp:sp>
    <dsp:sp modelId="{24BF3F19-B5A8-4586-84B3-5744DEF53306}">
      <dsp:nvSpPr>
        <dsp:cNvPr id="0" name=""/>
        <dsp:cNvSpPr/>
      </dsp:nvSpPr>
      <dsp:spPr>
        <a:xfrm rot="2700000">
          <a:off x="2765905" y="428239"/>
          <a:ext cx="1124721" cy="1124721"/>
        </a:xfrm>
        <a:prstGeom prst="teardrop">
          <a:avLst>
            <a:gd name="adj" fmla="val 100000"/>
          </a:avLst>
        </a:prstGeom>
        <a:gradFill rotWithShape="0">
          <a:gsLst>
            <a:gs pos="0">
              <a:srgbClr val="4F81BD">
                <a:shade val="80000"/>
                <a:hueOff val="153123"/>
                <a:satOff val="-2196"/>
                <a:lumOff val="12807"/>
                <a:alphaOff val="0"/>
                <a:shade val="51000"/>
                <a:satMod val="130000"/>
              </a:srgbClr>
            </a:gs>
            <a:gs pos="80000">
              <a:srgbClr val="4F81BD">
                <a:shade val="80000"/>
                <a:hueOff val="153123"/>
                <a:satOff val="-2196"/>
                <a:lumOff val="12807"/>
                <a:alphaOff val="0"/>
                <a:shade val="93000"/>
                <a:satMod val="130000"/>
              </a:srgbClr>
            </a:gs>
            <a:gs pos="100000">
              <a:srgbClr val="4F81BD">
                <a:shade val="80000"/>
                <a:hueOff val="153123"/>
                <a:satOff val="-2196"/>
                <a:lumOff val="12807"/>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A9BF1A1-3D3A-41CF-AA74-40BD94AA2306}">
      <dsp:nvSpPr>
        <dsp:cNvPr id="0" name=""/>
        <dsp:cNvSpPr/>
      </dsp:nvSpPr>
      <dsp:spPr>
        <a:xfrm>
          <a:off x="2803554" y="465688"/>
          <a:ext cx="1050021" cy="1050020"/>
        </a:xfrm>
        <a:prstGeom prst="ellipse">
          <a:avLst/>
        </a:prstGeom>
        <a:solidFill>
          <a:sysClr val="window" lastClr="FFFFFF">
            <a:alpha val="90000"/>
            <a:hueOff val="0"/>
            <a:satOff val="0"/>
            <a:lumOff val="0"/>
            <a:alphaOff val="0"/>
          </a:sysClr>
        </a:solidFill>
        <a:ln w="9525" cap="flat" cmpd="sng" algn="ctr">
          <a:solidFill>
            <a:srgbClr val="4F81BD">
              <a:shade val="80000"/>
              <a:hueOff val="153123"/>
              <a:satOff val="-2196"/>
              <a:lumOff val="12807"/>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Reference group</a:t>
          </a:r>
        </a:p>
      </dsp:txBody>
      <dsp:txXfrm>
        <a:off x="3063065" y="725548"/>
        <a:ext cx="530400" cy="530300"/>
      </dsp:txXfrm>
    </dsp:sp>
    <dsp:sp modelId="{A6B01FDC-7703-4321-A660-193D67AAB2FC}">
      <dsp:nvSpPr>
        <dsp:cNvPr id="0" name=""/>
        <dsp:cNvSpPr/>
      </dsp:nvSpPr>
      <dsp:spPr>
        <a:xfrm rot="2700000">
          <a:off x="1603339" y="428239"/>
          <a:ext cx="1124721" cy="1124721"/>
        </a:xfrm>
        <a:prstGeom prst="teardrop">
          <a:avLst>
            <a:gd name="adj" fmla="val 100000"/>
          </a:avLst>
        </a:prstGeom>
        <a:gradFill rotWithShape="0">
          <a:gsLst>
            <a:gs pos="0">
              <a:srgbClr val="4F81BD">
                <a:shade val="80000"/>
                <a:hueOff val="229684"/>
                <a:satOff val="-3294"/>
                <a:lumOff val="19211"/>
                <a:alphaOff val="0"/>
                <a:shade val="51000"/>
                <a:satMod val="130000"/>
              </a:srgbClr>
            </a:gs>
            <a:gs pos="80000">
              <a:srgbClr val="4F81BD">
                <a:shade val="80000"/>
                <a:hueOff val="229684"/>
                <a:satOff val="-3294"/>
                <a:lumOff val="19211"/>
                <a:alphaOff val="0"/>
                <a:shade val="93000"/>
                <a:satMod val="130000"/>
              </a:srgbClr>
            </a:gs>
            <a:gs pos="100000">
              <a:srgbClr val="4F81BD">
                <a:shade val="80000"/>
                <a:hueOff val="229684"/>
                <a:satOff val="-3294"/>
                <a:lumOff val="19211"/>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CCF37A1-FCE0-4000-B12C-AB5455681A17}">
      <dsp:nvSpPr>
        <dsp:cNvPr id="0" name=""/>
        <dsp:cNvSpPr/>
      </dsp:nvSpPr>
      <dsp:spPr>
        <a:xfrm>
          <a:off x="1640988" y="465688"/>
          <a:ext cx="1050021" cy="1050020"/>
        </a:xfrm>
        <a:prstGeom prst="ellipse">
          <a:avLst/>
        </a:prstGeom>
        <a:solidFill>
          <a:sysClr val="window" lastClr="FFFFFF">
            <a:alpha val="90000"/>
            <a:hueOff val="0"/>
            <a:satOff val="0"/>
            <a:lumOff val="0"/>
            <a:alphaOff val="0"/>
          </a:sysClr>
        </a:solidFill>
        <a:ln w="9525" cap="flat" cmpd="sng" algn="ctr">
          <a:solidFill>
            <a:srgbClr val="4F81BD">
              <a:shade val="80000"/>
              <a:hueOff val="229684"/>
              <a:satOff val="-3294"/>
              <a:lumOff val="19211"/>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Social class membership</a:t>
          </a:r>
        </a:p>
      </dsp:txBody>
      <dsp:txXfrm>
        <a:off x="1901098" y="725548"/>
        <a:ext cx="530400" cy="530300"/>
      </dsp:txXfrm>
    </dsp:sp>
    <dsp:sp modelId="{7C71BBB5-15A2-4998-94FD-3BC2B8B58F74}">
      <dsp:nvSpPr>
        <dsp:cNvPr id="0" name=""/>
        <dsp:cNvSpPr/>
      </dsp:nvSpPr>
      <dsp:spPr>
        <a:xfrm rot="2700000">
          <a:off x="440772" y="428239"/>
          <a:ext cx="1124721" cy="1124721"/>
        </a:xfrm>
        <a:prstGeom prst="teardrop">
          <a:avLst>
            <a:gd name="adj" fmla="val 100000"/>
          </a:avLst>
        </a:prstGeom>
        <a:gradFill rotWithShape="0">
          <a:gsLst>
            <a:gs pos="0">
              <a:srgbClr val="4F81BD">
                <a:shade val="80000"/>
                <a:hueOff val="306246"/>
                <a:satOff val="-4392"/>
                <a:lumOff val="25615"/>
                <a:alphaOff val="0"/>
                <a:shade val="51000"/>
                <a:satMod val="130000"/>
              </a:srgbClr>
            </a:gs>
            <a:gs pos="80000">
              <a:srgbClr val="4F81BD">
                <a:shade val="80000"/>
                <a:hueOff val="306246"/>
                <a:satOff val="-4392"/>
                <a:lumOff val="25615"/>
                <a:alphaOff val="0"/>
                <a:shade val="93000"/>
                <a:satMod val="130000"/>
              </a:srgbClr>
            </a:gs>
            <a:gs pos="100000">
              <a:srgbClr val="4F81BD">
                <a:shade val="80000"/>
                <a:hueOff val="306246"/>
                <a:satOff val="-4392"/>
                <a:lumOff val="25615"/>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20F0652-5D9E-420C-8789-47D3663AC3A9}">
      <dsp:nvSpPr>
        <dsp:cNvPr id="0" name=""/>
        <dsp:cNvSpPr/>
      </dsp:nvSpPr>
      <dsp:spPr>
        <a:xfrm>
          <a:off x="478422" y="465688"/>
          <a:ext cx="1050021" cy="1050020"/>
        </a:xfrm>
        <a:prstGeom prst="ellipse">
          <a:avLst/>
        </a:prstGeom>
        <a:solidFill>
          <a:sysClr val="window" lastClr="FFFFFF">
            <a:alpha val="90000"/>
            <a:hueOff val="0"/>
            <a:satOff val="0"/>
            <a:lumOff val="0"/>
            <a:alphaOff val="0"/>
          </a:sysClr>
        </a:solidFill>
        <a:ln w="9525" cap="flat" cmpd="sng" algn="ctr">
          <a:solidFill>
            <a:srgbClr val="4F81BD">
              <a:shade val="80000"/>
              <a:hueOff val="306246"/>
              <a:satOff val="-4392"/>
              <a:lumOff val="25615"/>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Cultural influences </a:t>
          </a:r>
        </a:p>
      </dsp:txBody>
      <dsp:txXfrm>
        <a:off x="738532" y="725548"/>
        <a:ext cx="530400" cy="530300"/>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3583</Words>
  <Characters>20429</Characters>
  <Application>Microsoft Office Word</Application>
  <DocSecurity>0</DocSecurity>
  <Lines>170</Lines>
  <Paragraphs>47</Paragraphs>
  <ScaleCrop>false</ScaleCrop>
  <Company/>
  <LinksUpToDate>false</LinksUpToDate>
  <CharactersWithSpaces>23965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447785782271</dc:creator>
  <cp:keywords/>
  <dc:description/>
  <cp:lastModifiedBy>447785782271</cp:lastModifiedBy>
  <cp:revision>2</cp:revision>
  <dcterms:created xsi:type="dcterms:W3CDTF">2020-08-28T23:19:00Z</dcterms:created>
  <dcterms:modified xsi:type="dcterms:W3CDTF">2020-08-28T23:20:00Z</dcterms:modified>
</cp:coreProperties>
</file>