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115310" w14:textId="77777777" w:rsidR="00537B9D" w:rsidRPr="004C08EA" w:rsidRDefault="00537B9D" w:rsidP="00D83FAD">
      <w:pPr>
        <w:spacing w:after="0"/>
        <w:jc w:val="center"/>
        <w:rPr>
          <w:rFonts w:cs="Arial"/>
          <w:b/>
          <w:bCs/>
          <w:sz w:val="32"/>
          <w:szCs w:val="32"/>
        </w:rPr>
      </w:pPr>
    </w:p>
    <w:p w14:paraId="4A082794" w14:textId="77777777" w:rsidR="00537B9D" w:rsidRPr="004C08EA" w:rsidRDefault="00537B9D" w:rsidP="00D83FAD">
      <w:pPr>
        <w:spacing w:after="0"/>
        <w:jc w:val="center"/>
        <w:rPr>
          <w:rFonts w:cs="Arial"/>
          <w:b/>
          <w:bCs/>
          <w:sz w:val="32"/>
          <w:szCs w:val="32"/>
        </w:rPr>
      </w:pPr>
    </w:p>
    <w:p w14:paraId="65C630C0" w14:textId="77777777" w:rsidR="00537B9D" w:rsidRPr="004C08EA" w:rsidRDefault="00537B9D" w:rsidP="00D83FAD">
      <w:pPr>
        <w:spacing w:after="0"/>
        <w:jc w:val="center"/>
        <w:rPr>
          <w:rFonts w:cs="Arial"/>
          <w:b/>
          <w:bCs/>
          <w:sz w:val="32"/>
          <w:szCs w:val="32"/>
        </w:rPr>
      </w:pPr>
    </w:p>
    <w:p w14:paraId="323276A8" w14:textId="77777777" w:rsidR="00537B9D" w:rsidRPr="004C08EA" w:rsidRDefault="00537B9D" w:rsidP="00D83FAD">
      <w:pPr>
        <w:spacing w:after="0"/>
        <w:jc w:val="center"/>
        <w:rPr>
          <w:rFonts w:cs="Arial"/>
          <w:b/>
          <w:bCs/>
          <w:sz w:val="32"/>
          <w:szCs w:val="32"/>
        </w:rPr>
      </w:pPr>
    </w:p>
    <w:p w14:paraId="4F8868BD" w14:textId="77777777" w:rsidR="00537B9D" w:rsidRPr="004C08EA" w:rsidRDefault="00537B9D" w:rsidP="00D83FAD">
      <w:pPr>
        <w:spacing w:after="0"/>
        <w:jc w:val="center"/>
        <w:rPr>
          <w:rFonts w:cs="Arial"/>
          <w:b/>
          <w:bCs/>
          <w:sz w:val="32"/>
          <w:szCs w:val="32"/>
        </w:rPr>
      </w:pPr>
    </w:p>
    <w:p w14:paraId="5450A63D" w14:textId="77777777" w:rsidR="00537B9D" w:rsidRPr="004C08EA" w:rsidRDefault="00537B9D" w:rsidP="00D83FAD">
      <w:pPr>
        <w:spacing w:after="0"/>
        <w:jc w:val="center"/>
        <w:rPr>
          <w:rFonts w:cs="Arial"/>
          <w:b/>
          <w:bCs/>
          <w:sz w:val="32"/>
          <w:szCs w:val="32"/>
        </w:rPr>
      </w:pPr>
    </w:p>
    <w:p w14:paraId="51AEFEDB" w14:textId="77777777" w:rsidR="00537B9D" w:rsidRPr="004C08EA" w:rsidRDefault="00537B9D" w:rsidP="00D83FAD">
      <w:pPr>
        <w:spacing w:after="0"/>
        <w:jc w:val="center"/>
        <w:rPr>
          <w:rFonts w:cs="Arial"/>
          <w:b/>
          <w:bCs/>
          <w:sz w:val="32"/>
          <w:szCs w:val="32"/>
        </w:rPr>
      </w:pPr>
    </w:p>
    <w:p w14:paraId="18962101" w14:textId="77777777" w:rsidR="00537B9D" w:rsidRPr="004C08EA" w:rsidRDefault="00537B9D" w:rsidP="00D83FAD">
      <w:pPr>
        <w:spacing w:after="0"/>
        <w:jc w:val="center"/>
        <w:rPr>
          <w:rFonts w:cs="Arial"/>
          <w:b/>
          <w:bCs/>
          <w:sz w:val="32"/>
          <w:szCs w:val="32"/>
        </w:rPr>
      </w:pPr>
    </w:p>
    <w:p w14:paraId="1C9AED23" w14:textId="77777777" w:rsidR="00537B9D" w:rsidRPr="004C08EA" w:rsidRDefault="00537B9D" w:rsidP="00D83FAD">
      <w:pPr>
        <w:spacing w:after="0"/>
        <w:jc w:val="center"/>
        <w:rPr>
          <w:rFonts w:cs="Arial"/>
          <w:b/>
          <w:bCs/>
          <w:sz w:val="32"/>
          <w:szCs w:val="32"/>
        </w:rPr>
      </w:pPr>
    </w:p>
    <w:p w14:paraId="1B2D4D4B" w14:textId="527CE646" w:rsidR="00537B9D" w:rsidRPr="004C08EA" w:rsidRDefault="00537B9D" w:rsidP="00D83FAD">
      <w:pPr>
        <w:spacing w:after="0"/>
        <w:jc w:val="center"/>
        <w:rPr>
          <w:rFonts w:cs="Arial"/>
          <w:b/>
          <w:bCs/>
          <w:sz w:val="32"/>
          <w:szCs w:val="32"/>
        </w:rPr>
      </w:pPr>
      <w:r w:rsidRPr="004C08EA">
        <w:rPr>
          <w:rFonts w:cs="Arial"/>
          <w:b/>
          <w:bCs/>
          <w:sz w:val="32"/>
          <w:szCs w:val="32"/>
        </w:rPr>
        <w:t>PROGRAMME: BSC HEALTH AND SOCIAL CARE</w:t>
      </w:r>
    </w:p>
    <w:p w14:paraId="33FB0945" w14:textId="4B165073" w:rsidR="00537B9D" w:rsidRDefault="00537B9D" w:rsidP="00D83FAD">
      <w:pPr>
        <w:spacing w:after="0"/>
        <w:jc w:val="center"/>
        <w:rPr>
          <w:rFonts w:cs="Arial"/>
          <w:b/>
          <w:bCs/>
          <w:sz w:val="32"/>
          <w:szCs w:val="32"/>
        </w:rPr>
      </w:pPr>
      <w:r w:rsidRPr="004C08EA">
        <w:rPr>
          <w:rFonts w:cs="Arial"/>
          <w:b/>
          <w:bCs/>
          <w:sz w:val="32"/>
          <w:szCs w:val="32"/>
        </w:rPr>
        <w:t>MODULE CODE: BMHP501</w:t>
      </w:r>
      <w:r w:rsidR="00157A72">
        <w:rPr>
          <w:rFonts w:cs="Arial"/>
          <w:b/>
          <w:bCs/>
          <w:sz w:val="32"/>
          <w:szCs w:val="32"/>
        </w:rPr>
        <w:t>4</w:t>
      </w:r>
    </w:p>
    <w:p w14:paraId="2E6F6A42" w14:textId="4160C66C" w:rsidR="000555CA" w:rsidRPr="004C08EA" w:rsidRDefault="008F0C46" w:rsidP="000555CA">
      <w:pPr>
        <w:spacing w:after="0"/>
        <w:jc w:val="center"/>
        <w:rPr>
          <w:rFonts w:cs="Arial"/>
          <w:b/>
          <w:bCs/>
          <w:sz w:val="32"/>
          <w:szCs w:val="32"/>
        </w:rPr>
      </w:pPr>
      <w:r>
        <w:rPr>
          <w:rFonts w:cs="Arial"/>
          <w:b/>
          <w:bCs/>
          <w:sz w:val="32"/>
          <w:szCs w:val="32"/>
        </w:rPr>
        <w:t>P</w:t>
      </w:r>
      <w:r w:rsidR="000555CA">
        <w:rPr>
          <w:rFonts w:cs="Arial"/>
          <w:b/>
          <w:bCs/>
          <w:sz w:val="32"/>
          <w:szCs w:val="32"/>
        </w:rPr>
        <w:t>OPY</w:t>
      </w:r>
      <w:r>
        <w:rPr>
          <w:rFonts w:cs="Arial"/>
          <w:b/>
          <w:bCs/>
          <w:sz w:val="32"/>
          <w:szCs w:val="32"/>
        </w:rPr>
        <w:t xml:space="preserve"> A</w:t>
      </w:r>
      <w:r w:rsidR="000555CA">
        <w:rPr>
          <w:rFonts w:cs="Arial"/>
          <w:b/>
          <w:bCs/>
          <w:sz w:val="32"/>
          <w:szCs w:val="32"/>
        </w:rPr>
        <w:t>KTER:</w:t>
      </w:r>
      <w:r>
        <w:rPr>
          <w:rFonts w:cs="Arial"/>
          <w:b/>
          <w:bCs/>
          <w:sz w:val="32"/>
          <w:szCs w:val="32"/>
        </w:rPr>
        <w:t xml:space="preserve"> 2408414</w:t>
      </w:r>
    </w:p>
    <w:p w14:paraId="409F596F" w14:textId="77777777" w:rsidR="00537B9D" w:rsidRPr="004C08EA" w:rsidRDefault="00537B9D" w:rsidP="00D83FAD">
      <w:pPr>
        <w:spacing w:after="0"/>
        <w:jc w:val="center"/>
        <w:rPr>
          <w:rFonts w:cs="Arial"/>
          <w:b/>
          <w:bCs/>
          <w:sz w:val="32"/>
          <w:szCs w:val="32"/>
        </w:rPr>
      </w:pPr>
      <w:r w:rsidRPr="004C08EA">
        <w:rPr>
          <w:rFonts w:cs="Arial"/>
          <w:b/>
          <w:bCs/>
          <w:sz w:val="32"/>
          <w:szCs w:val="32"/>
        </w:rPr>
        <w:t>MODULE: CHANGEMAKERS - CREATIVITY AND VALUE CREATION</w:t>
      </w:r>
    </w:p>
    <w:p w14:paraId="3C36C819" w14:textId="0D22C2A9" w:rsidR="00537B9D" w:rsidRPr="004C08EA" w:rsidRDefault="00537B9D" w:rsidP="00D83FAD">
      <w:pPr>
        <w:spacing w:after="0"/>
        <w:jc w:val="center"/>
        <w:rPr>
          <w:rFonts w:cs="Arial"/>
          <w:b/>
          <w:bCs/>
          <w:sz w:val="32"/>
          <w:szCs w:val="32"/>
        </w:rPr>
      </w:pPr>
      <w:r w:rsidRPr="004C08EA">
        <w:rPr>
          <w:rFonts w:cs="Arial"/>
          <w:b/>
          <w:bCs/>
          <w:sz w:val="32"/>
          <w:szCs w:val="32"/>
        </w:rPr>
        <w:t>ASSIGNMENT TITLE: COMPONENT 2 - WRITTEN ASSIGNMENT (POSTER AND PITCH)</w:t>
      </w:r>
    </w:p>
    <w:p w14:paraId="5F772C56" w14:textId="78C837A8" w:rsidR="00537B9D" w:rsidRPr="004C08EA" w:rsidRDefault="00FB6248" w:rsidP="00D83FAD">
      <w:pPr>
        <w:spacing w:after="0"/>
        <w:jc w:val="center"/>
        <w:rPr>
          <w:rFonts w:cs="Arial"/>
          <w:b/>
          <w:bCs/>
          <w:sz w:val="32"/>
          <w:szCs w:val="32"/>
          <w:lang w:val="en-IN"/>
        </w:rPr>
      </w:pPr>
      <w:r w:rsidRPr="004C08EA">
        <w:rPr>
          <w:rFonts w:cs="Arial"/>
          <w:b/>
          <w:bCs/>
          <w:sz w:val="32"/>
          <w:szCs w:val="32"/>
          <w:lang w:val="en-IN"/>
        </w:rPr>
        <w:t>“</w:t>
      </w:r>
      <w:r w:rsidR="00537B9D" w:rsidRPr="004C08EA">
        <w:rPr>
          <w:rFonts w:cs="Arial"/>
          <w:b/>
          <w:bCs/>
          <w:sz w:val="32"/>
          <w:szCs w:val="32"/>
          <w:lang w:val="en-IN"/>
        </w:rPr>
        <w:t>WELLBEING NEXUS - CONNECTING PEOPLE, CARE, AND COMPASSION</w:t>
      </w:r>
      <w:r w:rsidRPr="004C08EA">
        <w:rPr>
          <w:rFonts w:cs="Arial"/>
          <w:b/>
          <w:bCs/>
          <w:sz w:val="32"/>
          <w:szCs w:val="32"/>
          <w:lang w:val="en-IN"/>
        </w:rPr>
        <w:t>”</w:t>
      </w:r>
    </w:p>
    <w:p w14:paraId="06A72045" w14:textId="4E77AACA" w:rsidR="00537B9D" w:rsidRPr="004C08EA" w:rsidRDefault="00537B9D" w:rsidP="00D83FAD">
      <w:pPr>
        <w:spacing w:after="0"/>
        <w:rPr>
          <w:rFonts w:cs="Arial"/>
          <w:lang w:val="en-IN"/>
        </w:rPr>
      </w:pPr>
    </w:p>
    <w:p w14:paraId="4912EF92" w14:textId="77777777" w:rsidR="00537B9D" w:rsidRPr="004C08EA" w:rsidRDefault="00537B9D" w:rsidP="00D83FAD">
      <w:pPr>
        <w:spacing w:after="0"/>
        <w:jc w:val="left"/>
        <w:rPr>
          <w:rFonts w:cs="Arial"/>
          <w:b/>
          <w:bCs/>
          <w:lang w:val="en-IN"/>
        </w:rPr>
      </w:pPr>
      <w:r w:rsidRPr="004C08EA">
        <w:rPr>
          <w:rFonts w:cs="Arial"/>
          <w:b/>
          <w:bCs/>
          <w:lang w:val="en-IN"/>
        </w:rPr>
        <w:br w:type="page"/>
      </w:r>
    </w:p>
    <w:sdt>
      <w:sdtPr>
        <w:rPr>
          <w:rFonts w:ascii="Arial" w:eastAsiaTheme="minorHAnsi" w:hAnsi="Arial" w:cstheme="minorBidi"/>
          <w:color w:val="auto"/>
          <w:kern w:val="2"/>
          <w:sz w:val="22"/>
          <w:szCs w:val="22"/>
          <w:lang w:val="en-GB"/>
          <w14:ligatures w14:val="standardContextual"/>
        </w:rPr>
        <w:id w:val="1518036992"/>
        <w:docPartObj>
          <w:docPartGallery w:val="Table of Contents"/>
          <w:docPartUnique/>
        </w:docPartObj>
      </w:sdtPr>
      <w:sdtEndPr>
        <w:rPr>
          <w:b/>
          <w:bCs/>
          <w:noProof/>
        </w:rPr>
      </w:sdtEndPr>
      <w:sdtContent>
        <w:p w14:paraId="69150976" w14:textId="4613E562" w:rsidR="00806EEF" w:rsidRPr="00806EEF" w:rsidRDefault="00806EEF" w:rsidP="00806EEF">
          <w:pPr>
            <w:pStyle w:val="TOCHeading"/>
            <w:spacing w:line="360" w:lineRule="auto"/>
            <w:jc w:val="center"/>
            <w:rPr>
              <w:rFonts w:ascii="Arial" w:hAnsi="Arial" w:cs="Arial"/>
              <w:b/>
              <w:bCs/>
              <w:color w:val="auto"/>
              <w:sz w:val="28"/>
              <w:szCs w:val="28"/>
            </w:rPr>
          </w:pPr>
          <w:r w:rsidRPr="00806EEF">
            <w:rPr>
              <w:rFonts w:ascii="Arial" w:hAnsi="Arial" w:cs="Arial"/>
              <w:b/>
              <w:bCs/>
              <w:color w:val="auto"/>
              <w:sz w:val="28"/>
              <w:szCs w:val="28"/>
            </w:rPr>
            <w:t>Table of Contents</w:t>
          </w:r>
        </w:p>
        <w:p w14:paraId="15CF0C4C" w14:textId="3E0346D1" w:rsidR="00777F01" w:rsidRDefault="00806EEF">
          <w:pPr>
            <w:pStyle w:val="TOC1"/>
            <w:tabs>
              <w:tab w:val="right" w:leader="dot" w:pos="9016"/>
            </w:tabs>
            <w:rPr>
              <w:rFonts w:asciiTheme="minorHAnsi" w:eastAsiaTheme="minorEastAsia" w:hAnsiTheme="minorHAnsi"/>
              <w:noProof/>
              <w:sz w:val="24"/>
              <w:szCs w:val="24"/>
              <w:lang w:val="en-IN" w:eastAsia="en-IN"/>
            </w:rPr>
          </w:pPr>
          <w:r w:rsidRPr="00806EEF">
            <w:rPr>
              <w:rFonts w:cs="Arial"/>
            </w:rPr>
            <w:fldChar w:fldCharType="begin"/>
          </w:r>
          <w:r w:rsidRPr="00806EEF">
            <w:rPr>
              <w:rFonts w:cs="Arial"/>
            </w:rPr>
            <w:instrText xml:space="preserve"> TOC \o "1-3" \h \z \u </w:instrText>
          </w:r>
          <w:r w:rsidRPr="00806EEF">
            <w:rPr>
              <w:rFonts w:cs="Arial"/>
            </w:rPr>
            <w:fldChar w:fldCharType="separate"/>
          </w:r>
          <w:hyperlink w:anchor="_Toc221916688" w:history="1">
            <w:r w:rsidR="00777F01" w:rsidRPr="0053219A">
              <w:rPr>
                <w:rStyle w:val="Hyperlink"/>
                <w:noProof/>
                <w:lang w:val="en-IN"/>
              </w:rPr>
              <w:t>1. Poster</w:t>
            </w:r>
            <w:r w:rsidR="00777F01">
              <w:rPr>
                <w:noProof/>
                <w:webHidden/>
              </w:rPr>
              <w:tab/>
            </w:r>
            <w:r w:rsidR="00777F01">
              <w:rPr>
                <w:noProof/>
                <w:webHidden/>
              </w:rPr>
              <w:fldChar w:fldCharType="begin"/>
            </w:r>
            <w:r w:rsidR="00777F01">
              <w:rPr>
                <w:noProof/>
                <w:webHidden/>
              </w:rPr>
              <w:instrText xml:space="preserve"> PAGEREF _Toc221916688 \h </w:instrText>
            </w:r>
            <w:r w:rsidR="00777F01">
              <w:rPr>
                <w:noProof/>
                <w:webHidden/>
              </w:rPr>
            </w:r>
            <w:r w:rsidR="00777F01">
              <w:rPr>
                <w:noProof/>
                <w:webHidden/>
              </w:rPr>
              <w:fldChar w:fldCharType="separate"/>
            </w:r>
            <w:r w:rsidR="00777F01">
              <w:rPr>
                <w:noProof/>
                <w:webHidden/>
              </w:rPr>
              <w:t>3</w:t>
            </w:r>
            <w:r w:rsidR="00777F01">
              <w:rPr>
                <w:noProof/>
                <w:webHidden/>
              </w:rPr>
              <w:fldChar w:fldCharType="end"/>
            </w:r>
          </w:hyperlink>
        </w:p>
        <w:p w14:paraId="43177E2D" w14:textId="5C4837DA" w:rsidR="00777F01" w:rsidRDefault="00777F01">
          <w:pPr>
            <w:pStyle w:val="TOC1"/>
            <w:tabs>
              <w:tab w:val="right" w:leader="dot" w:pos="9016"/>
            </w:tabs>
            <w:rPr>
              <w:rFonts w:asciiTheme="minorHAnsi" w:eastAsiaTheme="minorEastAsia" w:hAnsiTheme="minorHAnsi"/>
              <w:noProof/>
              <w:sz w:val="24"/>
              <w:szCs w:val="24"/>
              <w:lang w:val="en-IN" w:eastAsia="en-IN"/>
            </w:rPr>
          </w:pPr>
          <w:hyperlink w:anchor="_Toc221916689" w:history="1">
            <w:r w:rsidRPr="0053219A">
              <w:rPr>
                <w:rStyle w:val="Hyperlink"/>
                <w:noProof/>
                <w:lang w:val="en-IN"/>
              </w:rPr>
              <w:t>2. Pitch</w:t>
            </w:r>
            <w:r>
              <w:rPr>
                <w:noProof/>
                <w:webHidden/>
              </w:rPr>
              <w:tab/>
            </w:r>
            <w:r>
              <w:rPr>
                <w:noProof/>
                <w:webHidden/>
              </w:rPr>
              <w:fldChar w:fldCharType="begin"/>
            </w:r>
            <w:r>
              <w:rPr>
                <w:noProof/>
                <w:webHidden/>
              </w:rPr>
              <w:instrText xml:space="preserve"> PAGEREF _Toc221916689 \h </w:instrText>
            </w:r>
            <w:r>
              <w:rPr>
                <w:noProof/>
                <w:webHidden/>
              </w:rPr>
            </w:r>
            <w:r>
              <w:rPr>
                <w:noProof/>
                <w:webHidden/>
              </w:rPr>
              <w:fldChar w:fldCharType="separate"/>
            </w:r>
            <w:r>
              <w:rPr>
                <w:noProof/>
                <w:webHidden/>
              </w:rPr>
              <w:t>4</w:t>
            </w:r>
            <w:r>
              <w:rPr>
                <w:noProof/>
                <w:webHidden/>
              </w:rPr>
              <w:fldChar w:fldCharType="end"/>
            </w:r>
          </w:hyperlink>
        </w:p>
        <w:p w14:paraId="77505185" w14:textId="0A2DD03F" w:rsidR="00777F01" w:rsidRDefault="00777F01">
          <w:pPr>
            <w:pStyle w:val="TOC1"/>
            <w:tabs>
              <w:tab w:val="right" w:leader="dot" w:pos="9016"/>
            </w:tabs>
            <w:rPr>
              <w:rFonts w:asciiTheme="minorHAnsi" w:eastAsiaTheme="minorEastAsia" w:hAnsiTheme="minorHAnsi"/>
              <w:noProof/>
              <w:sz w:val="24"/>
              <w:szCs w:val="24"/>
              <w:lang w:val="en-IN" w:eastAsia="en-IN"/>
            </w:rPr>
          </w:pPr>
          <w:hyperlink w:anchor="_Toc221916690" w:history="1">
            <w:r w:rsidRPr="0053219A">
              <w:rPr>
                <w:rStyle w:val="Hyperlink"/>
                <w:noProof/>
              </w:rPr>
              <w:t>List of References</w:t>
            </w:r>
            <w:r>
              <w:rPr>
                <w:noProof/>
                <w:webHidden/>
              </w:rPr>
              <w:tab/>
            </w:r>
            <w:r>
              <w:rPr>
                <w:noProof/>
                <w:webHidden/>
              </w:rPr>
              <w:fldChar w:fldCharType="begin"/>
            </w:r>
            <w:r>
              <w:rPr>
                <w:noProof/>
                <w:webHidden/>
              </w:rPr>
              <w:instrText xml:space="preserve"> PAGEREF _Toc221916690 \h </w:instrText>
            </w:r>
            <w:r>
              <w:rPr>
                <w:noProof/>
                <w:webHidden/>
              </w:rPr>
            </w:r>
            <w:r>
              <w:rPr>
                <w:noProof/>
                <w:webHidden/>
              </w:rPr>
              <w:fldChar w:fldCharType="separate"/>
            </w:r>
            <w:r>
              <w:rPr>
                <w:noProof/>
                <w:webHidden/>
              </w:rPr>
              <w:t>8</w:t>
            </w:r>
            <w:r>
              <w:rPr>
                <w:noProof/>
                <w:webHidden/>
              </w:rPr>
              <w:fldChar w:fldCharType="end"/>
            </w:r>
          </w:hyperlink>
        </w:p>
        <w:p w14:paraId="6718F172" w14:textId="5F545EF7" w:rsidR="00806EEF" w:rsidRDefault="00806EEF" w:rsidP="00806EEF">
          <w:r w:rsidRPr="00806EEF">
            <w:rPr>
              <w:rFonts w:cs="Arial"/>
              <w:b/>
              <w:bCs/>
              <w:noProof/>
            </w:rPr>
            <w:fldChar w:fldCharType="end"/>
          </w:r>
        </w:p>
      </w:sdtContent>
    </w:sdt>
    <w:p w14:paraId="25A9E763" w14:textId="77777777" w:rsidR="00806EEF" w:rsidRDefault="00806EEF">
      <w:pPr>
        <w:spacing w:line="259" w:lineRule="auto"/>
        <w:jc w:val="left"/>
        <w:rPr>
          <w:rFonts w:eastAsia="Arial" w:cs="Arial"/>
          <w:b/>
          <w:kern w:val="0"/>
          <w:sz w:val="28"/>
          <w:szCs w:val="40"/>
          <w:lang w:val="en-IN" w:eastAsia="en-IN"/>
          <w14:ligatures w14:val="none"/>
        </w:rPr>
      </w:pPr>
      <w:r>
        <w:rPr>
          <w:lang w:val="en-IN"/>
        </w:rPr>
        <w:br w:type="page"/>
      </w:r>
    </w:p>
    <w:p w14:paraId="27496CC8" w14:textId="528A7B52" w:rsidR="00537B9D" w:rsidRDefault="00537B9D" w:rsidP="00D83FAD">
      <w:pPr>
        <w:pStyle w:val="Heading1"/>
        <w:spacing w:before="0" w:after="0"/>
        <w:rPr>
          <w:lang w:val="en-IN"/>
        </w:rPr>
      </w:pPr>
      <w:bookmarkStart w:id="0" w:name="_Toc221916688"/>
      <w:r w:rsidRPr="004C08EA">
        <w:rPr>
          <w:lang w:val="en-IN"/>
        </w:rPr>
        <w:t>1. Poster</w:t>
      </w:r>
      <w:bookmarkEnd w:id="0"/>
      <w:r w:rsidRPr="004C08EA">
        <w:rPr>
          <w:lang w:val="en-IN"/>
        </w:rPr>
        <w:t xml:space="preserve"> </w:t>
      </w:r>
    </w:p>
    <w:p w14:paraId="1B970DA5" w14:textId="6B1FECAE" w:rsidR="00777F01" w:rsidRPr="00777F01" w:rsidRDefault="00777F01" w:rsidP="00777F01">
      <w:pPr>
        <w:rPr>
          <w:lang w:val="en-IN" w:eastAsia="en-IN"/>
        </w:rPr>
      </w:pPr>
      <w:r>
        <w:rPr>
          <w:noProof/>
        </w:rPr>
        <w:drawing>
          <wp:inline distT="0" distB="0" distL="0" distR="0" wp14:anchorId="42C7CFB7" wp14:editId="3CEAC1C0">
            <wp:extent cx="5731510" cy="8104505"/>
            <wp:effectExtent l="0" t="0" r="2540" b="0"/>
            <wp:docPr id="839572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57218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8104505"/>
                    </a:xfrm>
                    <a:prstGeom prst="rect">
                      <a:avLst/>
                    </a:prstGeom>
                  </pic:spPr>
                </pic:pic>
              </a:graphicData>
            </a:graphic>
          </wp:inline>
        </w:drawing>
      </w:r>
    </w:p>
    <w:p w14:paraId="6AB61EC5" w14:textId="77777777" w:rsidR="00777F01" w:rsidRDefault="00777F01">
      <w:pPr>
        <w:spacing w:line="259" w:lineRule="auto"/>
        <w:jc w:val="left"/>
        <w:rPr>
          <w:rFonts w:eastAsia="Times New Roman" w:cs="Arial"/>
          <w:b/>
          <w:kern w:val="0"/>
          <w:sz w:val="26"/>
          <w:szCs w:val="26"/>
          <w:lang w:val="en" w:eastAsia="en-IN"/>
          <w14:ligatures w14:val="none"/>
        </w:rPr>
      </w:pPr>
      <w:r>
        <w:rPr>
          <w:rFonts w:cs="Arial"/>
        </w:rPr>
        <w:br w:type="page"/>
      </w:r>
    </w:p>
    <w:p w14:paraId="6556191A" w14:textId="62FB020C" w:rsidR="00537B9D" w:rsidRDefault="00806EEF" w:rsidP="00D83FAD">
      <w:pPr>
        <w:pStyle w:val="Heading1"/>
        <w:spacing w:before="0" w:after="0"/>
        <w:rPr>
          <w:lang w:val="en-IN"/>
        </w:rPr>
      </w:pPr>
      <w:bookmarkStart w:id="1" w:name="_Toc221916689"/>
      <w:r>
        <w:rPr>
          <w:lang w:val="en-IN"/>
        </w:rPr>
        <w:t xml:space="preserve">2. </w:t>
      </w:r>
      <w:r w:rsidR="00537B9D" w:rsidRPr="004C08EA">
        <w:rPr>
          <w:lang w:val="en-IN"/>
        </w:rPr>
        <w:t>Pitch</w:t>
      </w:r>
      <w:bookmarkEnd w:id="1"/>
      <w:r w:rsidR="00537B9D" w:rsidRPr="004C08EA">
        <w:rPr>
          <w:lang w:val="en-IN"/>
        </w:rPr>
        <w:t xml:space="preserve"> </w:t>
      </w:r>
    </w:p>
    <w:p w14:paraId="1A504A52" w14:textId="69F4CFA0" w:rsidR="00365E2D" w:rsidRDefault="00365E2D" w:rsidP="00365E2D">
      <w:pPr>
        <w:jc w:val="center"/>
        <w:rPr>
          <w:lang w:val="en-IN" w:eastAsia="en-IN"/>
        </w:rPr>
      </w:pPr>
      <w:r w:rsidRPr="00365E2D">
        <w:rPr>
          <w:noProof/>
          <w:lang w:val="en-IN" w:eastAsia="en-IN"/>
        </w:rPr>
        <w:drawing>
          <wp:inline distT="0" distB="0" distL="0" distR="0" wp14:anchorId="264403BE" wp14:editId="0BFAB8ED">
            <wp:extent cx="5068570" cy="5068570"/>
            <wp:effectExtent l="0" t="0" r="0" b="0"/>
            <wp:docPr id="5016086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68570" cy="5068570"/>
                    </a:xfrm>
                    <a:prstGeom prst="rect">
                      <a:avLst/>
                    </a:prstGeom>
                    <a:noFill/>
                    <a:ln>
                      <a:noFill/>
                    </a:ln>
                  </pic:spPr>
                </pic:pic>
              </a:graphicData>
            </a:graphic>
          </wp:inline>
        </w:drawing>
      </w:r>
    </w:p>
    <w:p w14:paraId="0262913E" w14:textId="02290D3F" w:rsidR="00365E2D" w:rsidRPr="00C57C25" w:rsidRDefault="00365E2D" w:rsidP="00365E2D">
      <w:pPr>
        <w:jc w:val="center"/>
        <w:rPr>
          <w:b/>
          <w:bCs/>
          <w:lang w:val="en-IN" w:eastAsia="en-IN"/>
        </w:rPr>
      </w:pPr>
      <w:r w:rsidRPr="00C57C25">
        <w:rPr>
          <w:b/>
          <w:bCs/>
          <w:lang w:val="en-IN" w:eastAsia="en-IN"/>
        </w:rPr>
        <w:t>Figure 1: Logo</w:t>
      </w:r>
    </w:p>
    <w:p w14:paraId="3F489A2B" w14:textId="0B3F06F6" w:rsidR="00365E2D" w:rsidRPr="00365E2D" w:rsidRDefault="00365E2D" w:rsidP="00365E2D">
      <w:pPr>
        <w:jc w:val="center"/>
        <w:rPr>
          <w:lang w:val="en-IN" w:eastAsia="en-IN"/>
        </w:rPr>
      </w:pPr>
      <w:r>
        <w:rPr>
          <w:lang w:val="en-IN" w:eastAsia="en-IN"/>
        </w:rPr>
        <w:t>(Source: Self-developed)</w:t>
      </w:r>
    </w:p>
    <w:p w14:paraId="330DDE2D" w14:textId="77777777" w:rsidR="00537B9D" w:rsidRPr="004C08EA" w:rsidRDefault="00537B9D" w:rsidP="00D83FAD">
      <w:pPr>
        <w:spacing w:after="0"/>
        <w:rPr>
          <w:lang w:val="en-IN"/>
        </w:rPr>
      </w:pPr>
      <w:r w:rsidRPr="004C08EA">
        <w:rPr>
          <w:lang w:val="en-IN"/>
        </w:rPr>
        <w:t>Good morning,</w:t>
      </w:r>
    </w:p>
    <w:p w14:paraId="04176EF0" w14:textId="017DA6EB" w:rsidR="009F474C" w:rsidRPr="00D35A7F" w:rsidRDefault="009F474C" w:rsidP="00D83FAD">
      <w:pPr>
        <w:spacing w:after="0"/>
        <w:rPr>
          <w:lang w:val="en-IN"/>
        </w:rPr>
      </w:pPr>
      <w:r>
        <w:t xml:space="preserve">I am talking today about </w:t>
      </w:r>
      <w:r w:rsidRPr="004C08EA">
        <w:rPr>
          <w:lang w:val="en-IN"/>
        </w:rPr>
        <w:t xml:space="preserve">“Wellbeing Nexus - Connecting People, Care, and Compassion.” </w:t>
      </w:r>
      <w:r>
        <w:t xml:space="preserve">The program aims at enhancing the collaboration of health and social care services in the UK. As mentioned by </w:t>
      </w:r>
      <w:r w:rsidR="00C57C25" w:rsidRPr="000430E2">
        <w:t>Iparraguirre</w:t>
      </w:r>
      <w:r w:rsidR="00C57C25">
        <w:t xml:space="preserve"> (2020</w:t>
      </w:r>
      <w:r>
        <w:t xml:space="preserve">) though the NHS and social care professionals strive to the best of their ability, the system remains isolated that is why </w:t>
      </w:r>
      <w:r>
        <w:rPr>
          <w:lang w:val="en-IN"/>
        </w:rPr>
        <w:t>p</w:t>
      </w:r>
      <w:r w:rsidRPr="004C08EA">
        <w:rPr>
          <w:lang w:val="en-IN"/>
        </w:rPr>
        <w:t>atients often experience delays, repeated assessments, and confusion</w:t>
      </w:r>
      <w:r>
        <w:rPr>
          <w:lang w:val="en-IN"/>
        </w:rPr>
        <w:t xml:space="preserve"> even </w:t>
      </w:r>
      <w:r>
        <w:t>staff are exposed to burnout and stress.</w:t>
      </w:r>
      <w:r w:rsidRPr="004C08EA">
        <w:rPr>
          <w:lang w:val="en-IN"/>
        </w:rPr>
        <w:t xml:space="preserve"> “Wellbeing Nexus” offers </w:t>
      </w:r>
      <w:r>
        <w:t>a solution to those challenges which is practical and innovative.</w:t>
      </w:r>
    </w:p>
    <w:p w14:paraId="1F34556D" w14:textId="29B13378" w:rsidR="009F474C" w:rsidRDefault="009F474C" w:rsidP="00D83FAD">
      <w:pPr>
        <w:spacing w:after="0"/>
      </w:pPr>
      <w:r>
        <w:t xml:space="preserve">This issue is the lack of integration as services in health and social care tend to work in </w:t>
      </w:r>
      <w:r w:rsidRPr="004C08EA">
        <w:rPr>
          <w:lang w:val="en-IN"/>
        </w:rPr>
        <w:t>silos</w:t>
      </w:r>
      <w:r>
        <w:t>. A patient can visit a GP, go to hospital, get community nursing, as well as count on social care assistance in the house. However, these services are not always efficient in information sharing. The result is late discharges in the hospital, overlapping tests, and frustrations to the patients and family members (</w:t>
      </w:r>
      <w:r w:rsidR="00C57C25" w:rsidRPr="000430E2">
        <w:t>Gemine</w:t>
      </w:r>
      <w:r w:rsidR="00C57C25">
        <w:t xml:space="preserve"> </w:t>
      </w:r>
      <w:r w:rsidR="00C57C25">
        <w:rPr>
          <w:i/>
          <w:iCs/>
        </w:rPr>
        <w:t>et al.</w:t>
      </w:r>
      <w:r w:rsidR="00C57C25">
        <w:t>, 2021</w:t>
      </w:r>
      <w:r>
        <w:t xml:space="preserve">). </w:t>
      </w:r>
    </w:p>
    <w:p w14:paraId="4F970A01" w14:textId="06F61AE3" w:rsidR="00537B9D" w:rsidRPr="009F474C" w:rsidRDefault="009F474C" w:rsidP="00D83FAD">
      <w:pPr>
        <w:spacing w:after="0"/>
      </w:pPr>
      <w:r>
        <w:t xml:space="preserve">The coordinated care is vital in older adults, particularly those aged 65 and </w:t>
      </w:r>
      <w:r w:rsidRPr="004C08EA">
        <w:rPr>
          <w:lang w:val="en-IN"/>
        </w:rPr>
        <w:t xml:space="preserve">above </w:t>
      </w:r>
      <w:r>
        <w:t xml:space="preserve">who have long-term diseases like diabetes, heart disease, or dementia. As mentioned by </w:t>
      </w:r>
      <w:r w:rsidR="00C57C25" w:rsidRPr="000430E2">
        <w:t>Costello</w:t>
      </w:r>
      <w:r w:rsidR="00C57C25">
        <w:t xml:space="preserve"> </w:t>
      </w:r>
      <w:r w:rsidR="00C57C25">
        <w:rPr>
          <w:i/>
          <w:iCs/>
        </w:rPr>
        <w:t>et al.</w:t>
      </w:r>
      <w:r w:rsidR="00C57C25">
        <w:t xml:space="preserve"> (2020) </w:t>
      </w:r>
      <w:r w:rsidRPr="004C08EA">
        <w:rPr>
          <w:lang w:val="en-IN"/>
        </w:rPr>
        <w:t>UK has an ageing population</w:t>
      </w:r>
      <w:r>
        <w:rPr>
          <w:lang w:val="en-IN"/>
        </w:rPr>
        <w:t xml:space="preserve"> </w:t>
      </w:r>
      <w:r>
        <w:t xml:space="preserve">most of the people have complicated health conditions which are living longer. Such people usually need medical and social assistance. In case the systems are not interconnected, their wellbeing is compromised. </w:t>
      </w:r>
      <w:r w:rsidR="00FB6248" w:rsidRPr="004C08EA">
        <w:rPr>
          <w:lang w:val="en-IN"/>
        </w:rPr>
        <w:t>“</w:t>
      </w:r>
      <w:r w:rsidR="00537B9D" w:rsidRPr="004C08EA">
        <w:rPr>
          <w:lang w:val="en-IN"/>
        </w:rPr>
        <w:t>Wellbeing Nexus</w:t>
      </w:r>
      <w:r w:rsidR="00FB6248" w:rsidRPr="004C08EA">
        <w:rPr>
          <w:lang w:val="en-IN"/>
        </w:rPr>
        <w:t>”</w:t>
      </w:r>
      <w:r w:rsidR="00537B9D" w:rsidRPr="004C08EA">
        <w:rPr>
          <w:lang w:val="en-IN"/>
        </w:rPr>
        <w:t xml:space="preserve"> directly addresses this gap.</w:t>
      </w:r>
    </w:p>
    <w:p w14:paraId="7A683848" w14:textId="09E9E49D" w:rsidR="00743C30" w:rsidRDefault="00743C30" w:rsidP="00D83FAD">
      <w:pPr>
        <w:spacing w:after="0"/>
      </w:pPr>
      <w:r>
        <w:t xml:space="preserve">The initial one is “Nexus Hub” online platform, it is a secure system in which authorised NHS and social care professionals will be able to access shared dashboards. Professionals will be able to view an agreed care plan of a patient in a single location rather than reiterating the information. </w:t>
      </w:r>
      <w:r w:rsidRPr="004C08EA">
        <w:rPr>
          <w:lang w:val="en-IN"/>
        </w:rPr>
        <w:t>Patients and carers can also log their preferences, accessibility needs, and feedback</w:t>
      </w:r>
      <w:r>
        <w:rPr>
          <w:lang w:val="en-IN"/>
        </w:rPr>
        <w:t xml:space="preserve"> (</w:t>
      </w:r>
      <w:r w:rsidR="00C57C25" w:rsidRPr="000430E2">
        <w:t>Anderson</w:t>
      </w:r>
      <w:r w:rsidR="00C57C25">
        <w:t xml:space="preserve"> </w:t>
      </w:r>
      <w:r w:rsidR="00C57C25">
        <w:rPr>
          <w:i/>
          <w:iCs/>
        </w:rPr>
        <w:t>et al.</w:t>
      </w:r>
      <w:r w:rsidR="00C57C25">
        <w:t>, 2021</w:t>
      </w:r>
      <w:r>
        <w:rPr>
          <w:lang w:val="en-IN"/>
        </w:rPr>
        <w:t>).</w:t>
      </w:r>
      <w:r>
        <w:t xml:space="preserve"> This enhances person-centre care and dignity.</w:t>
      </w:r>
    </w:p>
    <w:p w14:paraId="047CFE4F" w14:textId="0C5667C1" w:rsidR="00743C30" w:rsidRDefault="00743C30" w:rsidP="00D83FAD">
      <w:pPr>
        <w:spacing w:after="0"/>
      </w:pPr>
      <w:r>
        <w:t xml:space="preserve">Another important innovation is the “AI-assisted Care Pathway Tracker.” It tracks appointments, </w:t>
      </w:r>
      <w:r w:rsidR="00C57C25">
        <w:t>referrals,</w:t>
      </w:r>
      <w:r>
        <w:t xml:space="preserve"> and progress. When one misses or gets late, the system notifies at the earliest time, this implies that the professionals will be able to intervene </w:t>
      </w:r>
      <w:r w:rsidRPr="004C08EA">
        <w:rPr>
          <w:lang w:val="en-IN"/>
        </w:rPr>
        <w:t>before problems become crises</w:t>
      </w:r>
      <w:r>
        <w:t>. As an illustration, when a vulnerable patient loses several appointments, the system will alert the team, this is a preventative measure that saves on hospitalized patients (</w:t>
      </w:r>
      <w:r w:rsidR="00C57C25" w:rsidRPr="000430E2">
        <w:t>Grote</w:t>
      </w:r>
      <w:r w:rsidR="00C57C25">
        <w:t xml:space="preserve"> </w:t>
      </w:r>
      <w:r w:rsidR="00C57C25">
        <w:rPr>
          <w:i/>
          <w:iCs/>
        </w:rPr>
        <w:t>et al.</w:t>
      </w:r>
      <w:r w:rsidR="00C57C25">
        <w:t>, 2021</w:t>
      </w:r>
      <w:r>
        <w:t>).</w:t>
      </w:r>
    </w:p>
    <w:p w14:paraId="02B77C88" w14:textId="3F6C36B2" w:rsidR="00743C30" w:rsidRDefault="00743C30" w:rsidP="00D83FAD">
      <w:pPr>
        <w:spacing w:after="0"/>
      </w:pPr>
      <w:r>
        <w:t xml:space="preserve">Another component is community empowerment and the </w:t>
      </w:r>
      <w:r w:rsidRPr="004C08EA">
        <w:rPr>
          <w:lang w:val="en-IN"/>
        </w:rPr>
        <w:t xml:space="preserve">campaign “Your Care, Your Nexus” </w:t>
      </w:r>
      <w:r>
        <w:rPr>
          <w:lang w:val="en-IN"/>
        </w:rPr>
        <w:t>makes</w:t>
      </w:r>
      <w:r>
        <w:t xml:space="preserve"> sure that the patients and carers are not the passive receivers of care. Communities can assist in co-designing services through workshops and local events of engagement. This is in line with the focus of the “NHS Long Term Plan” on the individual care and </w:t>
      </w:r>
      <w:r w:rsidRPr="004C08EA">
        <w:rPr>
          <w:lang w:val="en-IN"/>
        </w:rPr>
        <w:t xml:space="preserve">shared </w:t>
      </w:r>
      <w:r>
        <w:t xml:space="preserve">decision-making. It also conforms to the </w:t>
      </w:r>
      <w:r w:rsidRPr="004C08EA">
        <w:rPr>
          <w:lang w:val="en-IN"/>
        </w:rPr>
        <w:t xml:space="preserve">“Care Act 2014” </w:t>
      </w:r>
      <w:r>
        <w:t>which advocates health and participation in care planning (</w:t>
      </w:r>
      <w:r w:rsidR="00C57C25" w:rsidRPr="000430E2">
        <w:t>Raj</w:t>
      </w:r>
      <w:r w:rsidR="00C57C25">
        <w:t>, 2025</w:t>
      </w:r>
      <w:r>
        <w:t>).</w:t>
      </w:r>
    </w:p>
    <w:p w14:paraId="26E7E91D" w14:textId="77777777" w:rsidR="00FF536F" w:rsidRDefault="00FF536F" w:rsidP="00D83FAD">
      <w:pPr>
        <w:spacing w:after="0"/>
      </w:pPr>
      <w:r>
        <w:t>Listening to lived experience will decrease stigma and enhance trust. Storytelling campaigns put emphasis on actual journeys of health and social care. This increases the transparency of services and promotes interaction.</w:t>
      </w:r>
    </w:p>
    <w:p w14:paraId="53E1C1D1" w14:textId="3D081E85" w:rsidR="00FF536F" w:rsidRDefault="00FF536F" w:rsidP="00D83FAD">
      <w:pPr>
        <w:spacing w:after="0"/>
      </w:pPr>
      <w:r w:rsidRPr="004C08EA">
        <w:rPr>
          <w:lang w:val="en-IN"/>
        </w:rPr>
        <w:t xml:space="preserve">The </w:t>
      </w:r>
      <w:r>
        <w:rPr>
          <w:lang w:val="en-IN"/>
        </w:rPr>
        <w:t>next</w:t>
      </w:r>
      <w:r w:rsidRPr="004C08EA">
        <w:rPr>
          <w:lang w:val="en-IN"/>
        </w:rPr>
        <w:t xml:space="preserve"> component is the “Workforce Wellbeing Strategy</w:t>
      </w:r>
      <w:r>
        <w:rPr>
          <w:lang w:val="en-IN"/>
        </w:rPr>
        <w:t>” as w</w:t>
      </w:r>
      <w:r>
        <w:t xml:space="preserve">ithout supporting professionals, patient care cannot be ensured better. There is documented staff shortage and social care vacancies in the NHS. As per the statement of </w:t>
      </w:r>
      <w:r w:rsidR="00C57C25" w:rsidRPr="006B3CCC">
        <w:t>Nila</w:t>
      </w:r>
      <w:r w:rsidR="00C57C25">
        <w:t xml:space="preserve"> </w:t>
      </w:r>
      <w:r w:rsidR="00C57C25">
        <w:rPr>
          <w:i/>
          <w:iCs/>
        </w:rPr>
        <w:t>et al.</w:t>
      </w:r>
      <w:r w:rsidR="00C57C25">
        <w:t xml:space="preserve"> (2025)</w:t>
      </w:r>
      <w:r>
        <w:t xml:space="preserve"> burnout has implications on morale, retention, and quality of care. </w:t>
      </w:r>
      <w:r w:rsidRPr="004C08EA">
        <w:rPr>
          <w:lang w:val="en-IN"/>
        </w:rPr>
        <w:t xml:space="preserve">“Wellbeing Nexus” </w:t>
      </w:r>
      <w:r>
        <w:t>presents the ideas of peer-support networks, digital wellbeing check-ins, and empathetic communication and digital literacy training.</w:t>
      </w:r>
    </w:p>
    <w:p w14:paraId="70F29439" w14:textId="3AE839DE" w:rsidR="00FF536F" w:rsidRDefault="00FF536F" w:rsidP="00D83FAD">
      <w:pPr>
        <w:spacing w:after="0"/>
      </w:pPr>
      <w:r>
        <w:t xml:space="preserve">These practices are in line with the </w:t>
      </w:r>
      <w:r w:rsidRPr="004C08EA">
        <w:rPr>
          <w:lang w:val="en-IN"/>
        </w:rPr>
        <w:t xml:space="preserve">the “NHS People Plan” </w:t>
      </w:r>
      <w:r>
        <w:t xml:space="preserve">which focuses on the wellbeing of the staff, caring leadership, and supportive structures that are flexible. </w:t>
      </w:r>
      <w:r w:rsidRPr="004C08EA">
        <w:rPr>
          <w:lang w:val="en-IN"/>
        </w:rPr>
        <w:t xml:space="preserve">“Wellbeing Nexus” </w:t>
      </w:r>
      <w:r>
        <w:t xml:space="preserve">can lessen stress and enhance collaboration by giving employees secure venues to deliberate and seek help. Patient care increases when professionals feel encouraged and respected noted by </w:t>
      </w:r>
      <w:r w:rsidR="00C57C25" w:rsidRPr="006B3CCC">
        <w:t>Naylor</w:t>
      </w:r>
      <w:r w:rsidR="00C57C25">
        <w:t xml:space="preserve"> </w:t>
      </w:r>
      <w:r w:rsidR="00C57C25">
        <w:rPr>
          <w:i/>
          <w:iCs/>
        </w:rPr>
        <w:t>et al.</w:t>
      </w:r>
      <w:r w:rsidR="00C57C25">
        <w:t xml:space="preserve"> (2024).</w:t>
      </w:r>
    </w:p>
    <w:p w14:paraId="09E18C50" w14:textId="64214BBD" w:rsidR="00FF536F" w:rsidRDefault="00FF536F" w:rsidP="00D83FAD">
      <w:pPr>
        <w:spacing w:after="0"/>
      </w:pPr>
      <w:r>
        <w:t>Regarding policy and legislation</w:t>
      </w:r>
      <w:r w:rsidRPr="004C08EA">
        <w:rPr>
          <w:lang w:val="en-IN"/>
        </w:rPr>
        <w:t xml:space="preserve">, “Wellbeing Nexus” </w:t>
      </w:r>
      <w:r>
        <w:t xml:space="preserve">functions in the context of the UK frameworks. It adheres to the </w:t>
      </w:r>
      <w:r w:rsidRPr="004C08EA">
        <w:rPr>
          <w:lang w:val="en-IN"/>
        </w:rPr>
        <w:t xml:space="preserve">“UK General Data Protection Regulation” and the “Data Protection Act 2018,” </w:t>
      </w:r>
      <w:r>
        <w:t xml:space="preserve">ensures that personal information is safe and confidential. It supports the “Health and Care Act 2022” that encourages </w:t>
      </w:r>
      <w:r w:rsidRPr="004C08EA">
        <w:rPr>
          <w:lang w:val="en-IN"/>
        </w:rPr>
        <w:t>integration through “Integrated Care Systems (ICS)</w:t>
      </w:r>
      <w:r>
        <w:rPr>
          <w:lang w:val="en-IN"/>
        </w:rPr>
        <w:t>” (</w:t>
      </w:r>
      <w:r w:rsidR="00C57C25" w:rsidRPr="000430E2">
        <w:t>Grote</w:t>
      </w:r>
      <w:r w:rsidR="00C57C25">
        <w:t xml:space="preserve"> </w:t>
      </w:r>
      <w:r w:rsidR="00C57C25">
        <w:rPr>
          <w:i/>
          <w:iCs/>
        </w:rPr>
        <w:t>et al.</w:t>
      </w:r>
      <w:r w:rsidR="00C57C25">
        <w:t>, 2021</w:t>
      </w:r>
      <w:r>
        <w:rPr>
          <w:lang w:val="en-IN"/>
        </w:rPr>
        <w:t>).</w:t>
      </w:r>
      <w:r w:rsidRPr="004C08EA">
        <w:rPr>
          <w:lang w:val="en-IN"/>
        </w:rPr>
        <w:t xml:space="preserve"> </w:t>
      </w:r>
      <w:r>
        <w:t xml:space="preserve">The intention of these systems is to unite NHS organisations, the local authorities, and community partners. </w:t>
      </w:r>
      <w:r w:rsidRPr="004C08EA">
        <w:rPr>
          <w:lang w:val="en-IN"/>
        </w:rPr>
        <w:t xml:space="preserve">“Wellbeing Nexus” </w:t>
      </w:r>
      <w:r>
        <w:t xml:space="preserve">offers the </w:t>
      </w:r>
      <w:r w:rsidRPr="004C08EA">
        <w:rPr>
          <w:lang w:val="en-IN"/>
        </w:rPr>
        <w:t xml:space="preserve">digital </w:t>
      </w:r>
      <w:r>
        <w:rPr>
          <w:lang w:val="en-IN"/>
        </w:rPr>
        <w:t>as well as</w:t>
      </w:r>
      <w:r w:rsidRPr="004C08EA">
        <w:rPr>
          <w:lang w:val="en-IN"/>
        </w:rPr>
        <w:t xml:space="preserve"> structural </w:t>
      </w:r>
      <w:r>
        <w:t>assistance to render that integration feasible and quantifiable.</w:t>
      </w:r>
    </w:p>
    <w:p w14:paraId="44BFF3CE" w14:textId="3B85DD7F" w:rsidR="00537B9D" w:rsidRPr="004C08EA" w:rsidRDefault="00537B9D" w:rsidP="00D83FAD">
      <w:pPr>
        <w:spacing w:after="0"/>
        <w:rPr>
          <w:lang w:val="en-IN"/>
        </w:rPr>
      </w:pPr>
      <w:r w:rsidRPr="004C08EA">
        <w:rPr>
          <w:lang w:val="en-IN"/>
        </w:rPr>
        <w:t xml:space="preserve">The initiative also </w:t>
      </w:r>
      <w:r w:rsidR="00FF536F">
        <w:t xml:space="preserve">facilitates </w:t>
      </w:r>
      <w:r w:rsidR="000325E5" w:rsidRPr="004C08EA">
        <w:rPr>
          <w:lang w:val="en-IN"/>
        </w:rPr>
        <w:t>“</w:t>
      </w:r>
      <w:r w:rsidRPr="004C08EA">
        <w:rPr>
          <w:lang w:val="en-IN"/>
        </w:rPr>
        <w:t>Care Quality Commission</w:t>
      </w:r>
      <w:r w:rsidR="000325E5" w:rsidRPr="004C08EA">
        <w:rPr>
          <w:lang w:val="en-IN"/>
        </w:rPr>
        <w:t>”</w:t>
      </w:r>
      <w:r w:rsidRPr="004C08EA">
        <w:rPr>
          <w:lang w:val="en-IN"/>
        </w:rPr>
        <w:t xml:space="preserve"> standards </w:t>
      </w:r>
      <w:r w:rsidR="00FF536F">
        <w:t>by enhancing safety as well as responsiveness and effectiveness.</w:t>
      </w:r>
      <w:r w:rsidRPr="004C08EA">
        <w:rPr>
          <w:lang w:val="en-IN"/>
        </w:rPr>
        <w:t xml:space="preserve"> </w:t>
      </w:r>
      <w:r w:rsidR="00FF536F">
        <w:t>It enhances governance and quality assurance through the establishment of shared accountability and real-time monitoring.</w:t>
      </w:r>
    </w:p>
    <w:p w14:paraId="12F9042C" w14:textId="1AE1C73F" w:rsidR="00537B9D" w:rsidRPr="004C08EA" w:rsidRDefault="003867F6" w:rsidP="00D83FAD">
      <w:pPr>
        <w:spacing w:after="0"/>
        <w:rPr>
          <w:lang w:val="en-IN"/>
        </w:rPr>
      </w:pPr>
      <w:r w:rsidRPr="004C08EA">
        <w:rPr>
          <w:lang w:val="en-IN"/>
        </w:rPr>
        <w:t>“Wellbeing Nexus”</w:t>
      </w:r>
      <w:r>
        <w:rPr>
          <w:lang w:val="en-IN"/>
        </w:rPr>
        <w:t xml:space="preserve"> </w:t>
      </w:r>
      <w:r>
        <w:t xml:space="preserve">is for the advantage of </w:t>
      </w:r>
      <w:r w:rsidR="00537B9D" w:rsidRPr="004C08EA">
        <w:rPr>
          <w:lang w:val="en-IN"/>
        </w:rPr>
        <w:t>demographic</w:t>
      </w:r>
      <w:r>
        <w:rPr>
          <w:lang w:val="en-IN"/>
        </w:rPr>
        <w:t xml:space="preserve"> including</w:t>
      </w:r>
      <w:r w:rsidR="00537B9D" w:rsidRPr="004C08EA">
        <w:rPr>
          <w:lang w:val="en-IN"/>
        </w:rPr>
        <w:t xml:space="preserve"> older adults with multiple long-term conditions living at home. </w:t>
      </w:r>
      <w:r w:rsidR="008C37F8">
        <w:t xml:space="preserve">At the current stage, they might have problems with the appointment, </w:t>
      </w:r>
      <w:r w:rsidR="008C37F8" w:rsidRPr="004C08EA">
        <w:rPr>
          <w:lang w:val="en-IN"/>
        </w:rPr>
        <w:t xml:space="preserve">medication </w:t>
      </w:r>
      <w:r w:rsidR="008C37F8">
        <w:t>switch, and social care evaluation. Family carers usually experience being overwhelmed and not part of the communication (</w:t>
      </w:r>
      <w:r w:rsidR="00C57C25" w:rsidRPr="000430E2">
        <w:t>Zala</w:t>
      </w:r>
      <w:r w:rsidR="00C57C25">
        <w:t xml:space="preserve"> </w:t>
      </w:r>
      <w:r w:rsidR="00C57C25">
        <w:rPr>
          <w:i/>
          <w:iCs/>
        </w:rPr>
        <w:t>et al.</w:t>
      </w:r>
      <w:r w:rsidR="00C57C25">
        <w:t>, 2022</w:t>
      </w:r>
      <w:r w:rsidR="008C37F8">
        <w:t xml:space="preserve">). </w:t>
      </w:r>
      <w:r w:rsidR="008C37F8" w:rsidRPr="004C08EA">
        <w:rPr>
          <w:lang w:val="en-IN"/>
        </w:rPr>
        <w:t xml:space="preserve">Through “Wellbeing Nexus,” </w:t>
      </w:r>
      <w:r w:rsidR="008C37F8">
        <w:t>they can access updates, coordination plans, and communication. This helps in the alleviation of anxiety and fostering independence.</w:t>
      </w:r>
    </w:p>
    <w:p w14:paraId="4A9A2419" w14:textId="78C28C55" w:rsidR="003867F6" w:rsidRDefault="003867F6" w:rsidP="00D83FAD">
      <w:pPr>
        <w:spacing w:after="0"/>
      </w:pPr>
      <w:r w:rsidRPr="004C08EA">
        <w:rPr>
          <w:lang w:val="en-IN"/>
        </w:rPr>
        <w:t>“Wellbeing Nexus”</w:t>
      </w:r>
      <w:r>
        <w:rPr>
          <w:lang w:val="en-IN"/>
        </w:rPr>
        <w:t xml:space="preserve"> </w:t>
      </w:r>
      <w:r>
        <w:t>is for the advantage of the broader community. Delayed discharges are minimized, and this way, hospital beds are opened to those in need. The avoidable admissions also result in effective use of NHS resources. This helps to eliminate duplication of work by enhancing work co-operation (</w:t>
      </w:r>
      <w:r w:rsidR="00C57C25" w:rsidRPr="006B3CCC">
        <w:t>Naylor</w:t>
      </w:r>
      <w:r w:rsidR="00C57C25">
        <w:t xml:space="preserve"> </w:t>
      </w:r>
      <w:r w:rsidR="00C57C25">
        <w:rPr>
          <w:i/>
          <w:iCs/>
        </w:rPr>
        <w:t>et al.</w:t>
      </w:r>
      <w:r w:rsidR="00C57C25">
        <w:t>, 2024</w:t>
      </w:r>
      <w:r>
        <w:t>). This helps in the common good in enhancing efficiency, equity, and sustainability in the services of the government.</w:t>
      </w:r>
    </w:p>
    <w:p w14:paraId="161CA971" w14:textId="77777777" w:rsidR="003A2B38" w:rsidRDefault="003A2B38" w:rsidP="00D83FAD">
      <w:pPr>
        <w:spacing w:after="0"/>
      </w:pPr>
      <w:r>
        <w:t xml:space="preserve">In this model, technology is not eliminating the human care, instead it enhances it. The digital platform minimises the administrative load to give the professionals more time to attend to the patients. AI facilitates decision-making, but it does not interfere with clinical judgement. </w:t>
      </w:r>
    </w:p>
    <w:p w14:paraId="7F8CD658" w14:textId="608004E1" w:rsidR="003A2B38" w:rsidRDefault="003A2B38" w:rsidP="00D83FAD">
      <w:pPr>
        <w:spacing w:after="0"/>
      </w:pPr>
      <w:r>
        <w:t xml:space="preserve">It will be implemented by pilot programmes in some of the selected </w:t>
      </w:r>
      <w:r w:rsidRPr="004C08EA">
        <w:rPr>
          <w:lang w:val="en-IN"/>
        </w:rPr>
        <w:t xml:space="preserve">within selected “Integrated Care Systems.” </w:t>
      </w:r>
      <w:r>
        <w:t>These pilots will check the interoperability between the NHS electronic records and the local authority systems. Improvements will be guided by feedback both by staff and patients before wider implementation. The professionals will be trained and made sure they are familiar with the system. Trust and awareness will be created through community involvement (</w:t>
      </w:r>
      <w:r w:rsidR="00C57C25" w:rsidRPr="006B3CCC">
        <w:t>Dutton</w:t>
      </w:r>
      <w:r w:rsidR="00C57C25">
        <w:t xml:space="preserve"> </w:t>
      </w:r>
      <w:r w:rsidR="00C57C25">
        <w:rPr>
          <w:i/>
          <w:iCs/>
        </w:rPr>
        <w:t>et al.</w:t>
      </w:r>
      <w:r w:rsidR="00C57C25">
        <w:t>, 2023</w:t>
      </w:r>
      <w:r>
        <w:t>).</w:t>
      </w:r>
    </w:p>
    <w:p w14:paraId="11BC93FE" w14:textId="591BFB18" w:rsidR="00FF536F" w:rsidRDefault="008E09C1" w:rsidP="00D83FAD">
      <w:pPr>
        <w:spacing w:after="0"/>
        <w:rPr>
          <w:lang w:val="en-IN"/>
        </w:rPr>
      </w:pPr>
      <w:r>
        <w:rPr>
          <w:lang w:val="en-IN"/>
        </w:rPr>
        <w:t xml:space="preserve">With the help of </w:t>
      </w:r>
      <w:r w:rsidRPr="004C08EA">
        <w:rPr>
          <w:lang w:val="en-IN"/>
        </w:rPr>
        <w:t>NHS communication channels</w:t>
      </w:r>
      <w:r>
        <w:rPr>
          <w:lang w:val="en-IN"/>
        </w:rPr>
        <w:t xml:space="preserve"> as well as </w:t>
      </w:r>
      <w:r w:rsidRPr="004C08EA">
        <w:rPr>
          <w:lang w:val="en-IN"/>
        </w:rPr>
        <w:t>professional networks</w:t>
      </w:r>
      <w:r>
        <w:rPr>
          <w:lang w:val="en-IN"/>
        </w:rPr>
        <w:t xml:space="preserve"> along with </w:t>
      </w:r>
      <w:r w:rsidRPr="004C08EA">
        <w:rPr>
          <w:lang w:val="en-IN"/>
        </w:rPr>
        <w:t>community organisations and digital media campaigns promotion</w:t>
      </w:r>
      <w:r w:rsidR="00537B9D" w:rsidRPr="004C08EA">
        <w:rPr>
          <w:lang w:val="en-IN"/>
        </w:rPr>
        <w:t xml:space="preserve"> will take place</w:t>
      </w:r>
      <w:r>
        <w:rPr>
          <w:lang w:val="en-IN"/>
        </w:rPr>
        <w:t xml:space="preserve"> (</w:t>
      </w:r>
      <w:r w:rsidR="00C57C25" w:rsidRPr="000430E2">
        <w:t>Siegel</w:t>
      </w:r>
      <w:r w:rsidR="00C57C25">
        <w:t>, 2023</w:t>
      </w:r>
      <w:r>
        <w:rPr>
          <w:lang w:val="en-IN"/>
        </w:rPr>
        <w:t>)</w:t>
      </w:r>
      <w:r w:rsidR="00537B9D" w:rsidRPr="004C08EA">
        <w:rPr>
          <w:lang w:val="en-IN"/>
        </w:rPr>
        <w:t xml:space="preserve">. </w:t>
      </w:r>
      <w:r>
        <w:t>Credibility will be enhanced by engaging the participation of respected institutions as well as front line professionals.</w:t>
      </w:r>
      <w:r>
        <w:rPr>
          <w:lang w:val="en-IN"/>
        </w:rPr>
        <w:t xml:space="preserve"> </w:t>
      </w:r>
      <w:r w:rsidR="00537B9D" w:rsidRPr="004C08EA">
        <w:rPr>
          <w:lang w:val="en-IN"/>
        </w:rPr>
        <w:t xml:space="preserve">The success of </w:t>
      </w:r>
      <w:r w:rsidR="000325E5" w:rsidRPr="004C08EA">
        <w:rPr>
          <w:lang w:val="en-IN"/>
        </w:rPr>
        <w:t>“</w:t>
      </w:r>
      <w:r w:rsidR="00537B9D" w:rsidRPr="004C08EA">
        <w:rPr>
          <w:lang w:val="en-IN"/>
        </w:rPr>
        <w:t>Wellbeing Nexus</w:t>
      </w:r>
      <w:r w:rsidR="000325E5" w:rsidRPr="004C08EA">
        <w:rPr>
          <w:lang w:val="en-IN"/>
        </w:rPr>
        <w:t>”</w:t>
      </w:r>
      <w:r w:rsidR="00537B9D" w:rsidRPr="004C08EA">
        <w:rPr>
          <w:lang w:val="en-IN"/>
        </w:rPr>
        <w:t xml:space="preserve"> will be measured through key indicators</w:t>
      </w:r>
      <w:r w:rsidR="00FF536F">
        <w:rPr>
          <w:lang w:val="en-IN"/>
        </w:rPr>
        <w:t xml:space="preserve"> several aspects like the follows:</w:t>
      </w:r>
    </w:p>
    <w:p w14:paraId="46A53FA9" w14:textId="064BF61E" w:rsidR="00FF536F" w:rsidRPr="00FF536F" w:rsidRDefault="00FF536F" w:rsidP="00D83FAD">
      <w:pPr>
        <w:pStyle w:val="ListParagraph"/>
        <w:numPr>
          <w:ilvl w:val="0"/>
          <w:numId w:val="5"/>
        </w:numPr>
        <w:spacing w:after="0"/>
        <w:rPr>
          <w:lang w:val="en-IN"/>
        </w:rPr>
      </w:pPr>
      <w:r w:rsidRPr="00FF536F">
        <w:rPr>
          <w:lang w:val="en-IN"/>
        </w:rPr>
        <w:t>Reduced hospital readmissions</w:t>
      </w:r>
    </w:p>
    <w:p w14:paraId="616A1D66" w14:textId="10DCE3F6" w:rsidR="00FF536F" w:rsidRPr="00FF536F" w:rsidRDefault="00FF536F" w:rsidP="00D83FAD">
      <w:pPr>
        <w:pStyle w:val="ListParagraph"/>
        <w:numPr>
          <w:ilvl w:val="0"/>
          <w:numId w:val="5"/>
        </w:numPr>
        <w:spacing w:after="0"/>
        <w:rPr>
          <w:lang w:val="en-IN"/>
        </w:rPr>
      </w:pPr>
      <w:r w:rsidRPr="00FF536F">
        <w:rPr>
          <w:lang w:val="en-IN"/>
        </w:rPr>
        <w:t>Improved patient satisfaction scores</w:t>
      </w:r>
    </w:p>
    <w:p w14:paraId="69BA0A6D" w14:textId="051B0094" w:rsidR="00FF536F" w:rsidRPr="00FF536F" w:rsidRDefault="00FF536F" w:rsidP="00D83FAD">
      <w:pPr>
        <w:pStyle w:val="ListParagraph"/>
        <w:numPr>
          <w:ilvl w:val="0"/>
          <w:numId w:val="5"/>
        </w:numPr>
        <w:spacing w:after="0"/>
        <w:rPr>
          <w:lang w:val="en-IN"/>
        </w:rPr>
      </w:pPr>
      <w:r w:rsidRPr="00FF536F">
        <w:rPr>
          <w:lang w:val="en-IN"/>
        </w:rPr>
        <w:t>Reduced staff burnout levels</w:t>
      </w:r>
    </w:p>
    <w:p w14:paraId="6477CC71" w14:textId="127AFA4E" w:rsidR="00537B9D" w:rsidRPr="00FF536F" w:rsidRDefault="00FF536F" w:rsidP="00D83FAD">
      <w:pPr>
        <w:pStyle w:val="ListParagraph"/>
        <w:numPr>
          <w:ilvl w:val="0"/>
          <w:numId w:val="5"/>
        </w:numPr>
        <w:spacing w:after="0"/>
        <w:rPr>
          <w:lang w:val="en-IN"/>
        </w:rPr>
      </w:pPr>
      <w:r w:rsidRPr="00FF536F">
        <w:rPr>
          <w:lang w:val="en-IN"/>
        </w:rPr>
        <w:t>Shorter discharge delays</w:t>
      </w:r>
    </w:p>
    <w:p w14:paraId="4180DB27" w14:textId="77777777" w:rsidR="00FF536F" w:rsidRDefault="00FF536F" w:rsidP="00D83FAD">
      <w:pPr>
        <w:spacing w:after="0"/>
      </w:pPr>
      <w:r>
        <w:t xml:space="preserve">To sum up, </w:t>
      </w:r>
      <w:r w:rsidRPr="004C08EA">
        <w:rPr>
          <w:lang w:val="en-IN"/>
        </w:rPr>
        <w:t xml:space="preserve">“Wellbeing Nexus” </w:t>
      </w:r>
      <w:r>
        <w:t>is not a digital platform only. It is a cultural change to integration, compassion, and cooperation. It responds to existing system pressures as well as complies with the legislation of the UK and the NHS policy. It sustains patients, empowers communities, and safeguards workforce wellbeing.</w:t>
      </w:r>
    </w:p>
    <w:p w14:paraId="4AA07463" w14:textId="77777777" w:rsidR="00FF536F" w:rsidRDefault="00FF536F" w:rsidP="00D83FAD">
      <w:pPr>
        <w:spacing w:after="0"/>
      </w:pPr>
      <w:r>
        <w:t xml:space="preserve">Connection forms the basis of better care. With the adoption of </w:t>
      </w:r>
      <w:r w:rsidRPr="004C08EA">
        <w:rPr>
          <w:lang w:val="en-IN"/>
        </w:rPr>
        <w:t xml:space="preserve">“Wellbeing Nexus” </w:t>
      </w:r>
      <w:r>
        <w:t>we are a step closer to the seamless, dignified, and future-sustainable health and social care system.</w:t>
      </w:r>
    </w:p>
    <w:p w14:paraId="460CFBEE" w14:textId="237DA21E" w:rsidR="00D83FAD" w:rsidRPr="001E0A69" w:rsidRDefault="00537B9D" w:rsidP="001E0A69">
      <w:pPr>
        <w:spacing w:after="0"/>
        <w:rPr>
          <w:lang w:val="en-IN"/>
        </w:rPr>
      </w:pPr>
      <w:r w:rsidRPr="004C08EA">
        <w:rPr>
          <w:lang w:val="en-IN"/>
        </w:rPr>
        <w:t>Thank you.</w:t>
      </w:r>
    </w:p>
    <w:p w14:paraId="79F91110" w14:textId="77777777" w:rsidR="001E0A69" w:rsidRDefault="001E0A69">
      <w:pPr>
        <w:spacing w:line="259" w:lineRule="auto"/>
        <w:jc w:val="left"/>
        <w:rPr>
          <w:rFonts w:eastAsia="Arial" w:cs="Arial"/>
          <w:b/>
          <w:kern w:val="0"/>
          <w:sz w:val="28"/>
          <w:szCs w:val="40"/>
          <w:lang w:eastAsia="en-IN"/>
          <w14:ligatures w14:val="none"/>
        </w:rPr>
      </w:pPr>
      <w:r>
        <w:br w:type="page"/>
      </w:r>
    </w:p>
    <w:p w14:paraId="3B7183B7" w14:textId="25C10C14" w:rsidR="00B7464E" w:rsidRDefault="00D83FAD" w:rsidP="00D83FAD">
      <w:pPr>
        <w:pStyle w:val="Heading1"/>
      </w:pPr>
      <w:bookmarkStart w:id="2" w:name="_Toc221916690"/>
      <w:r>
        <w:t>List of References</w:t>
      </w:r>
      <w:bookmarkEnd w:id="2"/>
    </w:p>
    <w:p w14:paraId="068C9B40" w14:textId="77777777" w:rsidR="001E0A69" w:rsidRDefault="001E0A69" w:rsidP="001E0A69">
      <w:pPr>
        <w:spacing w:after="0"/>
      </w:pPr>
      <w:r w:rsidRPr="000430E2">
        <w:t>Anderson, M., O'Neill, C., Clark, J.M., Street, A., Woods, M., Johnston-Webber, C., Charlesworth, A., Whyte, M., Foster, M., Majeed, A. and Pitchforth, E., 2021. Securing a sustainable and fit-for-purpose UK health and care workforce. </w:t>
      </w:r>
      <w:r w:rsidRPr="001E0A69">
        <w:rPr>
          <w:i/>
          <w:iCs/>
        </w:rPr>
        <w:t>The Lancet</w:t>
      </w:r>
      <w:r w:rsidRPr="000430E2">
        <w:t>, </w:t>
      </w:r>
      <w:r w:rsidRPr="001E0A69">
        <w:rPr>
          <w:i/>
          <w:iCs/>
        </w:rPr>
        <w:t>397</w:t>
      </w:r>
      <w:r w:rsidRPr="000430E2">
        <w:t>(10288), pp.1992-2011.</w:t>
      </w:r>
      <w:r>
        <w:t xml:space="preserve"> </w:t>
      </w:r>
      <w:hyperlink r:id="rId11" w:history="1">
        <w:r w:rsidRPr="00AF315E">
          <w:rPr>
            <w:rStyle w:val="Hyperlink"/>
          </w:rPr>
          <w:t>https://www.thelancet.com/journals/lancet/article/PIIS0140-6736(21)00231-2/abstract</w:t>
        </w:r>
      </w:hyperlink>
    </w:p>
    <w:p w14:paraId="5B2C8D10" w14:textId="77777777" w:rsidR="001E0A69" w:rsidRDefault="001E0A69" w:rsidP="001E0A69">
      <w:pPr>
        <w:spacing w:after="0"/>
      </w:pPr>
      <w:r w:rsidRPr="000430E2">
        <w:t>BPS Communications</w:t>
      </w:r>
      <w:r>
        <w:t xml:space="preserve">, (2025). </w:t>
      </w:r>
      <w:r w:rsidRPr="001E0A69">
        <w:rPr>
          <w:i/>
          <w:iCs/>
        </w:rPr>
        <w:t>“NHS staff are experiencing unacceptable levels of burnout and discrimination”.</w:t>
      </w:r>
      <w:r>
        <w:t xml:space="preserve"> </w:t>
      </w:r>
      <w:hyperlink r:id="rId12" w:history="1">
        <w:r w:rsidRPr="00AF315E">
          <w:rPr>
            <w:rStyle w:val="Hyperlink"/>
          </w:rPr>
          <w:t>https://www.bps.org.uk/news/nhs-staff-are-experiencing-unacceptable-levels-burnout-and-discrimination</w:t>
        </w:r>
      </w:hyperlink>
    </w:p>
    <w:p w14:paraId="572C7C19" w14:textId="77777777" w:rsidR="001E0A69" w:rsidRDefault="001E0A69" w:rsidP="001E0A69">
      <w:pPr>
        <w:spacing w:after="0"/>
      </w:pPr>
      <w:r w:rsidRPr="000430E2">
        <w:t>Cave, E., Charlesworth, A., Dacre, J., Francis, R., Pearson, D., Baker, M., Davies, C., Gordon, N., Hussain, W., Patterson, H. and Perrin, N., 2023. Evaluation of Government commitments made on the digitisation of the NHS Fourth Special Report of Session 2022–23.</w:t>
      </w:r>
      <w:r>
        <w:t xml:space="preserve"> </w:t>
      </w:r>
      <w:hyperlink r:id="rId13" w:history="1">
        <w:r w:rsidRPr="00AF315E">
          <w:rPr>
            <w:rStyle w:val="Hyperlink"/>
          </w:rPr>
          <w:t>https://discovery.ucl.ac.uk/id/eprint/10193743/1/2023-02-17-DigitisationReport.pdf</w:t>
        </w:r>
      </w:hyperlink>
    </w:p>
    <w:p w14:paraId="60A1AA64" w14:textId="77777777" w:rsidR="001E0A69" w:rsidRDefault="001E0A69" w:rsidP="001E0A69">
      <w:pPr>
        <w:spacing w:after="0"/>
      </w:pPr>
      <w:r w:rsidRPr="000430E2">
        <w:t>Costello, H., Cooper, C., Marston, L. and Livingston, G., 2020. Burnout in UK care home staff and its effect on staff turnover: MARQUE English national care home longitudinal survey. </w:t>
      </w:r>
      <w:r w:rsidRPr="001E0A69">
        <w:rPr>
          <w:i/>
          <w:iCs/>
        </w:rPr>
        <w:t>Age and Ageing</w:t>
      </w:r>
      <w:r w:rsidRPr="000430E2">
        <w:t>, </w:t>
      </w:r>
      <w:r w:rsidRPr="001E0A69">
        <w:rPr>
          <w:i/>
          <w:iCs/>
        </w:rPr>
        <w:t>49</w:t>
      </w:r>
      <w:r w:rsidRPr="000430E2">
        <w:t>(1), pp.74-81.</w:t>
      </w:r>
      <w:r>
        <w:t xml:space="preserve"> </w:t>
      </w:r>
      <w:hyperlink r:id="rId14" w:history="1">
        <w:r w:rsidRPr="000430E2">
          <w:rPr>
            <w:rStyle w:val="Hyperlink"/>
          </w:rPr>
          <w:t>https://doi.org/10.1093/ageing/afz118</w:t>
        </w:r>
      </w:hyperlink>
    </w:p>
    <w:p w14:paraId="351299F7" w14:textId="77777777" w:rsidR="001E0A69" w:rsidRDefault="001E0A69" w:rsidP="001E0A69">
      <w:pPr>
        <w:spacing w:after="0"/>
      </w:pPr>
      <w:r w:rsidRPr="006B3CCC">
        <w:t>Dutton, B., Humphrey, N. and Qualter, P., 2023. Getting the pieces to fit: NHS and third sector collaboration to enhance crisis mental health service provision for young people. </w:t>
      </w:r>
      <w:r w:rsidRPr="001E0A69">
        <w:rPr>
          <w:i/>
          <w:iCs/>
        </w:rPr>
        <w:t>BMC Health Services Research</w:t>
      </w:r>
      <w:r w:rsidRPr="006B3CCC">
        <w:t>, </w:t>
      </w:r>
      <w:r w:rsidRPr="001E0A69">
        <w:rPr>
          <w:i/>
          <w:iCs/>
        </w:rPr>
        <w:t>23</w:t>
      </w:r>
      <w:r w:rsidRPr="006B3CCC">
        <w:t>(1), p.307.</w:t>
      </w:r>
      <w:r>
        <w:t xml:space="preserve"> </w:t>
      </w:r>
      <w:hyperlink r:id="rId15" w:history="1">
        <w:r w:rsidRPr="00AF315E">
          <w:rPr>
            <w:rStyle w:val="Hyperlink"/>
          </w:rPr>
          <w:t>https://doi.org/10.1186/s12913-023-09198-w</w:t>
        </w:r>
      </w:hyperlink>
    </w:p>
    <w:p w14:paraId="25A97831" w14:textId="77777777" w:rsidR="001E0A69" w:rsidRDefault="001E0A69" w:rsidP="001E0A69">
      <w:pPr>
        <w:spacing w:after="0"/>
      </w:pPr>
      <w:r w:rsidRPr="000430E2">
        <w:t>Gemine, R., Davies, G.R., Tarrant, S., Davies, R.M., James, M. and Lewis, K., 2021. Factors associated with work-related burnout in NHS staff during COVID-19: a cross-sectional mixed methods study. </w:t>
      </w:r>
      <w:r w:rsidRPr="001E0A69">
        <w:rPr>
          <w:i/>
          <w:iCs/>
        </w:rPr>
        <w:t>BMJ open</w:t>
      </w:r>
      <w:r w:rsidRPr="000430E2">
        <w:t>, </w:t>
      </w:r>
      <w:r w:rsidRPr="001E0A69">
        <w:rPr>
          <w:i/>
          <w:iCs/>
        </w:rPr>
        <w:t>11</w:t>
      </w:r>
      <w:r w:rsidRPr="000430E2">
        <w:t>(1), p.e042591.</w:t>
      </w:r>
      <w:r>
        <w:t xml:space="preserve"> </w:t>
      </w:r>
      <w:hyperlink r:id="rId16" w:tgtFrame="_new" w:history="1">
        <w:r w:rsidRPr="000430E2">
          <w:rPr>
            <w:rStyle w:val="Hyperlink"/>
          </w:rPr>
          <w:t>https://doi.org/10.1136/bmjopen-2020-042591</w:t>
        </w:r>
      </w:hyperlink>
    </w:p>
    <w:p w14:paraId="7174B302" w14:textId="77777777" w:rsidR="001E0A69" w:rsidRDefault="001E0A69" w:rsidP="001E0A69">
      <w:pPr>
        <w:spacing w:after="0"/>
      </w:pPr>
      <w:r w:rsidRPr="009561EF">
        <w:t>GOV.UK</w:t>
      </w:r>
      <w:r>
        <w:t xml:space="preserve">, (2024). </w:t>
      </w:r>
      <w:r w:rsidRPr="009561EF">
        <w:t>Meet the requirements of equality and accessibility regulations</w:t>
      </w:r>
      <w:r>
        <w:t xml:space="preserve">. </w:t>
      </w:r>
      <w:hyperlink r:id="rId17" w:history="1">
        <w:r w:rsidRPr="00AF315E">
          <w:rPr>
            <w:rStyle w:val="Hyperlink"/>
          </w:rPr>
          <w:t>https://www.gov.uk/guidance/meet-the-requirements-of-equality-and-accessibility-regulations</w:t>
        </w:r>
      </w:hyperlink>
    </w:p>
    <w:p w14:paraId="2504514F" w14:textId="77777777" w:rsidR="001E0A69" w:rsidRDefault="001E0A69" w:rsidP="001E0A69">
      <w:pPr>
        <w:spacing w:after="0"/>
      </w:pPr>
      <w:r w:rsidRPr="000430E2">
        <w:t>Grote, H., Toma, K., Crosby, L., Robson, C., Palmer, C., Land, C., Ball, J. and Baker, E., 2021. Outliers from national audits: their analysis and use by the Care Quality Commission in quality assurance and regulation of healthcare services in England. </w:t>
      </w:r>
      <w:r w:rsidRPr="001E0A69">
        <w:rPr>
          <w:i/>
          <w:iCs/>
        </w:rPr>
        <w:t>Clinical Medicine</w:t>
      </w:r>
      <w:r w:rsidRPr="000430E2">
        <w:t>, </w:t>
      </w:r>
      <w:r w:rsidRPr="001E0A69">
        <w:rPr>
          <w:i/>
          <w:iCs/>
        </w:rPr>
        <w:t>21</w:t>
      </w:r>
      <w:r w:rsidRPr="000430E2">
        <w:t>(5), pp.e511-e516.</w:t>
      </w:r>
      <w:r>
        <w:t xml:space="preserve"> </w:t>
      </w:r>
      <w:hyperlink r:id="rId18" w:tgtFrame="_blank" w:tooltip="Persistent link using digital object identifier" w:history="1">
        <w:r w:rsidRPr="000430E2">
          <w:rPr>
            <w:rStyle w:val="Hyperlink"/>
          </w:rPr>
          <w:t>https://doi.org/10.7861/clinmed.2020-0695</w:t>
        </w:r>
      </w:hyperlink>
    </w:p>
    <w:p w14:paraId="31B007A9" w14:textId="77777777" w:rsidR="001E0A69" w:rsidRDefault="001E0A69" w:rsidP="001E0A69">
      <w:pPr>
        <w:spacing w:after="0"/>
      </w:pPr>
      <w:r w:rsidRPr="000430E2">
        <w:t>Iparraguirre, J., 2020. Public spending on adult social care and delayed transfers of care in England. </w:t>
      </w:r>
      <w:r w:rsidRPr="001E0A69">
        <w:rPr>
          <w:i/>
          <w:iCs/>
        </w:rPr>
        <w:t>Quality in Ageing and Older Adults</w:t>
      </w:r>
      <w:r w:rsidRPr="000430E2">
        <w:t>, </w:t>
      </w:r>
      <w:r w:rsidRPr="001E0A69">
        <w:rPr>
          <w:i/>
          <w:iCs/>
        </w:rPr>
        <w:t>21</w:t>
      </w:r>
      <w:r w:rsidRPr="000430E2">
        <w:t>(3), pp.155-167.</w:t>
      </w:r>
      <w:r>
        <w:t xml:space="preserve"> </w:t>
      </w:r>
      <w:hyperlink r:id="rId19" w:tgtFrame="_blank" w:history="1">
        <w:r w:rsidRPr="000430E2">
          <w:rPr>
            <w:rStyle w:val="Hyperlink"/>
          </w:rPr>
          <w:t>https://doi.org/10.1108/QAOA-11-2019-0066</w:t>
        </w:r>
      </w:hyperlink>
    </w:p>
    <w:p w14:paraId="4922AE91" w14:textId="77777777" w:rsidR="001E0A69" w:rsidRDefault="001E0A69" w:rsidP="001E0A69">
      <w:pPr>
        <w:spacing w:after="0"/>
      </w:pPr>
      <w:r w:rsidRPr="006B3CCC">
        <w:t xml:space="preserve">Naylor, C., Cream, J., </w:t>
      </w:r>
      <w:proofErr w:type="spellStart"/>
      <w:r w:rsidRPr="006B3CCC">
        <w:t>Chikwira</w:t>
      </w:r>
      <w:proofErr w:type="spellEnd"/>
      <w:r w:rsidRPr="006B3CCC">
        <w:t xml:space="preserve">, L. and </w:t>
      </w:r>
      <w:proofErr w:type="spellStart"/>
      <w:r w:rsidRPr="006B3CCC">
        <w:t>Gowar</w:t>
      </w:r>
      <w:proofErr w:type="spellEnd"/>
      <w:r w:rsidRPr="006B3CCC">
        <w:t>, C., 2024. Realising the potential of integrated care systems. </w:t>
      </w:r>
      <w:r w:rsidRPr="001E0A69">
        <w:rPr>
          <w:i/>
          <w:iCs/>
        </w:rPr>
        <w:t>London: King’s Fund</w:t>
      </w:r>
      <w:r w:rsidRPr="006B3CCC">
        <w:t>.</w:t>
      </w:r>
      <w:r>
        <w:t xml:space="preserve"> </w:t>
      </w:r>
      <w:hyperlink r:id="rId20" w:history="1">
        <w:r w:rsidRPr="00AF315E">
          <w:rPr>
            <w:rStyle w:val="Hyperlink"/>
          </w:rPr>
          <w:t>https://trfthealthweeklydigest.wordpress.com/wp-content/uploads/2024/07/realising_potential_ics_report_2024.pdf</w:t>
        </w:r>
      </w:hyperlink>
    </w:p>
    <w:p w14:paraId="528FD827" w14:textId="77777777" w:rsidR="001E0A69" w:rsidRDefault="001E0A69" w:rsidP="001E0A69">
      <w:pPr>
        <w:spacing w:after="0"/>
      </w:pPr>
      <w:r w:rsidRPr="006B3CCC">
        <w:t>Nila, F.H., Villeneuve, M., Subramaniam, P. and Chang, K.Y.J., 2025. Service Continuity Support Initiatives of Community</w:t>
      </w:r>
      <w:r w:rsidRPr="001E0A69">
        <w:rPr>
          <w:rFonts w:ascii="Cambria Math" w:hAnsi="Cambria Math" w:cs="Cambria Math"/>
        </w:rPr>
        <w:t>‐</w:t>
      </w:r>
      <w:r w:rsidRPr="006B3CCC">
        <w:t>Based Healthcare and Social Care Organisations in Emergencies: A Systematic Review.</w:t>
      </w:r>
      <w:r w:rsidRPr="001E0A69">
        <w:rPr>
          <w:rFonts w:cs="Arial"/>
        </w:rPr>
        <w:t> </w:t>
      </w:r>
      <w:r w:rsidRPr="001E0A69">
        <w:rPr>
          <w:i/>
          <w:iCs/>
        </w:rPr>
        <w:t>Health &amp; Social Care in the Community</w:t>
      </w:r>
      <w:r w:rsidRPr="006B3CCC">
        <w:t>, </w:t>
      </w:r>
      <w:r w:rsidRPr="001E0A69">
        <w:rPr>
          <w:i/>
          <w:iCs/>
        </w:rPr>
        <w:t>2025</w:t>
      </w:r>
      <w:r w:rsidRPr="006B3CCC">
        <w:t>(1), p.8870937.</w:t>
      </w:r>
      <w:r>
        <w:t xml:space="preserve"> </w:t>
      </w:r>
      <w:hyperlink r:id="rId21" w:history="1">
        <w:r w:rsidRPr="00AF315E">
          <w:rPr>
            <w:rStyle w:val="Hyperlink"/>
          </w:rPr>
          <w:t>https://onlinelibrary.wiley.com/doi/abs/10.1155/hsc/8870937</w:t>
        </w:r>
      </w:hyperlink>
    </w:p>
    <w:p w14:paraId="73642416" w14:textId="77777777" w:rsidR="001E0A69" w:rsidRDefault="001E0A69" w:rsidP="001E0A69">
      <w:pPr>
        <w:spacing w:after="0"/>
      </w:pPr>
      <w:r w:rsidRPr="000430E2">
        <w:t>Raj, S., 2025. Developing AI Models for Predicting Hospital Readmission Rates. </w:t>
      </w:r>
      <w:r w:rsidRPr="001E0A69">
        <w:rPr>
          <w:i/>
          <w:iCs/>
        </w:rPr>
        <w:t>Journal Publication of International Research for Engineering and Management (JOIREM)</w:t>
      </w:r>
      <w:r w:rsidRPr="000430E2">
        <w:t>, </w:t>
      </w:r>
      <w:r w:rsidRPr="001E0A69">
        <w:rPr>
          <w:i/>
          <w:iCs/>
        </w:rPr>
        <w:t>5</w:t>
      </w:r>
      <w:r w:rsidRPr="000430E2">
        <w:t>(06).</w:t>
      </w:r>
      <w:r>
        <w:t xml:space="preserve"> </w:t>
      </w:r>
      <w:hyperlink r:id="rId22" w:history="1">
        <w:r w:rsidRPr="00AF315E">
          <w:rPr>
            <w:rStyle w:val="Hyperlink"/>
          </w:rPr>
          <w:t>https://www.researchgate.net/profile/Selva-Kumar-49/publication/392364545_Developing_AI_Models_for_Predicting_Hospital_Readmission_Rates/links/683f2243c33afe388ac9ddcd/Developing-AI-Models-for-Predicting-Hospital-Readmission-Rates.pdf</w:t>
        </w:r>
      </w:hyperlink>
    </w:p>
    <w:p w14:paraId="63C94A9D" w14:textId="77777777" w:rsidR="001E0A69" w:rsidRDefault="001E0A69" w:rsidP="001E0A69">
      <w:pPr>
        <w:spacing w:after="0"/>
      </w:pPr>
      <w:r w:rsidRPr="000430E2">
        <w:t>Siegel, D.J., 2023. Interpersonal connection, compassion, and well-being: the science and art of healing relationships. In </w:t>
      </w:r>
      <w:r w:rsidRPr="001E0A69">
        <w:rPr>
          <w:i/>
          <w:iCs/>
        </w:rPr>
        <w:t>Advances in Contemplative Psychotherapy</w:t>
      </w:r>
      <w:r w:rsidRPr="000430E2">
        <w:t> (pp. 181-196). Routledge.</w:t>
      </w:r>
      <w:r>
        <w:t xml:space="preserve"> </w:t>
      </w:r>
      <w:hyperlink r:id="rId23" w:history="1">
        <w:r w:rsidRPr="00AF315E">
          <w:rPr>
            <w:rStyle w:val="Hyperlink"/>
          </w:rPr>
          <w:t>https://www.taylorfrancis.com/chapters/edit/10.4324/9781003243588-14/interpersonal-connection-compassion-well-being-daniel-siegel</w:t>
        </w:r>
      </w:hyperlink>
    </w:p>
    <w:p w14:paraId="59088656" w14:textId="1C65F123" w:rsidR="001E0A69" w:rsidRPr="00B719C9" w:rsidRDefault="001E0A69" w:rsidP="00B719C9">
      <w:pPr>
        <w:spacing w:after="0"/>
      </w:pPr>
      <w:r w:rsidRPr="000430E2">
        <w:t>Zala, K., Thakkar, H.K., Jadeja, R., Singh, P., Kotecha, K. and Shukla, M., 2022. PRMS: design and development of patients’ E-healthcare records management system for privacy preservation in third party cloud platforms. </w:t>
      </w:r>
      <w:r w:rsidRPr="001E0A69">
        <w:rPr>
          <w:i/>
          <w:iCs/>
        </w:rPr>
        <w:t>Ieee Access</w:t>
      </w:r>
      <w:r w:rsidRPr="000430E2">
        <w:t>, </w:t>
      </w:r>
      <w:r w:rsidRPr="001E0A69">
        <w:rPr>
          <w:i/>
          <w:iCs/>
        </w:rPr>
        <w:t>10</w:t>
      </w:r>
      <w:r w:rsidRPr="000430E2">
        <w:t>, pp.85777-85791.</w:t>
      </w:r>
      <w:r>
        <w:t xml:space="preserve"> </w:t>
      </w:r>
      <w:hyperlink r:id="rId24" w:history="1">
        <w:r w:rsidRPr="00AF315E">
          <w:rPr>
            <w:rStyle w:val="Hyperlink"/>
          </w:rPr>
          <w:t>https://ieeexplore.ieee.org/abstract/document/9854886/</w:t>
        </w:r>
      </w:hyperlink>
    </w:p>
    <w:sectPr w:rsidR="001E0A69" w:rsidRPr="00B719C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22DB24" w14:textId="77777777" w:rsidR="00F65DBF" w:rsidRDefault="00F65DBF" w:rsidP="00DA6AA2">
      <w:pPr>
        <w:spacing w:after="0" w:line="240" w:lineRule="auto"/>
      </w:pPr>
      <w:r>
        <w:separator/>
      </w:r>
    </w:p>
  </w:endnote>
  <w:endnote w:type="continuationSeparator" w:id="0">
    <w:p w14:paraId="456CFB60" w14:textId="77777777" w:rsidR="00F65DBF" w:rsidRDefault="00F65DBF" w:rsidP="00DA6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cs="Arial"/>
        <w:sz w:val="20"/>
        <w:szCs w:val="20"/>
      </w:rPr>
      <w:id w:val="-375624905"/>
      <w:docPartObj>
        <w:docPartGallery w:val="Page Numbers (Bottom of Page)"/>
        <w:docPartUnique/>
      </w:docPartObj>
    </w:sdtPr>
    <w:sdtEndPr>
      <w:rPr>
        <w:noProof/>
      </w:rPr>
    </w:sdtEndPr>
    <w:sdtContent>
      <w:p w14:paraId="0BFE79FB" w14:textId="069748C0" w:rsidR="00DA6AA2" w:rsidRPr="00DA6AA2" w:rsidRDefault="00DA6AA2">
        <w:pPr>
          <w:pStyle w:val="Footer"/>
          <w:jc w:val="right"/>
          <w:rPr>
            <w:rFonts w:cs="Arial"/>
            <w:sz w:val="20"/>
            <w:szCs w:val="20"/>
          </w:rPr>
        </w:pPr>
        <w:r w:rsidRPr="00DA6AA2">
          <w:rPr>
            <w:rFonts w:cs="Arial"/>
            <w:sz w:val="20"/>
            <w:szCs w:val="20"/>
          </w:rPr>
          <w:fldChar w:fldCharType="begin"/>
        </w:r>
        <w:r w:rsidRPr="00DA6AA2">
          <w:rPr>
            <w:rFonts w:cs="Arial"/>
            <w:sz w:val="20"/>
            <w:szCs w:val="20"/>
          </w:rPr>
          <w:instrText xml:space="preserve"> PAGE   \* MERGEFORMAT </w:instrText>
        </w:r>
        <w:r w:rsidRPr="00DA6AA2">
          <w:rPr>
            <w:rFonts w:cs="Arial"/>
            <w:sz w:val="20"/>
            <w:szCs w:val="20"/>
          </w:rPr>
          <w:fldChar w:fldCharType="separate"/>
        </w:r>
        <w:r w:rsidRPr="00DA6AA2">
          <w:rPr>
            <w:rFonts w:cs="Arial"/>
            <w:noProof/>
            <w:sz w:val="20"/>
            <w:szCs w:val="20"/>
          </w:rPr>
          <w:t>2</w:t>
        </w:r>
        <w:r w:rsidRPr="00DA6AA2">
          <w:rPr>
            <w:rFonts w:cs="Arial"/>
            <w:noProof/>
            <w:sz w:val="20"/>
            <w:szCs w:val="20"/>
          </w:rPr>
          <w:fldChar w:fldCharType="end"/>
        </w:r>
      </w:p>
    </w:sdtContent>
  </w:sdt>
  <w:p w14:paraId="0394B958" w14:textId="77777777" w:rsidR="00DA6AA2" w:rsidRPr="00DA6AA2" w:rsidRDefault="00DA6AA2">
    <w:pPr>
      <w:pStyle w:val="Footer"/>
      <w:rPr>
        <w:rFonts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EF1709" w14:textId="77777777" w:rsidR="00F65DBF" w:rsidRDefault="00F65DBF" w:rsidP="00DA6AA2">
      <w:pPr>
        <w:spacing w:after="0" w:line="240" w:lineRule="auto"/>
      </w:pPr>
      <w:r>
        <w:separator/>
      </w:r>
    </w:p>
  </w:footnote>
  <w:footnote w:type="continuationSeparator" w:id="0">
    <w:p w14:paraId="7B749CE3" w14:textId="77777777" w:rsidR="00F65DBF" w:rsidRDefault="00F65DBF" w:rsidP="00DA6A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B2F1D"/>
    <w:multiLevelType w:val="hybridMultilevel"/>
    <w:tmpl w:val="429E33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C35F15"/>
    <w:multiLevelType w:val="hybridMultilevel"/>
    <w:tmpl w:val="E894F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36B3F29"/>
    <w:multiLevelType w:val="hybridMultilevel"/>
    <w:tmpl w:val="B30C88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39F5A2F"/>
    <w:multiLevelType w:val="hybridMultilevel"/>
    <w:tmpl w:val="01AC7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01603D8"/>
    <w:multiLevelType w:val="hybridMultilevel"/>
    <w:tmpl w:val="362C9D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AA92BFD"/>
    <w:multiLevelType w:val="hybridMultilevel"/>
    <w:tmpl w:val="864473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4763827">
    <w:abstractNumId w:val="3"/>
  </w:num>
  <w:num w:numId="2" w16cid:durableId="1326666226">
    <w:abstractNumId w:val="5"/>
  </w:num>
  <w:num w:numId="3" w16cid:durableId="2080253264">
    <w:abstractNumId w:val="2"/>
  </w:num>
  <w:num w:numId="4" w16cid:durableId="2031370559">
    <w:abstractNumId w:val="4"/>
  </w:num>
  <w:num w:numId="5" w16cid:durableId="1755668369">
    <w:abstractNumId w:val="1"/>
  </w:num>
  <w:num w:numId="6" w16cid:durableId="1306473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B9D"/>
    <w:rsid w:val="000325E5"/>
    <w:rsid w:val="000555CA"/>
    <w:rsid w:val="000E00D5"/>
    <w:rsid w:val="00125010"/>
    <w:rsid w:val="00143AD2"/>
    <w:rsid w:val="00150A8B"/>
    <w:rsid w:val="00157A72"/>
    <w:rsid w:val="001E0A69"/>
    <w:rsid w:val="001F0775"/>
    <w:rsid w:val="002173A1"/>
    <w:rsid w:val="002340F9"/>
    <w:rsid w:val="00273D12"/>
    <w:rsid w:val="002B3786"/>
    <w:rsid w:val="002C1E63"/>
    <w:rsid w:val="00365E2D"/>
    <w:rsid w:val="00375C9C"/>
    <w:rsid w:val="00382F18"/>
    <w:rsid w:val="003867F6"/>
    <w:rsid w:val="003A2B38"/>
    <w:rsid w:val="004C08EA"/>
    <w:rsid w:val="00537B9D"/>
    <w:rsid w:val="00563012"/>
    <w:rsid w:val="005A291B"/>
    <w:rsid w:val="005A5EF7"/>
    <w:rsid w:val="005B56A2"/>
    <w:rsid w:val="005C46DF"/>
    <w:rsid w:val="00743C30"/>
    <w:rsid w:val="00777F01"/>
    <w:rsid w:val="00796FD1"/>
    <w:rsid w:val="007C21ED"/>
    <w:rsid w:val="00806EEF"/>
    <w:rsid w:val="008C37F8"/>
    <w:rsid w:val="008E09C1"/>
    <w:rsid w:val="008F0C46"/>
    <w:rsid w:val="009977BB"/>
    <w:rsid w:val="009F474C"/>
    <w:rsid w:val="00A55C77"/>
    <w:rsid w:val="00A705E6"/>
    <w:rsid w:val="00B719C9"/>
    <w:rsid w:val="00B725F6"/>
    <w:rsid w:val="00B7464E"/>
    <w:rsid w:val="00C00192"/>
    <w:rsid w:val="00C15589"/>
    <w:rsid w:val="00C52F8A"/>
    <w:rsid w:val="00C57C25"/>
    <w:rsid w:val="00C732BF"/>
    <w:rsid w:val="00CE3279"/>
    <w:rsid w:val="00D83FAD"/>
    <w:rsid w:val="00D91A7F"/>
    <w:rsid w:val="00DA5CE0"/>
    <w:rsid w:val="00DA6AA2"/>
    <w:rsid w:val="00E02590"/>
    <w:rsid w:val="00E75C51"/>
    <w:rsid w:val="00E806D7"/>
    <w:rsid w:val="00EA387D"/>
    <w:rsid w:val="00ED728F"/>
    <w:rsid w:val="00F65DBF"/>
    <w:rsid w:val="00FB6248"/>
    <w:rsid w:val="00FF53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AFFC1"/>
  <w15:chartTrackingRefBased/>
  <w15:docId w15:val="{A6568153-0E86-4DDA-8E7B-309C349DC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8EA"/>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143AD2"/>
    <w:pPr>
      <w:keepNext/>
      <w:keepLines/>
      <w:spacing w:before="400" w:after="120"/>
      <w:outlineLvl w:val="0"/>
    </w:pPr>
    <w:rPr>
      <w:rFonts w:eastAsia="Arial" w:cs="Arial"/>
      <w:b/>
      <w:kern w:val="0"/>
      <w:sz w:val="28"/>
      <w:szCs w:val="40"/>
      <w:lang w:eastAsia="en-IN"/>
      <w14:ligatures w14:val="none"/>
    </w:rPr>
  </w:style>
  <w:style w:type="paragraph" w:styleId="Heading2">
    <w:name w:val="heading 2"/>
    <w:basedOn w:val="Normal"/>
    <w:next w:val="Normal"/>
    <w:link w:val="Heading2Char"/>
    <w:autoRedefine/>
    <w:uiPriority w:val="9"/>
    <w:unhideWhenUsed/>
    <w:qFormat/>
    <w:rsid w:val="00E75C51"/>
    <w:pPr>
      <w:keepNext/>
      <w:keepLines/>
      <w:spacing w:after="0"/>
      <w:outlineLvl w:val="1"/>
    </w:pPr>
    <w:rPr>
      <w:rFonts w:eastAsia="Times New Roman" w:cs="Times New Roman"/>
      <w:b/>
      <w:kern w:val="0"/>
      <w:sz w:val="26"/>
      <w:szCs w:val="26"/>
      <w:lang w:val="en" w:eastAsia="en-IN"/>
      <w14:ligatures w14:val="none"/>
    </w:rPr>
  </w:style>
  <w:style w:type="paragraph" w:styleId="Heading3">
    <w:name w:val="heading 3"/>
    <w:basedOn w:val="Normal"/>
    <w:next w:val="Normal"/>
    <w:link w:val="Heading3Char"/>
    <w:autoRedefine/>
    <w:uiPriority w:val="9"/>
    <w:unhideWhenUsed/>
    <w:qFormat/>
    <w:rsid w:val="00E02590"/>
    <w:pPr>
      <w:keepNext/>
      <w:keepLines/>
      <w:spacing w:before="320" w:after="80"/>
      <w:outlineLvl w:val="2"/>
    </w:pPr>
    <w:rPr>
      <w:rFonts w:eastAsia="Arial" w:cs="Arial"/>
      <w:b/>
      <w:kern w:val="0"/>
      <w:szCs w:val="28"/>
      <w:lang w:eastAsia="en-IN"/>
      <w14:ligatures w14:val="none"/>
    </w:rPr>
  </w:style>
  <w:style w:type="paragraph" w:styleId="Heading4">
    <w:name w:val="heading 4"/>
    <w:basedOn w:val="Normal"/>
    <w:next w:val="Normal"/>
    <w:link w:val="Heading4Char"/>
    <w:uiPriority w:val="9"/>
    <w:semiHidden/>
    <w:unhideWhenUsed/>
    <w:qFormat/>
    <w:rsid w:val="00537B9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autoRedefine/>
    <w:uiPriority w:val="9"/>
    <w:unhideWhenUsed/>
    <w:qFormat/>
    <w:rsid w:val="00B7464E"/>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537B9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7B9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7B9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7B9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B7464E"/>
    <w:rPr>
      <w:rFonts w:ascii="Times New Roman" w:eastAsiaTheme="majorEastAsia" w:hAnsi="Times New Roman" w:cstheme="majorBidi"/>
      <w:b/>
      <w:sz w:val="24"/>
    </w:rPr>
  </w:style>
  <w:style w:type="character" w:customStyle="1" w:styleId="Heading1Char">
    <w:name w:val="Heading 1 Char"/>
    <w:basedOn w:val="DefaultParagraphFont"/>
    <w:link w:val="Heading1"/>
    <w:uiPriority w:val="9"/>
    <w:rsid w:val="00143AD2"/>
    <w:rPr>
      <w:rFonts w:ascii="Times New Roman" w:eastAsia="Arial" w:hAnsi="Times New Roman" w:cs="Arial"/>
      <w:b/>
      <w:kern w:val="0"/>
      <w:sz w:val="28"/>
      <w:szCs w:val="40"/>
      <w:lang w:val="en-GB" w:eastAsia="en-IN"/>
      <w14:ligatures w14:val="none"/>
    </w:rPr>
  </w:style>
  <w:style w:type="character" w:customStyle="1" w:styleId="Heading2Char">
    <w:name w:val="Heading 2 Char"/>
    <w:basedOn w:val="DefaultParagraphFont"/>
    <w:link w:val="Heading2"/>
    <w:uiPriority w:val="9"/>
    <w:rsid w:val="00E75C51"/>
    <w:rPr>
      <w:rFonts w:ascii="Times New Roman" w:eastAsia="Times New Roman" w:hAnsi="Times New Roman" w:cs="Times New Roman"/>
      <w:b/>
      <w:kern w:val="0"/>
      <w:sz w:val="26"/>
      <w:szCs w:val="26"/>
      <w:lang w:val="en" w:eastAsia="en-IN"/>
      <w14:ligatures w14:val="none"/>
    </w:rPr>
  </w:style>
  <w:style w:type="character" w:customStyle="1" w:styleId="Heading3Char">
    <w:name w:val="Heading 3 Char"/>
    <w:basedOn w:val="DefaultParagraphFont"/>
    <w:link w:val="Heading3"/>
    <w:uiPriority w:val="9"/>
    <w:rsid w:val="00E02590"/>
    <w:rPr>
      <w:rFonts w:ascii="Times New Roman" w:eastAsia="Arial" w:hAnsi="Times New Roman" w:cs="Arial"/>
      <w:b/>
      <w:kern w:val="0"/>
      <w:sz w:val="24"/>
      <w:szCs w:val="28"/>
      <w:lang w:val="en-GB" w:eastAsia="en-IN"/>
      <w14:ligatures w14:val="none"/>
    </w:rPr>
  </w:style>
  <w:style w:type="character" w:customStyle="1" w:styleId="Heading4Char">
    <w:name w:val="Heading 4 Char"/>
    <w:basedOn w:val="DefaultParagraphFont"/>
    <w:link w:val="Heading4"/>
    <w:uiPriority w:val="9"/>
    <w:semiHidden/>
    <w:rsid w:val="00537B9D"/>
    <w:rPr>
      <w:rFonts w:eastAsiaTheme="majorEastAsia" w:cstheme="majorBidi"/>
      <w:i/>
      <w:iCs/>
      <w:color w:val="2F5496" w:themeColor="accent1" w:themeShade="BF"/>
      <w:sz w:val="24"/>
      <w:lang w:val="en-GB"/>
    </w:rPr>
  </w:style>
  <w:style w:type="character" w:customStyle="1" w:styleId="Heading6Char">
    <w:name w:val="Heading 6 Char"/>
    <w:basedOn w:val="DefaultParagraphFont"/>
    <w:link w:val="Heading6"/>
    <w:uiPriority w:val="9"/>
    <w:semiHidden/>
    <w:rsid w:val="00537B9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37B9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37B9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37B9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37B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B9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37B9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B9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37B9D"/>
    <w:pPr>
      <w:spacing w:before="160"/>
      <w:jc w:val="center"/>
    </w:pPr>
    <w:rPr>
      <w:i/>
      <w:iCs/>
      <w:color w:val="404040" w:themeColor="text1" w:themeTint="BF"/>
    </w:rPr>
  </w:style>
  <w:style w:type="character" w:customStyle="1" w:styleId="QuoteChar">
    <w:name w:val="Quote Char"/>
    <w:basedOn w:val="DefaultParagraphFont"/>
    <w:link w:val="Quote"/>
    <w:uiPriority w:val="29"/>
    <w:rsid w:val="00537B9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37B9D"/>
    <w:pPr>
      <w:ind w:left="720"/>
      <w:contextualSpacing/>
    </w:pPr>
  </w:style>
  <w:style w:type="character" w:styleId="IntenseEmphasis">
    <w:name w:val="Intense Emphasis"/>
    <w:basedOn w:val="DefaultParagraphFont"/>
    <w:uiPriority w:val="21"/>
    <w:qFormat/>
    <w:rsid w:val="00537B9D"/>
    <w:rPr>
      <w:i/>
      <w:iCs/>
      <w:color w:val="2F5496" w:themeColor="accent1" w:themeShade="BF"/>
    </w:rPr>
  </w:style>
  <w:style w:type="paragraph" w:styleId="IntenseQuote">
    <w:name w:val="Intense Quote"/>
    <w:basedOn w:val="Normal"/>
    <w:next w:val="Normal"/>
    <w:link w:val="IntenseQuoteChar"/>
    <w:uiPriority w:val="30"/>
    <w:qFormat/>
    <w:rsid w:val="00537B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7B9D"/>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537B9D"/>
    <w:rPr>
      <w:b/>
      <w:bCs/>
      <w:smallCaps/>
      <w:color w:val="2F5496" w:themeColor="accent1" w:themeShade="BF"/>
      <w:spacing w:val="5"/>
    </w:rPr>
  </w:style>
  <w:style w:type="table" w:styleId="TableGrid">
    <w:name w:val="Table Grid"/>
    <w:basedOn w:val="TableNormal"/>
    <w:uiPriority w:val="39"/>
    <w:rsid w:val="00537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C08EA"/>
    <w:pPr>
      <w:spacing w:after="0" w:line="240" w:lineRule="auto"/>
      <w:jc w:val="both"/>
    </w:pPr>
    <w:rPr>
      <w:rFonts w:ascii="Arial" w:hAnsi="Arial"/>
      <w:lang w:val="en-GB"/>
    </w:rPr>
  </w:style>
  <w:style w:type="paragraph" w:styleId="TOCHeading">
    <w:name w:val="TOC Heading"/>
    <w:basedOn w:val="Heading1"/>
    <w:next w:val="Normal"/>
    <w:uiPriority w:val="39"/>
    <w:unhideWhenUsed/>
    <w:qFormat/>
    <w:rsid w:val="00806EE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806EEF"/>
    <w:pPr>
      <w:spacing w:after="100"/>
    </w:pPr>
  </w:style>
  <w:style w:type="paragraph" w:styleId="TOC2">
    <w:name w:val="toc 2"/>
    <w:basedOn w:val="Normal"/>
    <w:next w:val="Normal"/>
    <w:autoRedefine/>
    <w:uiPriority w:val="39"/>
    <w:unhideWhenUsed/>
    <w:rsid w:val="00806EEF"/>
    <w:pPr>
      <w:spacing w:after="100"/>
      <w:ind w:left="220"/>
    </w:pPr>
  </w:style>
  <w:style w:type="character" w:styleId="Hyperlink">
    <w:name w:val="Hyperlink"/>
    <w:basedOn w:val="DefaultParagraphFont"/>
    <w:uiPriority w:val="99"/>
    <w:unhideWhenUsed/>
    <w:rsid w:val="00806EEF"/>
    <w:rPr>
      <w:color w:val="0563C1" w:themeColor="hyperlink"/>
      <w:u w:val="single"/>
    </w:rPr>
  </w:style>
  <w:style w:type="paragraph" w:styleId="Header">
    <w:name w:val="header"/>
    <w:basedOn w:val="Normal"/>
    <w:link w:val="HeaderChar"/>
    <w:uiPriority w:val="99"/>
    <w:unhideWhenUsed/>
    <w:rsid w:val="00DA6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AA2"/>
    <w:rPr>
      <w:rFonts w:ascii="Arial" w:hAnsi="Arial"/>
      <w:lang w:val="en-GB"/>
    </w:rPr>
  </w:style>
  <w:style w:type="paragraph" w:styleId="Footer">
    <w:name w:val="footer"/>
    <w:basedOn w:val="Normal"/>
    <w:link w:val="FooterChar"/>
    <w:uiPriority w:val="99"/>
    <w:unhideWhenUsed/>
    <w:rsid w:val="00DA6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AA2"/>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scovery.ucl.ac.uk/id/eprint/10193743/1/2023-02-17-DigitisationReport.pdf" TargetMode="External"/><Relationship Id="rId18" Type="http://schemas.openxmlformats.org/officeDocument/2006/relationships/hyperlink" Target="https://doi.org/10.7861/clinmed.2020-069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onlinelibrary.wiley.com/doi/abs/10.1155/hsc/8870937" TargetMode="External"/><Relationship Id="rId7" Type="http://schemas.openxmlformats.org/officeDocument/2006/relationships/endnotes" Target="endnotes.xml"/><Relationship Id="rId12" Type="http://schemas.openxmlformats.org/officeDocument/2006/relationships/hyperlink" Target="https://www.bps.org.uk/news/nhs-staff-are-experiencing-unacceptable-levels-burnout-and-discrimination" TargetMode="External"/><Relationship Id="rId17" Type="http://schemas.openxmlformats.org/officeDocument/2006/relationships/hyperlink" Target="https://www.gov.uk/guidance/meet-the-requirements-of-equality-and-accessibility-regulation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36/bmjopen-2020-042591" TargetMode="External"/><Relationship Id="rId20" Type="http://schemas.openxmlformats.org/officeDocument/2006/relationships/hyperlink" Target="https://trfthealthweeklydigest.wordpress.com/wp-content/uploads/2024/07/realising_potential_ics_report_202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lancet.com/journals/lancet/article/PIIS0140-6736(21)00231-2/abstract" TargetMode="External"/><Relationship Id="rId24" Type="http://schemas.openxmlformats.org/officeDocument/2006/relationships/hyperlink" Target="https://ieeexplore.ieee.org/abstract/document/9854886/" TargetMode="External"/><Relationship Id="rId5" Type="http://schemas.openxmlformats.org/officeDocument/2006/relationships/webSettings" Target="webSettings.xml"/><Relationship Id="rId15" Type="http://schemas.openxmlformats.org/officeDocument/2006/relationships/hyperlink" Target="https://doi.org/10.1186/s12913-023-09198-w" TargetMode="External"/><Relationship Id="rId23" Type="http://schemas.openxmlformats.org/officeDocument/2006/relationships/hyperlink" Target="https://www.taylorfrancis.com/chapters/edit/10.4324/9781003243588-14/interpersonal-connection-compassion-well-being-daniel-siegel" TargetMode="External"/><Relationship Id="rId10" Type="http://schemas.openxmlformats.org/officeDocument/2006/relationships/image" Target="media/image3.png"/><Relationship Id="rId19" Type="http://schemas.openxmlformats.org/officeDocument/2006/relationships/hyperlink" Target="https://doi.org/10.1108/QAOA-11-2019-0066"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doi.org/10.1093/ageing/afz118" TargetMode="External"/><Relationship Id="rId22" Type="http://schemas.openxmlformats.org/officeDocument/2006/relationships/hyperlink" Target="https://www.researchgate.net/profile/Selva-Kumar-49/publication/392364545_Developing_AI_Models_for_Predicting_Hospital_Readmission_Rates/links/683f2243c33afe388ac9ddcd/Developing-AI-Models-for-Predicting-Hospital-Readmission-Rate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C3295-3DAF-41DB-814B-A81D20BCE5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Popy Aktar (2408414)</cp:lastModifiedBy>
  <cp:revision>6</cp:revision>
  <dcterms:created xsi:type="dcterms:W3CDTF">2026-02-13T15:18:00Z</dcterms:created>
  <dcterms:modified xsi:type="dcterms:W3CDTF">2026-03-27T22:24:00Z</dcterms:modified>
</cp:coreProperties>
</file>