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0DDD2" w14:textId="77777777" w:rsidR="00D01433" w:rsidRDefault="00D01433" w:rsidP="00D01433">
      <w:pPr>
        <w:spacing w:after="200" w:line="360" w:lineRule="auto"/>
        <w:jc w:val="center"/>
      </w:pPr>
      <w:bookmarkStart w:id="0" w:name="OLE_LINK2"/>
    </w:p>
    <w:p w14:paraId="1E5E5D61" w14:textId="77777777" w:rsidR="00D01433" w:rsidRDefault="00D01433" w:rsidP="00D01433">
      <w:pPr>
        <w:spacing w:after="200" w:line="360" w:lineRule="auto"/>
        <w:jc w:val="center"/>
      </w:pPr>
    </w:p>
    <w:p w14:paraId="68E81EC8" w14:textId="77777777" w:rsidR="00D01433" w:rsidRDefault="00D01433" w:rsidP="00D01433">
      <w:pPr>
        <w:spacing w:after="200" w:line="360" w:lineRule="auto"/>
        <w:jc w:val="center"/>
      </w:pPr>
    </w:p>
    <w:p w14:paraId="77EB7C02" w14:textId="77777777" w:rsidR="00D01433" w:rsidRDefault="00D01433" w:rsidP="00D01433">
      <w:pPr>
        <w:spacing w:after="200" w:line="360" w:lineRule="auto"/>
        <w:jc w:val="center"/>
      </w:pPr>
    </w:p>
    <w:p w14:paraId="6AB86281" w14:textId="77777777" w:rsidR="00D01433" w:rsidRDefault="00D01433" w:rsidP="00D01433">
      <w:pPr>
        <w:spacing w:after="200" w:line="360" w:lineRule="auto"/>
        <w:jc w:val="center"/>
      </w:pPr>
    </w:p>
    <w:p w14:paraId="64FDC346" w14:textId="20013E1B" w:rsidR="005D01FE" w:rsidRPr="00660870" w:rsidRDefault="005D01FE" w:rsidP="00D01433">
      <w:pPr>
        <w:spacing w:after="200" w:line="360" w:lineRule="auto"/>
        <w:jc w:val="center"/>
        <w:rPr>
          <w:color w:val="EE0000"/>
        </w:rPr>
      </w:pPr>
      <w:r w:rsidRPr="00660870">
        <w:rPr>
          <w:color w:val="EE0000"/>
        </w:rPr>
        <w:t>Module: BMHP6030</w:t>
      </w:r>
    </w:p>
    <w:p w14:paraId="4C68A138" w14:textId="77777777" w:rsidR="005D01FE" w:rsidRPr="00D01433" w:rsidRDefault="005D01FE" w:rsidP="00D01433">
      <w:pPr>
        <w:spacing w:after="200" w:line="360" w:lineRule="auto"/>
        <w:jc w:val="center"/>
      </w:pPr>
    </w:p>
    <w:p w14:paraId="3115FF5F" w14:textId="75C2C767" w:rsidR="009B28BF" w:rsidRPr="00D01433" w:rsidRDefault="00B91B53" w:rsidP="00D01433">
      <w:pPr>
        <w:spacing w:after="200" w:line="360" w:lineRule="auto"/>
        <w:jc w:val="center"/>
      </w:pPr>
      <w:r w:rsidRPr="00D01433">
        <w:t>Assignment 2: Critical Examination of Health, Wellbeing and Sustainability Policies</w:t>
      </w:r>
    </w:p>
    <w:p w14:paraId="0A7A2D4D" w14:textId="77777777" w:rsidR="00E235B1" w:rsidRDefault="00E235B1" w:rsidP="00D01433">
      <w:pPr>
        <w:spacing w:after="200" w:line="360" w:lineRule="auto"/>
        <w:jc w:val="center"/>
      </w:pPr>
    </w:p>
    <w:p w14:paraId="33F2BD19" w14:textId="748E19A1" w:rsidR="009B28BF" w:rsidRPr="00D01433" w:rsidRDefault="00B91B53" w:rsidP="00D01433">
      <w:pPr>
        <w:spacing w:after="200" w:line="360" w:lineRule="auto"/>
        <w:jc w:val="center"/>
      </w:pPr>
      <w:r w:rsidRPr="00D01433">
        <w:t>SDG 3</w:t>
      </w:r>
      <w:r w:rsidR="001D1860">
        <w:t>:</w:t>
      </w:r>
      <w:r w:rsidRPr="00D01433">
        <w:t xml:space="preserve"> Good Health and Wellbeing and SDG 13</w:t>
      </w:r>
      <w:r w:rsidR="001D1860">
        <w:t>:</w:t>
      </w:r>
      <w:r w:rsidRPr="00D01433">
        <w:t xml:space="preserve"> Climate Action</w:t>
      </w:r>
    </w:p>
    <w:p w14:paraId="024D3CE8" w14:textId="72AF8A1F" w:rsidR="009B28BF" w:rsidRPr="00E740CE" w:rsidRDefault="009B28BF" w:rsidP="00D01433">
      <w:pPr>
        <w:spacing w:before="800" w:line="360" w:lineRule="auto"/>
        <w:jc w:val="center"/>
      </w:pPr>
    </w:p>
    <w:p w14:paraId="68263512" w14:textId="09D5654C" w:rsidR="009B28BF" w:rsidRPr="00E740CE" w:rsidRDefault="00B91B53" w:rsidP="00D01433">
      <w:pPr>
        <w:spacing w:after="200" w:line="360" w:lineRule="auto"/>
        <w:jc w:val="center"/>
      </w:pPr>
      <w:r w:rsidRPr="00E740CE">
        <w:t xml:space="preserve">Student name: </w:t>
      </w:r>
      <w:r w:rsidR="00E21895">
        <w:t>Thara Bi</w:t>
      </w:r>
    </w:p>
    <w:p w14:paraId="45BAFEA1" w14:textId="734BF3FD" w:rsidR="009B28BF" w:rsidRPr="00E740CE" w:rsidRDefault="00B91B53" w:rsidP="00D01433">
      <w:pPr>
        <w:spacing w:after="200" w:line="360" w:lineRule="auto"/>
        <w:jc w:val="center"/>
      </w:pPr>
      <w:r w:rsidRPr="00E740CE">
        <w:t xml:space="preserve">Student number: </w:t>
      </w:r>
      <w:r w:rsidR="00E21895">
        <w:t>224385</w:t>
      </w:r>
      <w:r w:rsidR="000F0A97">
        <w:t>9</w:t>
      </w:r>
    </w:p>
    <w:p w14:paraId="31C72EF2" w14:textId="3C493DC7" w:rsidR="009B28BF" w:rsidRDefault="00B91B53" w:rsidP="00D01433">
      <w:pPr>
        <w:spacing w:after="200" w:line="360" w:lineRule="auto"/>
        <w:jc w:val="center"/>
      </w:pPr>
      <w:r w:rsidRPr="00E740CE">
        <w:t xml:space="preserve">Lecturer: </w:t>
      </w:r>
      <w:r w:rsidR="00E21895">
        <w:t>Paresa Ahmed</w:t>
      </w:r>
    </w:p>
    <w:p w14:paraId="52595B26" w14:textId="77777777" w:rsidR="000F0A97" w:rsidRDefault="000F0A97" w:rsidP="00D01433">
      <w:pPr>
        <w:spacing w:after="200" w:line="360" w:lineRule="auto"/>
        <w:jc w:val="center"/>
      </w:pPr>
    </w:p>
    <w:p w14:paraId="39680042" w14:textId="5476EAE4" w:rsidR="000F0A97" w:rsidRPr="00D01433" w:rsidRDefault="000F0A97" w:rsidP="00D01433">
      <w:pPr>
        <w:spacing w:after="200" w:line="360" w:lineRule="auto"/>
        <w:jc w:val="center"/>
      </w:pPr>
      <w:r w:rsidRPr="00D01433">
        <w:t>19</w:t>
      </w:r>
      <w:r w:rsidRPr="00D01433">
        <w:rPr>
          <w:vertAlign w:val="superscript"/>
        </w:rPr>
        <w:t>th</w:t>
      </w:r>
      <w:r w:rsidRPr="00D01433">
        <w:t xml:space="preserve"> November 2026</w:t>
      </w:r>
    </w:p>
    <w:p w14:paraId="4160C631" w14:textId="64CF769A" w:rsidR="009B28BF" w:rsidRPr="00E740CE" w:rsidRDefault="009B28BF" w:rsidP="00E740CE">
      <w:pPr>
        <w:spacing w:after="200" w:line="360" w:lineRule="auto"/>
      </w:pPr>
    </w:p>
    <w:p w14:paraId="4C18B2B1" w14:textId="0DB968CF" w:rsidR="00A10B59" w:rsidRDefault="00A10B59" w:rsidP="00390CC1">
      <w:pPr>
        <w:spacing w:line="360" w:lineRule="auto"/>
        <w:rPr>
          <w:b/>
          <w:bCs/>
          <w:u w:val="single"/>
        </w:rPr>
      </w:pPr>
      <w:r>
        <w:rPr>
          <w:b/>
          <w:bCs/>
          <w:u w:val="single"/>
        </w:rPr>
        <w:br w:type="page"/>
      </w:r>
    </w:p>
    <w:sdt>
      <w:sdtPr>
        <w:id w:val="101924388"/>
        <w:docPartObj>
          <w:docPartGallery w:val="Table of Contents"/>
          <w:docPartUnique/>
        </w:docPartObj>
      </w:sdtPr>
      <w:sdtEndPr>
        <w:rPr>
          <w:rFonts w:ascii="Arial" w:eastAsia="Arial" w:hAnsi="Arial" w:cs="Arial"/>
          <w:b/>
          <w:bCs/>
          <w:color w:val="auto"/>
          <w:sz w:val="22"/>
          <w:szCs w:val="22"/>
        </w:rPr>
      </w:sdtEndPr>
      <w:sdtContent>
        <w:p w14:paraId="1DD69251" w14:textId="749FAA01" w:rsidR="00DC6AB8" w:rsidRPr="005A16BA" w:rsidRDefault="005A16BA">
          <w:pPr>
            <w:pStyle w:val="TOCHeading"/>
            <w:rPr>
              <w:rFonts w:ascii="Arial" w:hAnsi="Arial" w:cs="Arial"/>
              <w:color w:val="auto"/>
              <w:sz w:val="22"/>
              <w:szCs w:val="22"/>
            </w:rPr>
          </w:pPr>
          <w:r w:rsidRPr="005A16BA">
            <w:rPr>
              <w:rFonts w:ascii="Arial" w:hAnsi="Arial" w:cs="Arial"/>
              <w:color w:val="auto"/>
              <w:sz w:val="22"/>
              <w:szCs w:val="22"/>
            </w:rPr>
            <w:t>Contents:</w:t>
          </w:r>
        </w:p>
        <w:p w14:paraId="5CB32184" w14:textId="488CB727" w:rsidR="005A16BA" w:rsidRDefault="00DC6AB8">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43936989" w:history="1">
            <w:r w:rsidR="005A16BA" w:rsidRPr="005C286F">
              <w:rPr>
                <w:rStyle w:val="Hyperlink"/>
                <w:noProof/>
              </w:rPr>
              <w:t>Introduction</w:t>
            </w:r>
            <w:r w:rsidR="005A16BA">
              <w:rPr>
                <w:noProof/>
                <w:webHidden/>
              </w:rPr>
              <w:tab/>
            </w:r>
            <w:r w:rsidR="005A16BA">
              <w:rPr>
                <w:noProof/>
                <w:webHidden/>
              </w:rPr>
              <w:fldChar w:fldCharType="begin"/>
            </w:r>
            <w:r w:rsidR="005A16BA">
              <w:rPr>
                <w:noProof/>
                <w:webHidden/>
              </w:rPr>
              <w:instrText xml:space="preserve"> PAGEREF _Toc243936989 \h </w:instrText>
            </w:r>
            <w:r w:rsidR="005A16BA">
              <w:rPr>
                <w:noProof/>
                <w:webHidden/>
              </w:rPr>
            </w:r>
            <w:r w:rsidR="005A16BA">
              <w:rPr>
                <w:noProof/>
                <w:webHidden/>
              </w:rPr>
              <w:fldChar w:fldCharType="separate"/>
            </w:r>
            <w:r w:rsidR="005A16BA">
              <w:rPr>
                <w:noProof/>
                <w:webHidden/>
              </w:rPr>
              <w:t>3</w:t>
            </w:r>
            <w:r w:rsidR="005A16BA">
              <w:rPr>
                <w:noProof/>
                <w:webHidden/>
              </w:rPr>
              <w:fldChar w:fldCharType="end"/>
            </w:r>
          </w:hyperlink>
        </w:p>
        <w:p w14:paraId="5F19ADED" w14:textId="18E90244" w:rsidR="005A16BA" w:rsidRDefault="005A16B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43936990" w:history="1">
            <w:r w:rsidRPr="005C286F">
              <w:rPr>
                <w:rStyle w:val="Hyperlink"/>
                <w:noProof/>
              </w:rPr>
              <w:t>Section 1: SDG 3 Good Health and Wellbeing</w:t>
            </w:r>
            <w:r>
              <w:rPr>
                <w:noProof/>
                <w:webHidden/>
              </w:rPr>
              <w:tab/>
            </w:r>
            <w:r>
              <w:rPr>
                <w:noProof/>
                <w:webHidden/>
              </w:rPr>
              <w:fldChar w:fldCharType="begin"/>
            </w:r>
            <w:r>
              <w:rPr>
                <w:noProof/>
                <w:webHidden/>
              </w:rPr>
              <w:instrText xml:space="preserve"> PAGEREF _Toc243936990 \h </w:instrText>
            </w:r>
            <w:r>
              <w:rPr>
                <w:noProof/>
                <w:webHidden/>
              </w:rPr>
            </w:r>
            <w:r>
              <w:rPr>
                <w:noProof/>
                <w:webHidden/>
              </w:rPr>
              <w:fldChar w:fldCharType="separate"/>
            </w:r>
            <w:r>
              <w:rPr>
                <w:noProof/>
                <w:webHidden/>
              </w:rPr>
              <w:t>3</w:t>
            </w:r>
            <w:r>
              <w:rPr>
                <w:noProof/>
                <w:webHidden/>
              </w:rPr>
              <w:fldChar w:fldCharType="end"/>
            </w:r>
          </w:hyperlink>
        </w:p>
        <w:p w14:paraId="7732494B" w14:textId="6BBA5B9B" w:rsidR="005A16BA" w:rsidRDefault="005A16B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3936991" w:history="1">
            <w:r w:rsidRPr="005C286F">
              <w:rPr>
                <w:rStyle w:val="Hyperlink"/>
                <w:noProof/>
              </w:rPr>
              <w:t>Overview</w:t>
            </w:r>
            <w:r>
              <w:rPr>
                <w:noProof/>
                <w:webHidden/>
              </w:rPr>
              <w:tab/>
            </w:r>
            <w:r>
              <w:rPr>
                <w:noProof/>
                <w:webHidden/>
              </w:rPr>
              <w:fldChar w:fldCharType="begin"/>
            </w:r>
            <w:r>
              <w:rPr>
                <w:noProof/>
                <w:webHidden/>
              </w:rPr>
              <w:instrText xml:space="preserve"> PAGEREF _Toc243936991 \h </w:instrText>
            </w:r>
            <w:r>
              <w:rPr>
                <w:noProof/>
                <w:webHidden/>
              </w:rPr>
            </w:r>
            <w:r>
              <w:rPr>
                <w:noProof/>
                <w:webHidden/>
              </w:rPr>
              <w:fldChar w:fldCharType="separate"/>
            </w:r>
            <w:r>
              <w:rPr>
                <w:noProof/>
                <w:webHidden/>
              </w:rPr>
              <w:t>3</w:t>
            </w:r>
            <w:r>
              <w:rPr>
                <w:noProof/>
                <w:webHidden/>
              </w:rPr>
              <w:fldChar w:fldCharType="end"/>
            </w:r>
          </w:hyperlink>
        </w:p>
        <w:p w14:paraId="5F32A72C" w14:textId="63A023CA" w:rsidR="005A16BA" w:rsidRDefault="005A16B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3936992" w:history="1">
            <w:r w:rsidRPr="005C286F">
              <w:rPr>
                <w:rStyle w:val="Hyperlink"/>
                <w:noProof/>
              </w:rPr>
              <w:t>Global policies and initiatives</w:t>
            </w:r>
            <w:r>
              <w:rPr>
                <w:noProof/>
                <w:webHidden/>
              </w:rPr>
              <w:tab/>
            </w:r>
            <w:r>
              <w:rPr>
                <w:noProof/>
                <w:webHidden/>
              </w:rPr>
              <w:fldChar w:fldCharType="begin"/>
            </w:r>
            <w:r>
              <w:rPr>
                <w:noProof/>
                <w:webHidden/>
              </w:rPr>
              <w:instrText xml:space="preserve"> PAGEREF _Toc243936992 \h </w:instrText>
            </w:r>
            <w:r>
              <w:rPr>
                <w:noProof/>
                <w:webHidden/>
              </w:rPr>
            </w:r>
            <w:r>
              <w:rPr>
                <w:noProof/>
                <w:webHidden/>
              </w:rPr>
              <w:fldChar w:fldCharType="separate"/>
            </w:r>
            <w:r>
              <w:rPr>
                <w:noProof/>
                <w:webHidden/>
              </w:rPr>
              <w:t>3</w:t>
            </w:r>
            <w:r>
              <w:rPr>
                <w:noProof/>
                <w:webHidden/>
              </w:rPr>
              <w:fldChar w:fldCharType="end"/>
            </w:r>
          </w:hyperlink>
        </w:p>
        <w:p w14:paraId="3544369A" w14:textId="717028EB" w:rsidR="005A16BA" w:rsidRDefault="005A16B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3936993" w:history="1">
            <w:r w:rsidRPr="005C286F">
              <w:rPr>
                <w:rStyle w:val="Hyperlink"/>
                <w:noProof/>
              </w:rPr>
              <w:t>National: England</w:t>
            </w:r>
            <w:r>
              <w:rPr>
                <w:noProof/>
                <w:webHidden/>
              </w:rPr>
              <w:tab/>
            </w:r>
            <w:r>
              <w:rPr>
                <w:noProof/>
                <w:webHidden/>
              </w:rPr>
              <w:fldChar w:fldCharType="begin"/>
            </w:r>
            <w:r>
              <w:rPr>
                <w:noProof/>
                <w:webHidden/>
              </w:rPr>
              <w:instrText xml:space="preserve"> PAGEREF _Toc243936993 \h </w:instrText>
            </w:r>
            <w:r>
              <w:rPr>
                <w:noProof/>
                <w:webHidden/>
              </w:rPr>
            </w:r>
            <w:r>
              <w:rPr>
                <w:noProof/>
                <w:webHidden/>
              </w:rPr>
              <w:fldChar w:fldCharType="separate"/>
            </w:r>
            <w:r>
              <w:rPr>
                <w:noProof/>
                <w:webHidden/>
              </w:rPr>
              <w:t>4</w:t>
            </w:r>
            <w:r>
              <w:rPr>
                <w:noProof/>
                <w:webHidden/>
              </w:rPr>
              <w:fldChar w:fldCharType="end"/>
            </w:r>
          </w:hyperlink>
        </w:p>
        <w:p w14:paraId="14EF6FD7" w14:textId="57743E16" w:rsidR="005A16BA" w:rsidRDefault="005A16B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3936994" w:history="1">
            <w:r w:rsidRPr="005C286F">
              <w:rPr>
                <w:rStyle w:val="Hyperlink"/>
                <w:noProof/>
              </w:rPr>
              <w:t>Local: Birmingham</w:t>
            </w:r>
            <w:r>
              <w:rPr>
                <w:noProof/>
                <w:webHidden/>
              </w:rPr>
              <w:tab/>
            </w:r>
            <w:r>
              <w:rPr>
                <w:noProof/>
                <w:webHidden/>
              </w:rPr>
              <w:fldChar w:fldCharType="begin"/>
            </w:r>
            <w:r>
              <w:rPr>
                <w:noProof/>
                <w:webHidden/>
              </w:rPr>
              <w:instrText xml:space="preserve"> PAGEREF _Toc243936994 \h </w:instrText>
            </w:r>
            <w:r>
              <w:rPr>
                <w:noProof/>
                <w:webHidden/>
              </w:rPr>
            </w:r>
            <w:r>
              <w:rPr>
                <w:noProof/>
                <w:webHidden/>
              </w:rPr>
              <w:fldChar w:fldCharType="separate"/>
            </w:r>
            <w:r>
              <w:rPr>
                <w:noProof/>
                <w:webHidden/>
              </w:rPr>
              <w:t>5</w:t>
            </w:r>
            <w:r>
              <w:rPr>
                <w:noProof/>
                <w:webHidden/>
              </w:rPr>
              <w:fldChar w:fldCharType="end"/>
            </w:r>
          </w:hyperlink>
        </w:p>
        <w:p w14:paraId="40A23FEE" w14:textId="14F74C04" w:rsidR="005A16BA" w:rsidRDefault="005A16B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3936995" w:history="1">
            <w:r w:rsidRPr="005C286F">
              <w:rPr>
                <w:rStyle w:val="Hyperlink"/>
                <w:noProof/>
              </w:rPr>
              <w:t>Recommendations</w:t>
            </w:r>
            <w:r>
              <w:rPr>
                <w:noProof/>
                <w:webHidden/>
              </w:rPr>
              <w:tab/>
            </w:r>
            <w:r>
              <w:rPr>
                <w:noProof/>
                <w:webHidden/>
              </w:rPr>
              <w:fldChar w:fldCharType="begin"/>
            </w:r>
            <w:r>
              <w:rPr>
                <w:noProof/>
                <w:webHidden/>
              </w:rPr>
              <w:instrText xml:space="preserve"> PAGEREF _Toc243936995 \h </w:instrText>
            </w:r>
            <w:r>
              <w:rPr>
                <w:noProof/>
                <w:webHidden/>
              </w:rPr>
            </w:r>
            <w:r>
              <w:rPr>
                <w:noProof/>
                <w:webHidden/>
              </w:rPr>
              <w:fldChar w:fldCharType="separate"/>
            </w:r>
            <w:r>
              <w:rPr>
                <w:noProof/>
                <w:webHidden/>
              </w:rPr>
              <w:t>5</w:t>
            </w:r>
            <w:r>
              <w:rPr>
                <w:noProof/>
                <w:webHidden/>
              </w:rPr>
              <w:fldChar w:fldCharType="end"/>
            </w:r>
          </w:hyperlink>
        </w:p>
        <w:p w14:paraId="2B7B6979" w14:textId="296AD7E8" w:rsidR="005A16BA" w:rsidRDefault="005A16B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43936996" w:history="1">
            <w:r w:rsidRPr="005C286F">
              <w:rPr>
                <w:rStyle w:val="Hyperlink"/>
                <w:noProof/>
              </w:rPr>
              <w:t>Section 2: SDG 13 Climate Action</w:t>
            </w:r>
            <w:r>
              <w:rPr>
                <w:noProof/>
                <w:webHidden/>
              </w:rPr>
              <w:tab/>
            </w:r>
            <w:r>
              <w:rPr>
                <w:noProof/>
                <w:webHidden/>
              </w:rPr>
              <w:fldChar w:fldCharType="begin"/>
            </w:r>
            <w:r>
              <w:rPr>
                <w:noProof/>
                <w:webHidden/>
              </w:rPr>
              <w:instrText xml:space="preserve"> PAGEREF _Toc243936996 \h </w:instrText>
            </w:r>
            <w:r>
              <w:rPr>
                <w:noProof/>
                <w:webHidden/>
              </w:rPr>
            </w:r>
            <w:r>
              <w:rPr>
                <w:noProof/>
                <w:webHidden/>
              </w:rPr>
              <w:fldChar w:fldCharType="separate"/>
            </w:r>
            <w:r>
              <w:rPr>
                <w:noProof/>
                <w:webHidden/>
              </w:rPr>
              <w:t>6</w:t>
            </w:r>
            <w:r>
              <w:rPr>
                <w:noProof/>
                <w:webHidden/>
              </w:rPr>
              <w:fldChar w:fldCharType="end"/>
            </w:r>
          </w:hyperlink>
        </w:p>
        <w:p w14:paraId="388A22E5" w14:textId="571FDD98" w:rsidR="005A16BA" w:rsidRDefault="005A16B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3936997" w:history="1">
            <w:r w:rsidRPr="005C286F">
              <w:rPr>
                <w:rStyle w:val="Hyperlink"/>
                <w:noProof/>
              </w:rPr>
              <w:t>Overview</w:t>
            </w:r>
            <w:r>
              <w:rPr>
                <w:noProof/>
                <w:webHidden/>
              </w:rPr>
              <w:tab/>
            </w:r>
            <w:r>
              <w:rPr>
                <w:noProof/>
                <w:webHidden/>
              </w:rPr>
              <w:fldChar w:fldCharType="begin"/>
            </w:r>
            <w:r>
              <w:rPr>
                <w:noProof/>
                <w:webHidden/>
              </w:rPr>
              <w:instrText xml:space="preserve"> PAGEREF _Toc243936997 \h </w:instrText>
            </w:r>
            <w:r>
              <w:rPr>
                <w:noProof/>
                <w:webHidden/>
              </w:rPr>
            </w:r>
            <w:r>
              <w:rPr>
                <w:noProof/>
                <w:webHidden/>
              </w:rPr>
              <w:fldChar w:fldCharType="separate"/>
            </w:r>
            <w:r>
              <w:rPr>
                <w:noProof/>
                <w:webHidden/>
              </w:rPr>
              <w:t>6</w:t>
            </w:r>
            <w:r>
              <w:rPr>
                <w:noProof/>
                <w:webHidden/>
              </w:rPr>
              <w:fldChar w:fldCharType="end"/>
            </w:r>
          </w:hyperlink>
        </w:p>
        <w:p w14:paraId="26698029" w14:textId="1372DA59" w:rsidR="005A16BA" w:rsidRDefault="005A16B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3936998" w:history="1">
            <w:r w:rsidRPr="005C286F">
              <w:rPr>
                <w:rStyle w:val="Hyperlink"/>
                <w:noProof/>
              </w:rPr>
              <w:t>Global policies and initiatives</w:t>
            </w:r>
            <w:r>
              <w:rPr>
                <w:noProof/>
                <w:webHidden/>
              </w:rPr>
              <w:tab/>
            </w:r>
            <w:r>
              <w:rPr>
                <w:noProof/>
                <w:webHidden/>
              </w:rPr>
              <w:fldChar w:fldCharType="begin"/>
            </w:r>
            <w:r>
              <w:rPr>
                <w:noProof/>
                <w:webHidden/>
              </w:rPr>
              <w:instrText xml:space="preserve"> PAGEREF _Toc243936998 \h </w:instrText>
            </w:r>
            <w:r>
              <w:rPr>
                <w:noProof/>
                <w:webHidden/>
              </w:rPr>
            </w:r>
            <w:r>
              <w:rPr>
                <w:noProof/>
                <w:webHidden/>
              </w:rPr>
              <w:fldChar w:fldCharType="separate"/>
            </w:r>
            <w:r>
              <w:rPr>
                <w:noProof/>
                <w:webHidden/>
              </w:rPr>
              <w:t>6</w:t>
            </w:r>
            <w:r>
              <w:rPr>
                <w:noProof/>
                <w:webHidden/>
              </w:rPr>
              <w:fldChar w:fldCharType="end"/>
            </w:r>
          </w:hyperlink>
        </w:p>
        <w:p w14:paraId="38667DFC" w14:textId="0AD09AF0" w:rsidR="005A16BA" w:rsidRDefault="005A16B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3936999" w:history="1">
            <w:r w:rsidRPr="005C286F">
              <w:rPr>
                <w:rStyle w:val="Hyperlink"/>
                <w:noProof/>
              </w:rPr>
              <w:t>National: England</w:t>
            </w:r>
            <w:r>
              <w:rPr>
                <w:noProof/>
                <w:webHidden/>
              </w:rPr>
              <w:tab/>
            </w:r>
            <w:r>
              <w:rPr>
                <w:noProof/>
                <w:webHidden/>
              </w:rPr>
              <w:fldChar w:fldCharType="begin"/>
            </w:r>
            <w:r>
              <w:rPr>
                <w:noProof/>
                <w:webHidden/>
              </w:rPr>
              <w:instrText xml:space="preserve"> PAGEREF _Toc243936999 \h </w:instrText>
            </w:r>
            <w:r>
              <w:rPr>
                <w:noProof/>
                <w:webHidden/>
              </w:rPr>
            </w:r>
            <w:r>
              <w:rPr>
                <w:noProof/>
                <w:webHidden/>
              </w:rPr>
              <w:fldChar w:fldCharType="separate"/>
            </w:r>
            <w:r>
              <w:rPr>
                <w:noProof/>
                <w:webHidden/>
              </w:rPr>
              <w:t>6</w:t>
            </w:r>
            <w:r>
              <w:rPr>
                <w:noProof/>
                <w:webHidden/>
              </w:rPr>
              <w:fldChar w:fldCharType="end"/>
            </w:r>
          </w:hyperlink>
        </w:p>
        <w:p w14:paraId="4EFC0543" w14:textId="1C6821F7" w:rsidR="005A16BA" w:rsidRDefault="005A16B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3937000" w:history="1">
            <w:r w:rsidRPr="005C286F">
              <w:rPr>
                <w:rStyle w:val="Hyperlink"/>
                <w:noProof/>
              </w:rPr>
              <w:t>Local: Birmingham</w:t>
            </w:r>
            <w:r>
              <w:rPr>
                <w:noProof/>
                <w:webHidden/>
              </w:rPr>
              <w:tab/>
            </w:r>
            <w:r>
              <w:rPr>
                <w:noProof/>
                <w:webHidden/>
              </w:rPr>
              <w:fldChar w:fldCharType="begin"/>
            </w:r>
            <w:r>
              <w:rPr>
                <w:noProof/>
                <w:webHidden/>
              </w:rPr>
              <w:instrText xml:space="preserve"> PAGEREF _Toc243937000 \h </w:instrText>
            </w:r>
            <w:r>
              <w:rPr>
                <w:noProof/>
                <w:webHidden/>
              </w:rPr>
            </w:r>
            <w:r>
              <w:rPr>
                <w:noProof/>
                <w:webHidden/>
              </w:rPr>
              <w:fldChar w:fldCharType="separate"/>
            </w:r>
            <w:r>
              <w:rPr>
                <w:noProof/>
                <w:webHidden/>
              </w:rPr>
              <w:t>7</w:t>
            </w:r>
            <w:r>
              <w:rPr>
                <w:noProof/>
                <w:webHidden/>
              </w:rPr>
              <w:fldChar w:fldCharType="end"/>
            </w:r>
          </w:hyperlink>
        </w:p>
        <w:p w14:paraId="3562B794" w14:textId="2B531C95" w:rsidR="005A16BA" w:rsidRDefault="005A16BA">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3937001" w:history="1">
            <w:r w:rsidRPr="005C286F">
              <w:rPr>
                <w:rStyle w:val="Hyperlink"/>
                <w:noProof/>
              </w:rPr>
              <w:t>Recommendations</w:t>
            </w:r>
            <w:r>
              <w:rPr>
                <w:noProof/>
                <w:webHidden/>
              </w:rPr>
              <w:tab/>
            </w:r>
            <w:r>
              <w:rPr>
                <w:noProof/>
                <w:webHidden/>
              </w:rPr>
              <w:fldChar w:fldCharType="begin"/>
            </w:r>
            <w:r>
              <w:rPr>
                <w:noProof/>
                <w:webHidden/>
              </w:rPr>
              <w:instrText xml:space="preserve"> PAGEREF _Toc243937001 \h </w:instrText>
            </w:r>
            <w:r>
              <w:rPr>
                <w:noProof/>
                <w:webHidden/>
              </w:rPr>
            </w:r>
            <w:r>
              <w:rPr>
                <w:noProof/>
                <w:webHidden/>
              </w:rPr>
              <w:fldChar w:fldCharType="separate"/>
            </w:r>
            <w:r>
              <w:rPr>
                <w:noProof/>
                <w:webHidden/>
              </w:rPr>
              <w:t>8</w:t>
            </w:r>
            <w:r>
              <w:rPr>
                <w:noProof/>
                <w:webHidden/>
              </w:rPr>
              <w:fldChar w:fldCharType="end"/>
            </w:r>
          </w:hyperlink>
        </w:p>
        <w:p w14:paraId="2729733F" w14:textId="701938DB" w:rsidR="005A16BA" w:rsidRDefault="005A16B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43937002" w:history="1">
            <w:r w:rsidRPr="005C286F">
              <w:rPr>
                <w:rStyle w:val="Hyperlink"/>
                <w:noProof/>
              </w:rPr>
              <w:t>Conclusion</w:t>
            </w:r>
            <w:r>
              <w:rPr>
                <w:noProof/>
                <w:webHidden/>
              </w:rPr>
              <w:tab/>
            </w:r>
            <w:r>
              <w:rPr>
                <w:noProof/>
                <w:webHidden/>
              </w:rPr>
              <w:fldChar w:fldCharType="begin"/>
            </w:r>
            <w:r>
              <w:rPr>
                <w:noProof/>
                <w:webHidden/>
              </w:rPr>
              <w:instrText xml:space="preserve"> PAGEREF _Toc243937002 \h </w:instrText>
            </w:r>
            <w:r>
              <w:rPr>
                <w:noProof/>
                <w:webHidden/>
              </w:rPr>
            </w:r>
            <w:r>
              <w:rPr>
                <w:noProof/>
                <w:webHidden/>
              </w:rPr>
              <w:fldChar w:fldCharType="separate"/>
            </w:r>
            <w:r>
              <w:rPr>
                <w:noProof/>
                <w:webHidden/>
              </w:rPr>
              <w:t>8</w:t>
            </w:r>
            <w:r>
              <w:rPr>
                <w:noProof/>
                <w:webHidden/>
              </w:rPr>
              <w:fldChar w:fldCharType="end"/>
            </w:r>
          </w:hyperlink>
        </w:p>
        <w:p w14:paraId="7C37007D" w14:textId="2DE39EAA" w:rsidR="005A16BA" w:rsidRDefault="005A16BA">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43937003" w:history="1">
            <w:r w:rsidRPr="005C286F">
              <w:rPr>
                <w:rStyle w:val="Hyperlink"/>
                <w:noProof/>
              </w:rPr>
              <w:t>Reference List</w:t>
            </w:r>
            <w:r>
              <w:rPr>
                <w:noProof/>
                <w:webHidden/>
              </w:rPr>
              <w:tab/>
            </w:r>
            <w:r>
              <w:rPr>
                <w:noProof/>
                <w:webHidden/>
              </w:rPr>
              <w:fldChar w:fldCharType="begin"/>
            </w:r>
            <w:r>
              <w:rPr>
                <w:noProof/>
                <w:webHidden/>
              </w:rPr>
              <w:instrText xml:space="preserve"> PAGEREF _Toc243937003 \h </w:instrText>
            </w:r>
            <w:r>
              <w:rPr>
                <w:noProof/>
                <w:webHidden/>
              </w:rPr>
            </w:r>
            <w:r>
              <w:rPr>
                <w:noProof/>
                <w:webHidden/>
              </w:rPr>
              <w:fldChar w:fldCharType="separate"/>
            </w:r>
            <w:r>
              <w:rPr>
                <w:noProof/>
                <w:webHidden/>
              </w:rPr>
              <w:t>10</w:t>
            </w:r>
            <w:r>
              <w:rPr>
                <w:noProof/>
                <w:webHidden/>
              </w:rPr>
              <w:fldChar w:fldCharType="end"/>
            </w:r>
          </w:hyperlink>
        </w:p>
        <w:p w14:paraId="4BB7FDE6" w14:textId="651ABBFC" w:rsidR="00DC6AB8" w:rsidRDefault="00DC6AB8">
          <w:r>
            <w:rPr>
              <w:b/>
              <w:bCs/>
            </w:rPr>
            <w:fldChar w:fldCharType="end"/>
          </w:r>
        </w:p>
      </w:sdtContent>
    </w:sdt>
    <w:p w14:paraId="1AAA99E2" w14:textId="77777777" w:rsidR="00390CC1" w:rsidRDefault="00390CC1">
      <w:pPr>
        <w:rPr>
          <w:b/>
          <w:bCs/>
          <w:u w:val="single"/>
        </w:rPr>
      </w:pPr>
      <w:r>
        <w:rPr>
          <w:u w:val="single"/>
        </w:rPr>
        <w:br w:type="page"/>
      </w:r>
    </w:p>
    <w:p w14:paraId="71666E32" w14:textId="7600E052" w:rsidR="009B28BF" w:rsidRPr="00B80A28" w:rsidRDefault="00A10B59" w:rsidP="003852DA">
      <w:pPr>
        <w:pStyle w:val="Heading1"/>
        <w:rPr>
          <w:sz w:val="22"/>
          <w:szCs w:val="22"/>
          <w:u w:val="single"/>
        </w:rPr>
      </w:pPr>
      <w:bookmarkStart w:id="1" w:name="_Toc243936989"/>
      <w:r w:rsidRPr="00B80A28">
        <w:rPr>
          <w:sz w:val="22"/>
          <w:szCs w:val="22"/>
          <w:u w:val="single"/>
        </w:rPr>
        <w:lastRenderedPageBreak/>
        <w:t>I</w:t>
      </w:r>
      <w:r w:rsidR="00B91B53" w:rsidRPr="00B80A28">
        <w:rPr>
          <w:sz w:val="22"/>
          <w:szCs w:val="22"/>
          <w:u w:val="single"/>
        </w:rPr>
        <w:t>ntroduction</w:t>
      </w:r>
      <w:bookmarkEnd w:id="1"/>
    </w:p>
    <w:p w14:paraId="43AA347A" w14:textId="77777777" w:rsidR="001D1860" w:rsidRPr="001D1860" w:rsidRDefault="001D1860" w:rsidP="001D1860">
      <w:pPr>
        <w:spacing w:line="360" w:lineRule="auto"/>
      </w:pPr>
    </w:p>
    <w:p w14:paraId="019E71AC" w14:textId="77777777" w:rsidR="009B28BF" w:rsidRPr="00E740CE" w:rsidRDefault="00B91B53" w:rsidP="00E740CE">
      <w:pPr>
        <w:spacing w:after="160" w:line="360" w:lineRule="auto"/>
        <w:jc w:val="both"/>
      </w:pPr>
      <w:r w:rsidRPr="00E740CE">
        <w:t>The 17 Sustainable Development Goals (SDGs), adopted by all United Nations member states in 2015, provide a shared framework for ending poverty, protecting the planet and improving wellbeing by 2030 (United Nations, 2015). Health sits at the centre of this agenda, as it is both an outcome of progress on other goals and a precondition for it. Yet with only a few years remaining, fewer than one in ten SDG 3 targets are on track globally (UHC2030, 2025), while climate change is increasingly undermining the health gains of previous decades (Romanello et al., 2025).</w:t>
      </w:r>
    </w:p>
    <w:p w14:paraId="367B908D" w14:textId="1E2A4EB1" w:rsidR="009B28BF" w:rsidRPr="00325D63" w:rsidRDefault="00B91B53" w:rsidP="00E740CE">
      <w:pPr>
        <w:spacing w:after="160" w:line="360" w:lineRule="auto"/>
        <w:jc w:val="both"/>
      </w:pPr>
      <w:r w:rsidRPr="00E740CE">
        <w:t xml:space="preserve">This report critically examines policies and initiatives addressing SDG 3 'Good Health and Wellbeing' and SDG 13 'Climate Action' at global, national (England) and local (Birmingham) levels. </w:t>
      </w:r>
      <w:r w:rsidRPr="00325D63">
        <w:t>SDG 13 was chosen because climate change affects health through heat, air pollution and disrupted food and water systems</w:t>
      </w:r>
      <w:r w:rsidR="00C3778A">
        <w:t xml:space="preserve"> </w:t>
      </w:r>
      <w:r w:rsidR="00C3778A" w:rsidRPr="00C3778A">
        <w:t>(WHO, 2023)</w:t>
      </w:r>
      <w:r w:rsidRPr="00325D63">
        <w:t xml:space="preserve"> and because the health sector is itself a significant source of emissions</w:t>
      </w:r>
      <w:r w:rsidR="00860D96">
        <w:t xml:space="preserve"> </w:t>
      </w:r>
      <w:r w:rsidR="00860D96" w:rsidRPr="00860D96">
        <w:t>(NHS England, 2022)</w:t>
      </w:r>
      <w:r w:rsidR="00860D96">
        <w:t>.</w:t>
      </w:r>
    </w:p>
    <w:p w14:paraId="0400F9E0" w14:textId="216A64D6" w:rsidR="001D1860" w:rsidRDefault="00B91B53" w:rsidP="001D1860">
      <w:pPr>
        <w:spacing w:after="160" w:line="360" w:lineRule="auto"/>
        <w:jc w:val="both"/>
      </w:pPr>
      <w:r w:rsidRPr="00E740CE">
        <w:t xml:space="preserve">Each initiative is evaluated against three criteria: effectiveness (impact on health outcomes and sustainability), accessibility (whether it reaches rural, low-income and marginalised groups) and challenges (barriers and unintended consequences, such as widening inequalities). </w:t>
      </w:r>
      <w:r w:rsidR="00F9559A" w:rsidRPr="00F9559A">
        <w:t>Four frameworks explain why initiatives succeed or fail: the Health Belief Model (Rosenstock, 1974), Social Cognitive Theory (Bandura, 2004), the COM-B model (Michie, van Stralen and West, 2011) and Dahlgren and Whitehead’s (2021) model of the determinants of health</w:t>
      </w:r>
      <w:r w:rsidRPr="00E740CE">
        <w:t>.</w:t>
      </w:r>
    </w:p>
    <w:p w14:paraId="4F84BE0E" w14:textId="77777777" w:rsidR="00601D7F" w:rsidRDefault="00601D7F" w:rsidP="001D1860">
      <w:pPr>
        <w:spacing w:after="160" w:line="360" w:lineRule="auto"/>
        <w:jc w:val="both"/>
      </w:pPr>
    </w:p>
    <w:p w14:paraId="094E5181" w14:textId="77777777" w:rsidR="001D1860" w:rsidRPr="00B80A28" w:rsidRDefault="00B91B53" w:rsidP="00B80A28">
      <w:pPr>
        <w:pStyle w:val="Heading1"/>
        <w:rPr>
          <w:sz w:val="22"/>
          <w:szCs w:val="22"/>
          <w:u w:val="single"/>
        </w:rPr>
      </w:pPr>
      <w:bookmarkStart w:id="2" w:name="_Toc243936990"/>
      <w:r w:rsidRPr="00B80A28">
        <w:rPr>
          <w:sz w:val="22"/>
          <w:szCs w:val="22"/>
          <w:u w:val="single"/>
        </w:rPr>
        <w:t>Section 1: SDG 3 Good Health and Wellbeing</w:t>
      </w:r>
      <w:bookmarkEnd w:id="2"/>
    </w:p>
    <w:p w14:paraId="396DEA9B" w14:textId="77777777" w:rsidR="00390CC1" w:rsidRDefault="00390CC1" w:rsidP="00A6450D">
      <w:pPr>
        <w:pStyle w:val="Heading2"/>
        <w:rPr>
          <w:sz w:val="22"/>
          <w:szCs w:val="22"/>
          <w:u w:val="single"/>
        </w:rPr>
      </w:pPr>
    </w:p>
    <w:p w14:paraId="54A8F492" w14:textId="1CF68C37" w:rsidR="009B28BF" w:rsidRPr="00A6450D" w:rsidRDefault="00B91B53" w:rsidP="00A6450D">
      <w:pPr>
        <w:pStyle w:val="Heading2"/>
        <w:rPr>
          <w:sz w:val="22"/>
          <w:szCs w:val="22"/>
          <w:u w:val="single"/>
        </w:rPr>
      </w:pPr>
      <w:bookmarkStart w:id="3" w:name="_Toc243936991"/>
      <w:r w:rsidRPr="00A6450D">
        <w:rPr>
          <w:sz w:val="22"/>
          <w:szCs w:val="22"/>
          <w:u w:val="single"/>
        </w:rPr>
        <w:t>Overview</w:t>
      </w:r>
      <w:bookmarkEnd w:id="3"/>
    </w:p>
    <w:p w14:paraId="22042635" w14:textId="77777777" w:rsidR="00390CC1" w:rsidRDefault="00390CC1" w:rsidP="001D1860">
      <w:pPr>
        <w:spacing w:after="160" w:line="360" w:lineRule="auto"/>
        <w:jc w:val="both"/>
      </w:pPr>
    </w:p>
    <w:p w14:paraId="461E67CE" w14:textId="7CAD2D84" w:rsidR="00601D7F" w:rsidRDefault="00B91B53" w:rsidP="001D1860">
      <w:pPr>
        <w:spacing w:after="160" w:line="360" w:lineRule="auto"/>
        <w:jc w:val="both"/>
      </w:pPr>
      <w:r w:rsidRPr="00E740CE">
        <w:t>SDG 3 aims to ensure healthy lives and promote wellbeing for all at all ages through 13 targets, including reducing maternal mortality, ending epidemics and achieving universal health coverage (UHC) (United Nations, 2015).</w:t>
      </w:r>
    </w:p>
    <w:p w14:paraId="24F0EC73" w14:textId="77777777" w:rsidR="005A16BA" w:rsidRDefault="005A16BA" w:rsidP="001D1860">
      <w:pPr>
        <w:spacing w:after="160" w:line="360" w:lineRule="auto"/>
        <w:jc w:val="both"/>
      </w:pPr>
    </w:p>
    <w:p w14:paraId="61C8D1AA" w14:textId="3EE2902E" w:rsidR="009B28BF" w:rsidRPr="00A6450D" w:rsidRDefault="00B91B53" w:rsidP="00A6450D">
      <w:pPr>
        <w:pStyle w:val="Heading2"/>
        <w:rPr>
          <w:sz w:val="22"/>
          <w:szCs w:val="22"/>
          <w:u w:val="single"/>
        </w:rPr>
      </w:pPr>
      <w:bookmarkStart w:id="4" w:name="_Toc243936992"/>
      <w:r w:rsidRPr="00A6450D">
        <w:rPr>
          <w:sz w:val="22"/>
          <w:szCs w:val="22"/>
          <w:u w:val="single"/>
        </w:rPr>
        <w:t>Global policies and initiatives</w:t>
      </w:r>
      <w:bookmarkEnd w:id="4"/>
    </w:p>
    <w:p w14:paraId="242A60C2" w14:textId="77777777" w:rsidR="00390CC1" w:rsidRDefault="00390CC1" w:rsidP="001D1860">
      <w:pPr>
        <w:spacing w:after="160" w:line="360" w:lineRule="auto"/>
        <w:jc w:val="both"/>
      </w:pPr>
    </w:p>
    <w:p w14:paraId="11322F00" w14:textId="143A85C4" w:rsidR="001D1860" w:rsidRDefault="00B91B53" w:rsidP="001D1860">
      <w:pPr>
        <w:spacing w:after="160" w:line="360" w:lineRule="auto"/>
        <w:jc w:val="both"/>
      </w:pPr>
      <w:r w:rsidRPr="00E740CE">
        <w:t xml:space="preserve">The global maternal mortality ratio fell from 228 to 197 deaths per 100,000 live births between 2015 and </w:t>
      </w:r>
      <w:r w:rsidR="006B0C3B" w:rsidRPr="00E740CE">
        <w:t>2023 yet</w:t>
      </w:r>
      <w:r w:rsidRPr="00E740CE">
        <w:t xml:space="preserve"> remains nearly three times the 2030 target of 70 (United Nations, 2025). UHC, which underpins the other targets, has largely stalled: in 2021, 4.5 billion people were </w:t>
      </w:r>
      <w:r w:rsidRPr="00E740CE">
        <w:lastRenderedPageBreak/>
        <w:t xml:space="preserve">not fully covered by essential health services, and in 2019 around 2 billion faced financial hardship from health spending (WHO and World Bank, 2023). </w:t>
      </w:r>
      <w:r w:rsidR="00A61D18">
        <w:t>However</w:t>
      </w:r>
      <w:r w:rsidR="00FD1029">
        <w:t>, t</w:t>
      </w:r>
      <w:r w:rsidRPr="00E740CE">
        <w:t>wo weaknesses help explain this. The SDGs lack a legally binding enforcement mechanism, and financing is unstable: external health aid is projected to fall by 30</w:t>
      </w:r>
      <w:r w:rsidR="00DB40D0">
        <w:t>-</w:t>
      </w:r>
      <w:r w:rsidRPr="00E740CE">
        <w:t>40% between 2023 and 2025, with some countries reporting cuts of up to 70% to services such as maternal care and vaccination (WHO, 2025).</w:t>
      </w:r>
    </w:p>
    <w:p w14:paraId="49208323" w14:textId="77777777" w:rsidR="00601D7F" w:rsidRDefault="00601D7F" w:rsidP="001D1860">
      <w:pPr>
        <w:spacing w:after="160" w:line="360" w:lineRule="auto"/>
        <w:jc w:val="both"/>
      </w:pPr>
    </w:p>
    <w:p w14:paraId="21F8ECA2" w14:textId="49ABC241" w:rsidR="009B28BF" w:rsidRPr="00A6450D" w:rsidRDefault="00B91B53" w:rsidP="00A6450D">
      <w:pPr>
        <w:pStyle w:val="Heading2"/>
        <w:rPr>
          <w:sz w:val="22"/>
          <w:szCs w:val="22"/>
          <w:u w:val="single"/>
        </w:rPr>
      </w:pPr>
      <w:bookmarkStart w:id="5" w:name="_Toc243936993"/>
      <w:r w:rsidRPr="00A6450D">
        <w:rPr>
          <w:sz w:val="22"/>
          <w:szCs w:val="22"/>
          <w:u w:val="single"/>
        </w:rPr>
        <w:t>National: England</w:t>
      </w:r>
      <w:bookmarkEnd w:id="5"/>
    </w:p>
    <w:p w14:paraId="5CDD7875" w14:textId="77777777" w:rsidR="005A16BA" w:rsidRDefault="005A16BA" w:rsidP="00E740CE">
      <w:pPr>
        <w:spacing w:after="160" w:line="360" w:lineRule="auto"/>
        <w:jc w:val="both"/>
      </w:pPr>
    </w:p>
    <w:p w14:paraId="659ACA68" w14:textId="6AE48C0B" w:rsidR="009B28BF" w:rsidRPr="00E740CE" w:rsidRDefault="00B91B53" w:rsidP="00E740CE">
      <w:pPr>
        <w:spacing w:after="160" w:line="360" w:lineRule="auto"/>
        <w:jc w:val="both"/>
      </w:pPr>
      <w:r w:rsidRPr="00E740CE">
        <w:t xml:space="preserve">The </w:t>
      </w:r>
      <w:r w:rsidR="00DB40D0" w:rsidRPr="00E740CE">
        <w:t>10-Year</w:t>
      </w:r>
      <w:r w:rsidRPr="00E740CE">
        <w:t xml:space="preserve"> Health Plan commits to three shifts: hospital to community, analogue to digital, and sickness to prevention (DHSC, 2025). Its prevention focus responds to the Darzi (2024) investigation, which linked weakened prevention to public health grant cuts; per person, the grant has fallen by 26% in real terms since 2015/16 (Finch, Gazzillo and </w:t>
      </w:r>
      <w:proofErr w:type="spellStart"/>
      <w:r w:rsidRPr="00E740CE">
        <w:t>Vriend</w:t>
      </w:r>
      <w:proofErr w:type="spellEnd"/>
      <w:r w:rsidRPr="00E740CE">
        <w:t>, 2025</w:t>
      </w:r>
      <w:r w:rsidR="001E2C0D">
        <w:t>. As</w:t>
      </w:r>
      <w:r w:rsidR="00784C0A" w:rsidRPr="00784C0A">
        <w:t xml:space="preserve"> the plan was only published in 2025, it currently represents a policy commitment rather than established evidence of impac</w:t>
      </w:r>
      <w:r w:rsidR="001E2C0D">
        <w:t>t.</w:t>
      </w:r>
    </w:p>
    <w:p w14:paraId="7E53E386" w14:textId="13BE7CEF" w:rsidR="009B28BF" w:rsidRPr="00E740CE" w:rsidRDefault="00B91B53" w:rsidP="00E740CE">
      <w:pPr>
        <w:spacing w:after="160" w:line="360" w:lineRule="auto"/>
        <w:jc w:val="both"/>
      </w:pPr>
      <w:r w:rsidRPr="00E740CE">
        <w:t>The Healthier You: NHS Diabetes Prevention Programme (NHS DPP) offers stronger evidence. Referral was associated with a 20% lower risk of developing type 2 diabetes (</w:t>
      </w:r>
      <w:proofErr w:type="spellStart"/>
      <w:r w:rsidRPr="00E740CE">
        <w:t>Ravindrarajah</w:t>
      </w:r>
      <w:proofErr w:type="spellEnd"/>
      <w:r w:rsidRPr="00E740CE">
        <w:t xml:space="preserve"> et al., 2023), and practices that joined early saw population incidence fall by around 6–7% (McManus et al., 2022). However, both studies are observational. </w:t>
      </w:r>
      <w:proofErr w:type="spellStart"/>
      <w:r w:rsidRPr="00E740CE">
        <w:t>Ravindrarajah</w:t>
      </w:r>
      <w:proofErr w:type="spellEnd"/>
      <w:r w:rsidRPr="00E740CE">
        <w:t xml:space="preserve"> et al. (2023) compared referred patients with patients in non-referring practices, so selection bias is possible: referring practices and their patients may differ in motivation or care quality, and the study measured referral rather than attendance.</w:t>
      </w:r>
      <w:r w:rsidR="009F5A43">
        <w:t xml:space="preserve"> </w:t>
      </w:r>
      <w:r w:rsidR="008E0819">
        <w:t xml:space="preserve">Additionally, </w:t>
      </w:r>
      <w:r w:rsidRPr="00E740CE">
        <w:t>McManus et al. (2022) also note that longer follow-up is needed to show whether diabetes is prevented or merely delayed.</w:t>
      </w:r>
    </w:p>
    <w:p w14:paraId="490F907E" w14:textId="2D231C0E" w:rsidR="001D1860" w:rsidRDefault="00B91B53" w:rsidP="001D1860">
      <w:pPr>
        <w:spacing w:after="160" w:line="360" w:lineRule="auto"/>
        <w:jc w:val="both"/>
      </w:pPr>
      <w:r w:rsidRPr="00E740CE">
        <w:t>The Health Belief Model (HBM) helps explain both the programme's success and its limits (Rosenstock, 1974; Champion and Skinner, 2008). A blood test result acts as a cue to action and raises perceived susceptibility, while group sessions build self-efficacy through peer modelling, as Social Cognitive Theory (SCT) predicts (Bandura, 2004). Yet only 53% of those referred attended an initial assessment</w:t>
      </w:r>
      <w:r w:rsidR="003478E8">
        <w:t>,</w:t>
      </w:r>
      <w:r w:rsidRPr="00E740CE">
        <w:t xml:space="preserve"> and 19% completed the programme (</w:t>
      </w:r>
      <w:proofErr w:type="spellStart"/>
      <w:r w:rsidRPr="00E740CE">
        <w:t>Valabhji</w:t>
      </w:r>
      <w:proofErr w:type="spellEnd"/>
      <w:r w:rsidRPr="00E740CE">
        <w:t xml:space="preserve"> et al., 2020). </w:t>
      </w:r>
      <w:r w:rsidR="009F5A43" w:rsidRPr="00E740CE">
        <w:t>More</w:t>
      </w:r>
      <w:r w:rsidR="009F5A43">
        <w:t xml:space="preserve">over, </w:t>
      </w:r>
      <w:r w:rsidR="009F5A43" w:rsidRPr="00E740CE">
        <w:t>recent</w:t>
      </w:r>
      <w:r w:rsidRPr="00E740CE">
        <w:t xml:space="preserve"> analysis shows that people in deprived areas made up 20% of the eligible population but only 14% of those attending eight sessions</w:t>
      </w:r>
      <w:r w:rsidR="00617B4C">
        <w:t>. In comparison,</w:t>
      </w:r>
      <w:r w:rsidRPr="00E740CE">
        <w:t xml:space="preserve"> ethnic minority groups fell from 35% of those offered a place to 18% of those attending 11 sessions (Chatzi et al., 2023). In HBM terms, perceived barriers such as work, travel costs and caring duties outweigh perceived benefits; SCT adds that self-efficacy is constrained by </w:t>
      </w:r>
      <w:r w:rsidRPr="00E740CE">
        <w:lastRenderedPageBreak/>
        <w:t>environments lacking affordable healthy food. A universal programme can therefore widen inequalities.</w:t>
      </w:r>
    </w:p>
    <w:p w14:paraId="172D1CE2" w14:textId="77777777" w:rsidR="00601D7F" w:rsidRDefault="00601D7F" w:rsidP="001D1860">
      <w:pPr>
        <w:spacing w:after="160" w:line="360" w:lineRule="auto"/>
        <w:jc w:val="both"/>
      </w:pPr>
    </w:p>
    <w:p w14:paraId="5BC461A8" w14:textId="17B9AC31" w:rsidR="009B28BF" w:rsidRPr="00A6450D" w:rsidRDefault="00B91B53" w:rsidP="00A6450D">
      <w:pPr>
        <w:pStyle w:val="Heading2"/>
        <w:rPr>
          <w:sz w:val="22"/>
          <w:szCs w:val="22"/>
          <w:u w:val="single"/>
        </w:rPr>
      </w:pPr>
      <w:bookmarkStart w:id="6" w:name="_Toc243936994"/>
      <w:r w:rsidRPr="00A6450D">
        <w:rPr>
          <w:sz w:val="22"/>
          <w:szCs w:val="22"/>
          <w:u w:val="single"/>
        </w:rPr>
        <w:t>Local: Birmingham</w:t>
      </w:r>
      <w:bookmarkEnd w:id="6"/>
    </w:p>
    <w:p w14:paraId="6C2D8800" w14:textId="77777777" w:rsidR="005A16BA" w:rsidRDefault="005A16BA" w:rsidP="00E740CE">
      <w:pPr>
        <w:spacing w:after="160" w:line="360" w:lineRule="auto"/>
        <w:jc w:val="both"/>
      </w:pPr>
    </w:p>
    <w:p w14:paraId="17E34C1D" w14:textId="37630116" w:rsidR="009B28BF" w:rsidRPr="00E740CE" w:rsidRDefault="00B91B53" w:rsidP="00E740CE">
      <w:pPr>
        <w:spacing w:after="160" w:line="360" w:lineRule="auto"/>
        <w:jc w:val="both"/>
      </w:pPr>
      <w:r w:rsidRPr="00E740CE">
        <w:t xml:space="preserve">Birmingham's Joint Health and Wellbeing Strategy, </w:t>
      </w:r>
      <w:r w:rsidRPr="00CF59DA">
        <w:t xml:space="preserve">Creating a </w:t>
      </w:r>
      <w:proofErr w:type="gramStart"/>
      <w:r w:rsidRPr="00CF59DA">
        <w:t>Bolder</w:t>
      </w:r>
      <w:proofErr w:type="gramEnd"/>
      <w:r w:rsidRPr="00CF59DA">
        <w:t>, Healthier City 2022</w:t>
      </w:r>
      <w:r w:rsidR="00CF59DA">
        <w:t>-</w:t>
      </w:r>
      <w:r w:rsidRPr="00CF59DA">
        <w:t>2030, targets food, physical activity, mental wellbeing</w:t>
      </w:r>
      <w:r w:rsidRPr="00E740CE">
        <w:t xml:space="preserve"> and green space across the life course (Birmingham City Council, 2022). Need is stark: </w:t>
      </w:r>
      <w:bookmarkStart w:id="7" w:name="OLE_LINK3"/>
      <w:r w:rsidRPr="00E740CE">
        <w:t xml:space="preserve">male life expectancy is 71.8 years in Heartlands but 83.8 years in Sutton Four Oaks, and 28.1% of children live in low-income families, compared with 17.0% nationally (Birmingham City Council, 2022). </w:t>
      </w:r>
      <w:bookmarkEnd w:id="7"/>
      <w:r w:rsidRPr="00E740CE">
        <w:t>Acting on these wider determinants is consistent with Dahlgren and Whitehead's (2021) model, but the strategy sets many targets across five themes, which could spread limited resources thinly, given the council's finances.</w:t>
      </w:r>
    </w:p>
    <w:p w14:paraId="2A7B5B1A" w14:textId="76A0A4FE" w:rsidR="001D1860" w:rsidRDefault="00B91B53" w:rsidP="001D1860">
      <w:pPr>
        <w:spacing w:after="160" w:line="360" w:lineRule="auto"/>
        <w:jc w:val="both"/>
      </w:pPr>
      <w:r w:rsidRPr="00E740CE">
        <w:t>However, its effectiveness cannot yet be judged. Life expectancy in Birmingham fell more steeply than the national average between 2018</w:t>
      </w:r>
      <w:r w:rsidR="00D25D52">
        <w:t>-</w:t>
      </w:r>
      <w:r w:rsidRPr="00E740CE">
        <w:t>20 and 2020</w:t>
      </w:r>
      <w:r w:rsidR="00D25D52">
        <w:t>-</w:t>
      </w:r>
      <w:r w:rsidRPr="00E740CE">
        <w:t xml:space="preserve">22, and most indicators in the latest review predate the strategy's interventions (Birmingham City Council, 2024). Without a comparison area, future changes will be hard to attribute to the strategy. </w:t>
      </w:r>
      <w:r w:rsidR="001206C7">
        <w:t>Additionally, d</w:t>
      </w:r>
      <w:r w:rsidRPr="00E740CE">
        <w:t>elivery is also at risk: in September 2023</w:t>
      </w:r>
      <w:r w:rsidR="007F37C2">
        <w:t>,</w:t>
      </w:r>
      <w:r w:rsidRPr="00E740CE">
        <w:t xml:space="preserve"> the council issued a section 114 notice restricting spending to statutory services (ICAEW, 2023), after identifying an equal pay liability of up to £760 million (Public Finance, 2023).</w:t>
      </w:r>
    </w:p>
    <w:p w14:paraId="77C55A0F" w14:textId="77777777" w:rsidR="00601D7F" w:rsidRDefault="00601D7F" w:rsidP="001D1860">
      <w:pPr>
        <w:spacing w:after="160" w:line="360" w:lineRule="auto"/>
        <w:jc w:val="both"/>
      </w:pPr>
    </w:p>
    <w:p w14:paraId="4102F9F0" w14:textId="6916CB1F" w:rsidR="009B28BF" w:rsidRDefault="00B91B53" w:rsidP="00A6450D">
      <w:pPr>
        <w:pStyle w:val="Heading2"/>
        <w:rPr>
          <w:sz w:val="22"/>
          <w:szCs w:val="22"/>
          <w:u w:val="single"/>
        </w:rPr>
      </w:pPr>
      <w:bookmarkStart w:id="8" w:name="_Toc243936995"/>
      <w:r w:rsidRPr="00A6450D">
        <w:rPr>
          <w:sz w:val="22"/>
          <w:szCs w:val="22"/>
          <w:u w:val="single"/>
        </w:rPr>
        <w:t>Recommendations</w:t>
      </w:r>
      <w:bookmarkEnd w:id="8"/>
    </w:p>
    <w:p w14:paraId="0DB99343" w14:textId="77777777" w:rsidR="005A16BA" w:rsidRPr="005A16BA" w:rsidRDefault="005A16BA" w:rsidP="005A16BA"/>
    <w:p w14:paraId="2A3B3D43" w14:textId="77777777" w:rsidR="009B28BF" w:rsidRPr="00E740CE" w:rsidRDefault="00B91B53" w:rsidP="00E740CE">
      <w:pPr>
        <w:pStyle w:val="ListParagraph"/>
        <w:numPr>
          <w:ilvl w:val="0"/>
          <w:numId w:val="2"/>
        </w:numPr>
        <w:spacing w:after="120" w:line="360" w:lineRule="auto"/>
        <w:jc w:val="both"/>
      </w:pPr>
      <w:r w:rsidRPr="00E740CE">
        <w:t>Birmingham and Solihull Integrated Care Board should commission evening, weekend and community-venue NHS DPP sessions with culturally tailored content in wards such as Heartlands, and report completion by deprivation and ethnicity. Chatzi et al. (2023) show the drop-off occurs after referral, so support should target completion. Costs may be modest because existing contracts would be adapted, but this is a hypothesis requiring local cost evaluation and a pilot against comparable wards before wider rollout.</w:t>
      </w:r>
    </w:p>
    <w:p w14:paraId="3DA9FB59" w14:textId="77777777" w:rsidR="009B28BF" w:rsidRPr="00E740CE" w:rsidRDefault="00B91B53" w:rsidP="00E740CE">
      <w:pPr>
        <w:pStyle w:val="ListParagraph"/>
        <w:numPr>
          <w:ilvl w:val="0"/>
          <w:numId w:val="2"/>
        </w:numPr>
        <w:spacing w:after="120" w:line="360" w:lineRule="auto"/>
        <w:jc w:val="both"/>
      </w:pPr>
      <w:r w:rsidRPr="00E740CE">
        <w:t xml:space="preserve">The government should restore the public health grant in stages, prioritising areas of greatest need, since fully reversing the real-terms cuts would cost an estimated £1 billion a year (Finch, Gazzillo and </w:t>
      </w:r>
      <w:proofErr w:type="spellStart"/>
      <w:r w:rsidRPr="00E740CE">
        <w:t>Vriend</w:t>
      </w:r>
      <w:proofErr w:type="spellEnd"/>
      <w:r w:rsidRPr="00E740CE">
        <w:t>, 2025).</w:t>
      </w:r>
    </w:p>
    <w:p w14:paraId="7468C53A" w14:textId="77777777" w:rsidR="001D1860" w:rsidRDefault="00B91B53" w:rsidP="001D1860">
      <w:pPr>
        <w:pStyle w:val="ListParagraph"/>
        <w:numPr>
          <w:ilvl w:val="0"/>
          <w:numId w:val="2"/>
        </w:numPr>
        <w:spacing w:after="120" w:line="360" w:lineRule="auto"/>
        <w:jc w:val="both"/>
      </w:pPr>
      <w:r w:rsidRPr="00E740CE">
        <w:lastRenderedPageBreak/>
        <w:t>Neighbourhood Health Centres should offer digital inclusion support, such as device lending and skills sessions, as 15% of UK adults (around 7.9 million) lack foundation-level digital skills (Lloyds Bank, 2024). Digital tools can improve access in rural and underserved areas (Maita et al., 2024), but face-to-face options must remain for those who cannot use them.</w:t>
      </w:r>
    </w:p>
    <w:p w14:paraId="5CD19D6C" w14:textId="77777777" w:rsidR="00770F73" w:rsidRDefault="00770F73" w:rsidP="00770F73">
      <w:pPr>
        <w:spacing w:after="120" w:line="360" w:lineRule="auto"/>
        <w:ind w:left="360"/>
        <w:jc w:val="both"/>
      </w:pPr>
    </w:p>
    <w:p w14:paraId="05EE579C" w14:textId="31E8A3A6" w:rsidR="00D22784" w:rsidRPr="00A6450D" w:rsidRDefault="00B91B53" w:rsidP="00A6450D">
      <w:pPr>
        <w:pStyle w:val="Heading1"/>
        <w:rPr>
          <w:sz w:val="22"/>
          <w:szCs w:val="22"/>
          <w:u w:val="single"/>
        </w:rPr>
      </w:pPr>
      <w:bookmarkStart w:id="9" w:name="_Toc243936996"/>
      <w:r w:rsidRPr="00A6450D">
        <w:rPr>
          <w:sz w:val="22"/>
          <w:szCs w:val="22"/>
          <w:u w:val="single"/>
        </w:rPr>
        <w:t>Section 2: SDG 13 Climate Action</w:t>
      </w:r>
      <w:bookmarkEnd w:id="9"/>
    </w:p>
    <w:p w14:paraId="55615103" w14:textId="77777777" w:rsidR="005A16BA" w:rsidRDefault="005A16BA" w:rsidP="005A16BA">
      <w:pPr>
        <w:pStyle w:val="Heading2"/>
        <w:rPr>
          <w:sz w:val="22"/>
          <w:szCs w:val="22"/>
          <w:u w:val="single"/>
        </w:rPr>
      </w:pPr>
    </w:p>
    <w:p w14:paraId="4A10FC91" w14:textId="52E925F0" w:rsidR="005A16BA" w:rsidRPr="005A16BA" w:rsidRDefault="00B91B53" w:rsidP="005A16BA">
      <w:pPr>
        <w:pStyle w:val="Heading2"/>
        <w:rPr>
          <w:sz w:val="22"/>
          <w:szCs w:val="22"/>
          <w:u w:val="single"/>
        </w:rPr>
      </w:pPr>
      <w:bookmarkStart w:id="10" w:name="_Toc243936997"/>
      <w:r w:rsidRPr="00A6450D">
        <w:rPr>
          <w:sz w:val="22"/>
          <w:szCs w:val="22"/>
          <w:u w:val="single"/>
        </w:rPr>
        <w:t>Overview</w:t>
      </w:r>
      <w:bookmarkEnd w:id="10"/>
    </w:p>
    <w:p w14:paraId="3A2C4981" w14:textId="77777777" w:rsidR="005A16BA" w:rsidRDefault="005A16BA" w:rsidP="001D1860">
      <w:pPr>
        <w:spacing w:after="160" w:line="360" w:lineRule="auto"/>
        <w:jc w:val="both"/>
      </w:pPr>
    </w:p>
    <w:p w14:paraId="6ADE3054" w14:textId="116DBE5A" w:rsidR="001D1860" w:rsidRDefault="00B91B53" w:rsidP="001D1860">
      <w:pPr>
        <w:spacing w:after="160" w:line="360" w:lineRule="auto"/>
        <w:jc w:val="both"/>
      </w:pPr>
      <w:r w:rsidRPr="00E740CE">
        <w:t xml:space="preserve">SDG 13 calls for urgent action on climate change, building on the Paris Agreement's aim of limiting warming to well below 2°C (UNFCCC, 2015). Climate change is a health issue: the WHO (2023) projects around 250,000 additional deaths a year between 2030 and 2050 from undernutrition, malaria, diarrhoea and heat stress alone. </w:t>
      </w:r>
      <w:r w:rsidR="00A40930">
        <w:t>Therefore, c</w:t>
      </w:r>
      <w:r w:rsidRPr="00E740CE">
        <w:t>limate action should be judged by verified greenhouse gas (GHG) reductions; cleaner air is a valuable co-benefit but a separate outcome.</w:t>
      </w:r>
    </w:p>
    <w:p w14:paraId="1C740C6E" w14:textId="77777777" w:rsidR="00D22784" w:rsidRDefault="00D22784" w:rsidP="001D1860">
      <w:pPr>
        <w:spacing w:after="160" w:line="360" w:lineRule="auto"/>
        <w:jc w:val="both"/>
        <w:rPr>
          <w:u w:val="single"/>
        </w:rPr>
      </w:pPr>
    </w:p>
    <w:p w14:paraId="29A9D3DD" w14:textId="0FAA89C5" w:rsidR="009B28BF" w:rsidRPr="00A6450D" w:rsidRDefault="00B91B53" w:rsidP="00A6450D">
      <w:pPr>
        <w:pStyle w:val="Heading2"/>
        <w:rPr>
          <w:sz w:val="22"/>
          <w:szCs w:val="22"/>
          <w:u w:val="single"/>
        </w:rPr>
      </w:pPr>
      <w:bookmarkStart w:id="11" w:name="_Toc243936998"/>
      <w:r w:rsidRPr="00A6450D">
        <w:rPr>
          <w:sz w:val="22"/>
          <w:szCs w:val="22"/>
          <w:u w:val="single"/>
        </w:rPr>
        <w:t>Global policies and initiatives</w:t>
      </w:r>
      <w:bookmarkEnd w:id="11"/>
    </w:p>
    <w:p w14:paraId="10544937" w14:textId="77777777" w:rsidR="005A16BA" w:rsidRDefault="005A16BA" w:rsidP="001D1860">
      <w:pPr>
        <w:spacing w:after="160" w:line="360" w:lineRule="auto"/>
        <w:jc w:val="both"/>
      </w:pPr>
    </w:p>
    <w:p w14:paraId="51BB4B16" w14:textId="500CA64A" w:rsidR="001D1860" w:rsidRDefault="00B91B53" w:rsidP="001D1860">
      <w:pPr>
        <w:spacing w:after="160" w:line="360" w:lineRule="auto"/>
        <w:jc w:val="both"/>
      </w:pPr>
      <w:r w:rsidRPr="00E740CE">
        <w:t>The 2025 Lancet Countdown found that 12 of 20 indicators of climate-related health threats had reached record levels, with heat-related deaths averaging 546,000 a year (Romanello et al., 2025). It also showed the co-benefits of decarbonisation: reduced coal use prevented an estimated 160,000 premature deaths a year between 2010 and 2022. However, the Paris Agreement relies on voluntary pledges without enforcement, and even full implementation of current pledges would mean 2.3</w:t>
      </w:r>
      <w:r w:rsidR="0058270D">
        <w:t>-</w:t>
      </w:r>
      <w:r w:rsidRPr="00E740CE">
        <w:t>2.5°C of warming, rising to 2.8°C under current policies (UNEP, 2025). The most exposed countries are also being left behind in the clean energy transition (Romanello et al., 2025), mirroring the inequalities seen under SDG 3.</w:t>
      </w:r>
    </w:p>
    <w:p w14:paraId="45798D85" w14:textId="77777777" w:rsidR="00D22784" w:rsidRPr="00DC6EEE" w:rsidRDefault="00D22784" w:rsidP="001D1860">
      <w:pPr>
        <w:spacing w:after="160" w:line="360" w:lineRule="auto"/>
        <w:jc w:val="both"/>
        <w:rPr>
          <w:b/>
          <w:bCs/>
          <w:u w:val="single"/>
        </w:rPr>
      </w:pPr>
    </w:p>
    <w:p w14:paraId="4DD2ACEA" w14:textId="2B0DA4D7" w:rsidR="009B28BF" w:rsidRPr="00A6450D" w:rsidRDefault="00B91B53" w:rsidP="00A6450D">
      <w:pPr>
        <w:pStyle w:val="Heading2"/>
        <w:rPr>
          <w:sz w:val="22"/>
          <w:szCs w:val="22"/>
          <w:u w:val="single"/>
        </w:rPr>
      </w:pPr>
      <w:bookmarkStart w:id="12" w:name="_Toc243936999"/>
      <w:r w:rsidRPr="00A6450D">
        <w:rPr>
          <w:sz w:val="22"/>
          <w:szCs w:val="22"/>
          <w:u w:val="single"/>
        </w:rPr>
        <w:t>National: England</w:t>
      </w:r>
      <w:bookmarkEnd w:id="12"/>
    </w:p>
    <w:p w14:paraId="11D149D3" w14:textId="77777777" w:rsidR="005A16BA" w:rsidRDefault="005A16BA" w:rsidP="00E740CE">
      <w:pPr>
        <w:spacing w:after="160" w:line="360" w:lineRule="auto"/>
        <w:jc w:val="both"/>
      </w:pPr>
    </w:p>
    <w:p w14:paraId="264068CC" w14:textId="0C897EC7" w:rsidR="009B28BF" w:rsidRPr="00E740CE" w:rsidRDefault="00B91B53" w:rsidP="00E740CE">
      <w:pPr>
        <w:spacing w:after="160" w:line="360" w:lineRule="auto"/>
        <w:jc w:val="both"/>
      </w:pPr>
      <w:r w:rsidRPr="00E740CE">
        <w:t>The NHS was the first health system to commit to net zero by 2040 for the emissions it controls and 2045 for those it can influence (NHS England, 2022), a duty made statutory by the Health and Care Act 2022. The health and care system produces an estimated 4</w:t>
      </w:r>
      <w:r w:rsidR="006F32C0">
        <w:t>-</w:t>
      </w:r>
      <w:r w:rsidRPr="00E740CE">
        <w:t>5% of England's carbon footprint (NHS England, 2022). Legal duties strengthen accountability, but the 2045 target relies on emissions the NHS can influence rather than control.</w:t>
      </w:r>
    </w:p>
    <w:p w14:paraId="10012125" w14:textId="152D10DA" w:rsidR="009B28BF" w:rsidRPr="00E740CE" w:rsidRDefault="00EA5B7D" w:rsidP="00E740CE">
      <w:pPr>
        <w:spacing w:after="160" w:line="360" w:lineRule="auto"/>
        <w:jc w:val="both"/>
      </w:pPr>
      <w:r>
        <w:lastRenderedPageBreak/>
        <w:t>Furthermore, u</w:t>
      </w:r>
      <w:r w:rsidR="00B91B53" w:rsidRPr="00E740CE">
        <w:t>nlike air-quality measures, these are estimated GHG reductions reported by NHS England. Direct NHS emissions fell to 4.7 MtCO2e</w:t>
      </w:r>
      <w:r w:rsidR="008C55EA">
        <w:t xml:space="preserve"> </w:t>
      </w:r>
      <w:r w:rsidR="00AA1572">
        <w:t>(</w:t>
      </w:r>
      <w:r w:rsidR="008C55EA" w:rsidRPr="008C55EA">
        <w:t>million tonnes of carbon dioxide equivalen</w:t>
      </w:r>
      <w:r w:rsidR="008C55EA">
        <w:t>t)</w:t>
      </w:r>
      <w:r w:rsidR="00B91B53" w:rsidRPr="00E740CE">
        <w:t xml:space="preserve"> in 2024/25, 68% below 1990 levels, and decommissioning desflurane</w:t>
      </w:r>
      <w:r w:rsidR="002C17DC">
        <w:t>,</w:t>
      </w:r>
      <w:r w:rsidR="00AC7276">
        <w:t xml:space="preserve"> </w:t>
      </w:r>
      <w:r w:rsidR="00AC7276" w:rsidRPr="00AC7276">
        <w:t>an anaesthetic gas used in surgery that is also a potent greenhouse gas,</w:t>
      </w:r>
      <w:r w:rsidR="00B91B53" w:rsidRPr="00E740CE">
        <w:t xml:space="preserve"> cut its emissions by 98% (NHS England, 2025). The COM-B model (Michie, van Stralen and West, 2011) offers a plausible interpretation, though not a tested causal explanation: </w:t>
      </w:r>
      <w:r w:rsidR="003D1233" w:rsidRPr="00E740CE">
        <w:t>education-built</w:t>
      </w:r>
      <w:r w:rsidR="00B91B53" w:rsidRPr="00E740CE">
        <w:t xml:space="preserve"> capability, removing vaporisers changed opportunity, and clinical </w:t>
      </w:r>
      <w:proofErr w:type="gramStart"/>
      <w:r w:rsidR="00B91B53" w:rsidRPr="00E740CE">
        <w:t>leadership built</w:t>
      </w:r>
      <w:proofErr w:type="gramEnd"/>
      <w:r w:rsidR="00B91B53" w:rsidRPr="00E740CE">
        <w:t xml:space="preserve"> motivation.</w:t>
      </w:r>
      <w:r w:rsidR="00AB2846">
        <w:t xml:space="preserve"> </w:t>
      </w:r>
      <w:proofErr w:type="gramStart"/>
      <w:r w:rsidR="0068167E">
        <w:t>Similarly</w:t>
      </w:r>
      <w:r w:rsidR="00AB2846">
        <w:t>,  a</w:t>
      </w:r>
      <w:proofErr w:type="gramEnd"/>
      <w:r w:rsidR="00AB2846">
        <w:t xml:space="preserve"> </w:t>
      </w:r>
      <w:r w:rsidR="00B91B53" w:rsidRPr="00E740CE">
        <w:t>German hospital using the same approach reduced volatile anaesthetic emissions per procedure by 86% (Lehmann et al., 2025), although emissions had already fallen by 52.1% the year before, and as a single-site study without a control group</w:t>
      </w:r>
      <w:r w:rsidR="00F425DD">
        <w:t>,</w:t>
      </w:r>
      <w:r w:rsidR="00B91B53" w:rsidRPr="00E740CE">
        <w:t xml:space="preserve"> it cannot isolate the intervention's effect.</w:t>
      </w:r>
    </w:p>
    <w:p w14:paraId="175542F9" w14:textId="77777777" w:rsidR="001D1860" w:rsidRDefault="00B91B53" w:rsidP="001D1860">
      <w:pPr>
        <w:spacing w:after="160" w:line="360" w:lineRule="auto"/>
        <w:jc w:val="both"/>
      </w:pPr>
      <w:r w:rsidRPr="00E740CE">
        <w:t>Despite this progress, the interim target remains challenging: direct emissions must fall a further 38% from 2024/25 levels to 2.9 MtCO2e by 2032 (NHS England, 2025), about 5.8% a year, nearly double the roughly 3% annual reduction since 2019/20 (author's approximate calculation). The supply chain alone is estimated at 12.4 MtCO2e, more than twice the direct footprint, and lies beyond clinical behaviour change (NHS England, 2025). These footprint figures are also partly modelled rather than directly measured (Tennison et al., 2021).</w:t>
      </w:r>
    </w:p>
    <w:p w14:paraId="40D6E4FA" w14:textId="77777777" w:rsidR="00D22784" w:rsidRDefault="00D22784" w:rsidP="001D1860">
      <w:pPr>
        <w:spacing w:after="160" w:line="360" w:lineRule="auto"/>
        <w:jc w:val="both"/>
        <w:rPr>
          <w:u w:val="single"/>
        </w:rPr>
      </w:pPr>
    </w:p>
    <w:p w14:paraId="2C63EB1D" w14:textId="267A673A" w:rsidR="009B28BF" w:rsidRPr="00A6450D" w:rsidRDefault="00B91B53" w:rsidP="00A6450D">
      <w:pPr>
        <w:pStyle w:val="Heading2"/>
        <w:rPr>
          <w:sz w:val="22"/>
          <w:szCs w:val="22"/>
          <w:u w:val="single"/>
        </w:rPr>
      </w:pPr>
      <w:bookmarkStart w:id="13" w:name="_Toc243937000"/>
      <w:r w:rsidRPr="00A6450D">
        <w:rPr>
          <w:sz w:val="22"/>
          <w:szCs w:val="22"/>
          <w:u w:val="single"/>
        </w:rPr>
        <w:t>Local: Birmingham</w:t>
      </w:r>
      <w:bookmarkEnd w:id="13"/>
    </w:p>
    <w:p w14:paraId="05EDBA65" w14:textId="77777777" w:rsidR="005A16BA" w:rsidRDefault="005A16BA" w:rsidP="00E6784F">
      <w:pPr>
        <w:spacing w:after="160" w:line="360" w:lineRule="auto"/>
        <w:jc w:val="both"/>
      </w:pPr>
    </w:p>
    <w:p w14:paraId="103F7475" w14:textId="2509D99A" w:rsidR="009B28BF" w:rsidRPr="00E740CE" w:rsidRDefault="00B91B53" w:rsidP="00E6784F">
      <w:pPr>
        <w:spacing w:after="160" w:line="360" w:lineRule="auto"/>
        <w:jc w:val="both"/>
      </w:pPr>
      <w:r w:rsidRPr="00E740CE">
        <w:t xml:space="preserve">Birmingham's Clean Air Zone (CAZ), launched in June 2021, is primarily an air-quality intervention: its charges are based on vehicle Euro emission standards rather than carbon emissions (DEFRA, 2022). </w:t>
      </w:r>
      <w:r w:rsidR="009A7254" w:rsidRPr="009A7254">
        <w:t>Liu et al. (2023) found it reduced nitrogen dioxide by up to 7.3% in its first seven months but had no detectable effect on fine particles (PM2.5), and they did not assess GHG emissions. Their evaluation also has methodological limits: few local monitoring sites, only one year of post-implementation data, and a study period affected by post-lockdown changes in traffic.</w:t>
      </w:r>
    </w:p>
    <w:p w14:paraId="32C209F1" w14:textId="1C762B08" w:rsidR="001D1860" w:rsidRDefault="00B91B53" w:rsidP="001D1860">
      <w:pPr>
        <w:spacing w:after="160" w:line="360" w:lineRule="auto"/>
        <w:jc w:val="both"/>
      </w:pPr>
      <w:r w:rsidRPr="00E740CE">
        <w:t xml:space="preserve">Birmingham's climate policy </w:t>
      </w:r>
      <w:r w:rsidR="00F425DD">
        <w:t>is its Route to Zero ambition to reach</w:t>
      </w:r>
      <w:r w:rsidRPr="00E740CE">
        <w:t xml:space="preserve"> net zero by 2030. The council's annual report recorded carbon reductions of between 1.3% and 6.5% a year from 2017 to 2020; even at 6.5% a year, around half of 2020 emissions would remain in 2030, while the council directly controls only 8% of city emissions, with housing (36%) and transport (34%) the largest sources (Birmingham City Council, 2023). The CAZ may support transport decarbonisation by speeding up fleet renewal, but this is unverified. The HBM also helps explain resistance to such schemes: in Bradford, support for a CAZ was weaker in deprived communities, where concerns about financial impact were prominent (Mebrahtu et al., 2023).</w:t>
      </w:r>
    </w:p>
    <w:p w14:paraId="6DAAD201" w14:textId="77777777" w:rsidR="00601D7F" w:rsidRDefault="00601D7F" w:rsidP="001D1860">
      <w:pPr>
        <w:spacing w:after="160" w:line="360" w:lineRule="auto"/>
        <w:jc w:val="both"/>
        <w:rPr>
          <w:b/>
          <w:bCs/>
          <w:u w:val="single"/>
        </w:rPr>
      </w:pPr>
    </w:p>
    <w:p w14:paraId="286716F4" w14:textId="4E5F5339" w:rsidR="00AE2FEA" w:rsidRDefault="00B91B53" w:rsidP="00A6450D">
      <w:pPr>
        <w:pStyle w:val="Heading2"/>
        <w:rPr>
          <w:sz w:val="22"/>
          <w:szCs w:val="22"/>
          <w:u w:val="single"/>
        </w:rPr>
      </w:pPr>
      <w:bookmarkStart w:id="14" w:name="_Toc243937001"/>
      <w:r w:rsidRPr="00A6450D">
        <w:rPr>
          <w:sz w:val="22"/>
          <w:szCs w:val="22"/>
          <w:u w:val="single"/>
        </w:rPr>
        <w:t>Recommendations</w:t>
      </w:r>
      <w:bookmarkEnd w:id="14"/>
    </w:p>
    <w:p w14:paraId="08798DF1" w14:textId="77777777" w:rsidR="005A16BA" w:rsidRPr="005A16BA" w:rsidRDefault="005A16BA" w:rsidP="005A16BA"/>
    <w:p w14:paraId="2A0D2449" w14:textId="77777777" w:rsidR="009B28BF" w:rsidRPr="00E740CE" w:rsidRDefault="00B91B53" w:rsidP="00E740CE">
      <w:pPr>
        <w:pStyle w:val="ListParagraph"/>
        <w:numPr>
          <w:ilvl w:val="0"/>
          <w:numId w:val="3"/>
        </w:numPr>
        <w:spacing w:after="120" w:line="360" w:lineRule="auto"/>
        <w:jc w:val="both"/>
      </w:pPr>
      <w:r w:rsidRPr="00E740CE">
        <w:t>NHS England should extend the desflurane approach to inhalers, supporting switches to lower-carbon inhalers where clinically appropriate, with pharmacist-led reviews so that patients with dexterity or cognitive difficulties are not disadvantaged. Emissions from inhalers and anaesthetic gases have already fallen by 33% since 2019/20 (NHS England, 2025).</w:t>
      </w:r>
    </w:p>
    <w:p w14:paraId="5535C183" w14:textId="77777777" w:rsidR="009B28BF" w:rsidRPr="00E740CE" w:rsidRDefault="00B91B53" w:rsidP="00E740CE">
      <w:pPr>
        <w:pStyle w:val="ListParagraph"/>
        <w:numPr>
          <w:ilvl w:val="0"/>
          <w:numId w:val="3"/>
        </w:numPr>
        <w:spacing w:after="120" w:line="360" w:lineRule="auto"/>
        <w:jc w:val="both"/>
      </w:pPr>
      <w:r w:rsidRPr="00E740CE">
        <w:t>Rather than excluding suppliers outright, the NHS should strengthen support within its existing Net Zero Supplier Roadmap, under which suppliers will need to demonstrate progress to qualify for contracts from 2030 (NHS England, n.d.). Strict exclusion risks higher prices, reduced competition and shortages where products have few suppliers, such as some medicines, and could disadvantage small firms. Funded carbon-reporting support for small suppliers and exemptions for critical, single-source products would reduce these risks.</w:t>
      </w:r>
    </w:p>
    <w:p w14:paraId="41B5457A" w14:textId="77777777" w:rsidR="003C2338" w:rsidRDefault="00B91B53" w:rsidP="003C2338">
      <w:pPr>
        <w:pStyle w:val="ListParagraph"/>
        <w:numPr>
          <w:ilvl w:val="0"/>
          <w:numId w:val="3"/>
        </w:numPr>
        <w:spacing w:after="120" w:line="360" w:lineRule="auto"/>
        <w:jc w:val="both"/>
      </w:pPr>
      <w:r w:rsidRPr="00E740CE">
        <w:t>Birmingham City Council should evaluate the CAZ's effect on transport carbon emissions alongside air quality, and direct CAZ revenue towards vehicle scrappage and public transport support for low-income residents. As rising compliance may reduce charge revenue (the city's health strategy review reports that non-compliant vehicles had fallen to 6.0% by June 2023; Birmingham City Council, 2024), the proposal's financial sustainability should be assessed against projected enforcement income and implementation costs.</w:t>
      </w:r>
    </w:p>
    <w:p w14:paraId="240BA8DC" w14:textId="77777777" w:rsidR="00D22784" w:rsidRDefault="00D22784" w:rsidP="00770F73"/>
    <w:p w14:paraId="46CF024E" w14:textId="77777777" w:rsidR="00601D7F" w:rsidRDefault="00601D7F" w:rsidP="00770F73">
      <w:pPr>
        <w:rPr>
          <w:b/>
          <w:bCs/>
          <w:u w:val="single"/>
        </w:rPr>
      </w:pPr>
    </w:p>
    <w:p w14:paraId="5D08CF34" w14:textId="4D4763DD" w:rsidR="009B28BF" w:rsidRPr="00A6450D" w:rsidRDefault="00B91B53" w:rsidP="00A6450D">
      <w:pPr>
        <w:pStyle w:val="Heading1"/>
        <w:rPr>
          <w:sz w:val="22"/>
          <w:szCs w:val="22"/>
          <w:u w:val="single"/>
        </w:rPr>
      </w:pPr>
      <w:bookmarkStart w:id="15" w:name="_Toc243937002"/>
      <w:r w:rsidRPr="00A6450D">
        <w:rPr>
          <w:sz w:val="22"/>
          <w:szCs w:val="22"/>
          <w:u w:val="single"/>
        </w:rPr>
        <w:t>Conclusion</w:t>
      </w:r>
      <w:bookmarkEnd w:id="15"/>
    </w:p>
    <w:p w14:paraId="51949628" w14:textId="77777777" w:rsidR="00404C21" w:rsidRPr="00DC6EEE" w:rsidRDefault="00404C21" w:rsidP="00770F73">
      <w:pPr>
        <w:rPr>
          <w:b/>
          <w:bCs/>
          <w:u w:val="single"/>
        </w:rPr>
      </w:pPr>
    </w:p>
    <w:p w14:paraId="3601D555" w14:textId="0E984F31" w:rsidR="009B28BF" w:rsidRPr="00E740CE" w:rsidRDefault="00B91B53" w:rsidP="00E740CE">
      <w:pPr>
        <w:spacing w:after="160" w:line="360" w:lineRule="auto"/>
        <w:jc w:val="both"/>
      </w:pPr>
      <w:r w:rsidRPr="00E740CE">
        <w:t>This report has shown that the most effective initiatives, such as the NHS DPP and desflurane decommissioning, combined robust evidence with action on the conditions that shape behaviour. Where initiatives fell short, the cause was often the same: they were designed for an 'average' citizen and struggled to reach those with the greatest need. Low NHS DPP completion among deprived groups, a 12-year life expectancy gap within Birmingham, the risk of digital exclusion and the unequal burden of air pollution all show how well-intended policy can unintentionally widen health inequalities.</w:t>
      </w:r>
    </w:p>
    <w:p w14:paraId="7F61F6BE" w14:textId="02582125" w:rsidR="009B28BF" w:rsidRPr="00E740CE" w:rsidRDefault="00C276FE" w:rsidP="00E740CE">
      <w:pPr>
        <w:spacing w:after="160" w:line="360" w:lineRule="auto"/>
        <w:jc w:val="both"/>
      </w:pPr>
      <w:r>
        <w:t>T</w:t>
      </w:r>
      <w:r w:rsidR="00B91B53" w:rsidRPr="00E740CE">
        <w:t xml:space="preserve">he two goals are mutually reinforcing. Climate action produces immediate health co-benefits through cleaner air, while a preventative health system could reduce demand for carbon-intensive hospital care, meaning the shift from hospital to community may serve both SDG 3 and SDG 13. However, the same tensions appear across both: ambitious national targets </w:t>
      </w:r>
      <w:r w:rsidR="00B91B53" w:rsidRPr="00E740CE">
        <w:lastRenderedPageBreak/>
        <w:t>depend on sustained funding and local delivery, and evidence of long-term impact remains limited.</w:t>
      </w:r>
    </w:p>
    <w:p w14:paraId="6C43C132" w14:textId="77777777" w:rsidR="009B28BF" w:rsidRPr="00E740CE" w:rsidRDefault="00B91B53" w:rsidP="00E740CE">
      <w:pPr>
        <w:spacing w:after="160" w:line="360" w:lineRule="auto"/>
        <w:jc w:val="both"/>
      </w:pPr>
      <w:r w:rsidRPr="00E740CE">
        <w:t>The wider implication is that health and climate policy can no longer be designed separately. As Dahlgren and Whitehead's (2021) model suggests, both goals ultimately depend on the wider determinants of health, including income, housing, transport and the environment. Future policy should therefore judge success not by national averages alone but by whether gains reach the most disadvantaged communities. Without this equity focus, England risks meeting targets on paper while leaving behind the people most exposed to both ill health and climate harm.</w:t>
      </w:r>
    </w:p>
    <w:p w14:paraId="7E699F80" w14:textId="6D494783" w:rsidR="009B28BF" w:rsidRPr="00DC6AB8" w:rsidRDefault="00B91B53" w:rsidP="00DC6AB8">
      <w:pPr>
        <w:pStyle w:val="Heading1"/>
        <w:rPr>
          <w:sz w:val="22"/>
          <w:szCs w:val="22"/>
          <w:u w:val="single"/>
        </w:rPr>
      </w:pPr>
      <w:r w:rsidRPr="00E740CE">
        <w:br w:type="page"/>
      </w:r>
      <w:bookmarkStart w:id="16" w:name="_Toc243937003"/>
      <w:r w:rsidRPr="00DC6AB8">
        <w:rPr>
          <w:sz w:val="22"/>
          <w:szCs w:val="22"/>
          <w:u w:val="single"/>
        </w:rPr>
        <w:lastRenderedPageBreak/>
        <w:t>Reference List</w:t>
      </w:r>
      <w:bookmarkEnd w:id="16"/>
    </w:p>
    <w:p w14:paraId="2AFA064C" w14:textId="77777777" w:rsidR="003C2338" w:rsidRPr="00E740CE" w:rsidRDefault="003C2338" w:rsidP="003C2338">
      <w:pPr>
        <w:spacing w:line="360" w:lineRule="auto"/>
      </w:pPr>
    </w:p>
    <w:p w14:paraId="63455FB1" w14:textId="2E13A71C" w:rsidR="00E740CE" w:rsidRDefault="00E740CE" w:rsidP="00E740CE">
      <w:pPr>
        <w:spacing w:after="160" w:line="360" w:lineRule="auto"/>
        <w:jc w:val="both"/>
      </w:pPr>
      <w:r w:rsidRPr="00E740CE">
        <w:t xml:space="preserve">Bandura, A. (2004) ‘Health promotion by social cognitive means’, Health Education &amp; </w:t>
      </w:r>
      <w:proofErr w:type="spellStart"/>
      <w:r w:rsidRPr="00E740CE">
        <w:t>Behavior</w:t>
      </w:r>
      <w:proofErr w:type="spellEnd"/>
      <w:r w:rsidRPr="00E740CE">
        <w:t xml:space="preserve">, 31(2), pp. 143–164. Available at: </w:t>
      </w:r>
      <w:hyperlink r:id="rId8" w:history="1">
        <w:r w:rsidRPr="00E740CE">
          <w:rPr>
            <w:rStyle w:val="Hyperlink"/>
          </w:rPr>
          <w:t>https://doi.org/10.1177/1090198104263660</w:t>
        </w:r>
      </w:hyperlink>
      <w:r w:rsidR="00D41BFE">
        <w:t>.</w:t>
      </w:r>
    </w:p>
    <w:p w14:paraId="5BCA3BC6" w14:textId="77777777" w:rsidR="00E740CE" w:rsidRDefault="00E740CE" w:rsidP="00E740CE">
      <w:pPr>
        <w:spacing w:after="160" w:line="360" w:lineRule="auto"/>
        <w:jc w:val="both"/>
      </w:pPr>
    </w:p>
    <w:p w14:paraId="0C0A4534" w14:textId="77777777" w:rsidR="00E740CE" w:rsidRDefault="00E740CE" w:rsidP="00E740CE">
      <w:pPr>
        <w:spacing w:after="160" w:line="360" w:lineRule="auto"/>
        <w:jc w:val="both"/>
      </w:pPr>
      <w:r w:rsidRPr="00E740CE">
        <w:t xml:space="preserve">Birmingham City Council (2022) </w:t>
      </w:r>
      <w:r w:rsidRPr="00E740CE">
        <w:rPr>
          <w:i/>
          <w:iCs/>
        </w:rPr>
        <w:t xml:space="preserve">Creating a </w:t>
      </w:r>
      <w:proofErr w:type="gramStart"/>
      <w:r w:rsidRPr="00E740CE">
        <w:rPr>
          <w:i/>
          <w:iCs/>
        </w:rPr>
        <w:t>bolder</w:t>
      </w:r>
      <w:proofErr w:type="gramEnd"/>
      <w:r w:rsidRPr="00E740CE">
        <w:rPr>
          <w:i/>
          <w:iCs/>
        </w:rPr>
        <w:t>, healthier city 2022–2030: Birmingham's joint health and wellbeing strategy</w:t>
      </w:r>
      <w:r w:rsidRPr="00E740CE">
        <w:t xml:space="preserve">. Birmingham: Birmingham City Council. Available at: </w:t>
      </w:r>
      <w:hyperlink r:id="rId9" w:history="1">
        <w:r w:rsidRPr="00E740CE">
          <w:rPr>
            <w:rStyle w:val="Hyperlink"/>
          </w:rPr>
          <w:t>https://www.birmingham.gov.uk/download/downloads/id/23756/creating_a_bolder_healthier_city_2022_to_2030.pdf</w:t>
        </w:r>
      </w:hyperlink>
      <w:r w:rsidRPr="00E740CE">
        <w:t xml:space="preserve"> (Accessed: 20 October 2026).</w:t>
      </w:r>
    </w:p>
    <w:p w14:paraId="002FAC6C" w14:textId="77777777" w:rsidR="00E740CE" w:rsidRPr="00E740CE" w:rsidRDefault="00E740CE" w:rsidP="00D41BFE">
      <w:pPr>
        <w:spacing w:after="160" w:line="360" w:lineRule="auto"/>
      </w:pPr>
    </w:p>
    <w:p w14:paraId="198004EE" w14:textId="63F56377" w:rsidR="00E740CE" w:rsidRDefault="0022139C" w:rsidP="00D41BFE">
      <w:pPr>
        <w:spacing w:after="160" w:line="360" w:lineRule="auto"/>
      </w:pPr>
      <w:r w:rsidRPr="0022139C">
        <w:t xml:space="preserve">Birmingham City Council (2023) </w:t>
      </w:r>
      <w:r w:rsidRPr="0022139C">
        <w:rPr>
          <w:i/>
          <w:iCs/>
        </w:rPr>
        <w:t>Progress on route to net zero detailed in new annual report</w:t>
      </w:r>
      <w:r w:rsidRPr="0022139C">
        <w:t xml:space="preserve">. Available at: </w:t>
      </w:r>
      <w:hyperlink r:id="rId10" w:history="1">
        <w:r w:rsidRPr="0022139C">
          <w:rPr>
            <w:rStyle w:val="Hyperlink"/>
          </w:rPr>
          <w:t>https://www.birmingham.gov.uk/news/article/1269/progress_on_route_to_net_zero_detailed_in_new_annual_report</w:t>
        </w:r>
      </w:hyperlink>
      <w:r w:rsidRPr="0022139C">
        <w:t xml:space="preserve"> (Accessed: 20 October 2026)</w:t>
      </w:r>
      <w:r w:rsidR="006416E7">
        <w:t>.</w:t>
      </w:r>
    </w:p>
    <w:p w14:paraId="0AF2D889" w14:textId="77777777" w:rsidR="006416E7" w:rsidRDefault="006416E7" w:rsidP="00E740CE">
      <w:pPr>
        <w:spacing w:after="160" w:line="360" w:lineRule="auto"/>
        <w:jc w:val="both"/>
      </w:pPr>
    </w:p>
    <w:p w14:paraId="4C099F75" w14:textId="7BE74967" w:rsidR="001D4F12" w:rsidRDefault="00FD4772" w:rsidP="004E154A">
      <w:pPr>
        <w:spacing w:after="160" w:line="360" w:lineRule="auto"/>
      </w:pPr>
      <w:r w:rsidRPr="00FD4772">
        <w:t xml:space="preserve">Birmingham City Council (2024) Joint health and wellbeing strategy annual review 2023–2024. Birmingham: Birmingham City Council. Available at: </w:t>
      </w:r>
      <w:hyperlink r:id="rId11" w:history="1">
        <w:r w:rsidRPr="00FD4772">
          <w:rPr>
            <w:rStyle w:val="Hyperlink"/>
          </w:rPr>
          <w:t>https://www.birmingham.gov.uk/download/downloads/id/30013/joint_health_and_wellbeing_strategy_annual_review_2023-2024.pdf</w:t>
        </w:r>
      </w:hyperlink>
      <w:r w:rsidR="006116FE">
        <w:t xml:space="preserve"> </w:t>
      </w:r>
      <w:r w:rsidR="006116FE" w:rsidRPr="00E740CE">
        <w:t>(Accessed: 20 October 2026).</w:t>
      </w:r>
    </w:p>
    <w:p w14:paraId="0CAA6408" w14:textId="77777777" w:rsidR="00B82E18" w:rsidRDefault="00B82E18" w:rsidP="00E740CE">
      <w:pPr>
        <w:spacing w:after="160" w:line="360" w:lineRule="auto"/>
        <w:jc w:val="both"/>
      </w:pPr>
    </w:p>
    <w:p w14:paraId="6608197E" w14:textId="093335FA" w:rsidR="001D4F12" w:rsidRDefault="006957F6" w:rsidP="00E740CE">
      <w:pPr>
        <w:spacing w:after="160" w:line="360" w:lineRule="auto"/>
        <w:jc w:val="both"/>
      </w:pPr>
      <w:r w:rsidRPr="006957F6">
        <w:t xml:space="preserve">Champion, V.L. and Skinner, C.S. (2008) ‘The health belief model’, in Glanz, K., Rimer, B.K. and Viswanath, K. (eds.) Health </w:t>
      </w:r>
      <w:proofErr w:type="spellStart"/>
      <w:r w:rsidRPr="006957F6">
        <w:t>behavior</w:t>
      </w:r>
      <w:proofErr w:type="spellEnd"/>
      <w:r w:rsidRPr="006957F6">
        <w:t xml:space="preserve"> and health education: theory, research, and practice. 4th </w:t>
      </w:r>
      <w:proofErr w:type="spellStart"/>
      <w:r w:rsidRPr="006957F6">
        <w:t>edn</w:t>
      </w:r>
      <w:proofErr w:type="spellEnd"/>
      <w:r w:rsidRPr="006957F6">
        <w:t>. San Francisco: Jossey-Bass, pp. 45–65.</w:t>
      </w:r>
    </w:p>
    <w:p w14:paraId="5FED6A26" w14:textId="77777777" w:rsidR="00C21668" w:rsidRDefault="00C21668" w:rsidP="00E740CE">
      <w:pPr>
        <w:spacing w:after="160" w:line="360" w:lineRule="auto"/>
        <w:jc w:val="both"/>
      </w:pPr>
    </w:p>
    <w:p w14:paraId="6D291B92" w14:textId="0AE33572" w:rsidR="001D4F12" w:rsidRDefault="00772563" w:rsidP="00E740CE">
      <w:pPr>
        <w:spacing w:after="160" w:line="360" w:lineRule="auto"/>
        <w:jc w:val="both"/>
      </w:pPr>
      <w:r w:rsidRPr="00772563">
        <w:t xml:space="preserve">Chatzi, G. et al. (2023) ‘Could diabetes prevention programmes result in the widening of sociodemographic inequalities in type 2 diabetes? Comparison of survey and administrative data for England’, Journal of Epidemiology and Community Health, 77(9), pp. 565–570. Available at: </w:t>
      </w:r>
      <w:hyperlink r:id="rId12" w:history="1">
        <w:r w:rsidRPr="00772563">
          <w:rPr>
            <w:rStyle w:val="Hyperlink"/>
          </w:rPr>
          <w:t>https://doi.org/10.1136/jech-2022-219654</w:t>
        </w:r>
      </w:hyperlink>
      <w:r w:rsidR="00D41BFE">
        <w:t>.</w:t>
      </w:r>
    </w:p>
    <w:p w14:paraId="42BC3D1D" w14:textId="77777777" w:rsidR="00772563" w:rsidRDefault="00772563" w:rsidP="00E740CE">
      <w:pPr>
        <w:spacing w:after="160" w:line="360" w:lineRule="auto"/>
        <w:jc w:val="both"/>
      </w:pPr>
    </w:p>
    <w:p w14:paraId="049899C0" w14:textId="676A4CDA" w:rsidR="00C56B49" w:rsidRDefault="00982A3E" w:rsidP="00E740CE">
      <w:pPr>
        <w:spacing w:after="160" w:line="360" w:lineRule="auto"/>
        <w:jc w:val="both"/>
      </w:pPr>
      <w:r w:rsidRPr="00982A3E">
        <w:t xml:space="preserve">Dahlgren, G. and Whitehead, M. (2021) ‘The Dahlgren-Whitehead model of health determinants: 30 years on and still chasing rainbows’, Public Health, 199, pp. 20–24. Available at: </w:t>
      </w:r>
      <w:hyperlink r:id="rId13" w:history="1">
        <w:r w:rsidRPr="00982A3E">
          <w:rPr>
            <w:rStyle w:val="Hyperlink"/>
          </w:rPr>
          <w:t>https://doi.org/10.1016/j.puhe.2021.08.009</w:t>
        </w:r>
      </w:hyperlink>
      <w:r w:rsidR="003C18A5">
        <w:t>.</w:t>
      </w:r>
    </w:p>
    <w:p w14:paraId="0EEFA114" w14:textId="74165D86" w:rsidR="00C56B49" w:rsidRDefault="009E2B4D" w:rsidP="00C21668">
      <w:pPr>
        <w:spacing w:after="160" w:line="360" w:lineRule="auto"/>
      </w:pPr>
      <w:r w:rsidRPr="009E2B4D">
        <w:lastRenderedPageBreak/>
        <w:t xml:space="preserve">Darzi, A. (2024) Independent investigation of the National Health Service in England. London: Department of Health and Social Care. Available at: </w:t>
      </w:r>
      <w:hyperlink r:id="rId14" w:history="1">
        <w:r w:rsidRPr="009E2B4D">
          <w:rPr>
            <w:rStyle w:val="Hyperlink"/>
          </w:rPr>
          <w:t>https://www.gov.uk/government/publications/independent-investigation-of-the-nhs-in-england</w:t>
        </w:r>
      </w:hyperlink>
      <w:r w:rsidRPr="009E2B4D">
        <w:t xml:space="preserve"> (Accessed: 20 October 2026).</w:t>
      </w:r>
    </w:p>
    <w:p w14:paraId="189A2AB2" w14:textId="77777777" w:rsidR="00EE14AC" w:rsidRDefault="00EE14AC" w:rsidP="00E740CE">
      <w:pPr>
        <w:spacing w:after="160" w:line="360" w:lineRule="auto"/>
        <w:jc w:val="both"/>
      </w:pPr>
    </w:p>
    <w:p w14:paraId="093407B7" w14:textId="6886DB5B" w:rsidR="00C56B49" w:rsidRDefault="004B0FF1" w:rsidP="00E740CE">
      <w:pPr>
        <w:spacing w:after="160" w:line="360" w:lineRule="auto"/>
        <w:jc w:val="both"/>
      </w:pPr>
      <w:r w:rsidRPr="004B0FF1">
        <w:t xml:space="preserve">Department for Environment, Food &amp; Rural Affairs (DEFRA) (2022) Clean Air Zone framework for England. Annex A: clean air zone minimum classes and standards. Available at: </w:t>
      </w:r>
      <w:hyperlink r:id="rId15" w:history="1">
        <w:r w:rsidRPr="004B0FF1">
          <w:rPr>
            <w:rStyle w:val="Hyperlink"/>
          </w:rPr>
          <w:t>https://www.gov.uk/government/publications/air-quality-clean-air-zone-framework-for-england/annex-a-clean-air-zone-minimum-classes-and-standards</w:t>
        </w:r>
      </w:hyperlink>
      <w:r w:rsidRPr="004B0FF1">
        <w:t xml:space="preserve"> (Accessed: 20 October 2026).</w:t>
      </w:r>
    </w:p>
    <w:p w14:paraId="4B36B386" w14:textId="77777777" w:rsidR="00EE14AC" w:rsidRDefault="00EE14AC" w:rsidP="00E740CE">
      <w:pPr>
        <w:spacing w:after="160" w:line="360" w:lineRule="auto"/>
        <w:jc w:val="both"/>
      </w:pPr>
    </w:p>
    <w:p w14:paraId="189B777C" w14:textId="6D64B312" w:rsidR="002716CC" w:rsidRDefault="002716CC" w:rsidP="00E740CE">
      <w:pPr>
        <w:spacing w:after="160" w:line="360" w:lineRule="auto"/>
        <w:jc w:val="both"/>
      </w:pPr>
      <w:r w:rsidRPr="002716CC">
        <w:t xml:space="preserve">Department of Health and Social Care (DHSC) (2025) Fit for the future: 10 Year Health Plan for England. London: Department of Health and Social Care. Available at: </w:t>
      </w:r>
      <w:hyperlink r:id="rId16" w:history="1">
        <w:r w:rsidRPr="002716CC">
          <w:rPr>
            <w:rStyle w:val="Hyperlink"/>
          </w:rPr>
          <w:t>https://www.gov.uk/government/publications/10-year-health-plan-for-england-fit-for-the-future</w:t>
        </w:r>
      </w:hyperlink>
      <w:r w:rsidRPr="002716CC">
        <w:t xml:space="preserve"> (Accessed: 20 October 2026).</w:t>
      </w:r>
    </w:p>
    <w:p w14:paraId="54DB5421" w14:textId="77777777" w:rsidR="00EE14AC" w:rsidRDefault="00EE14AC" w:rsidP="00A1445D">
      <w:pPr>
        <w:spacing w:after="160" w:line="360" w:lineRule="auto"/>
      </w:pPr>
    </w:p>
    <w:p w14:paraId="187C51A5" w14:textId="77777777" w:rsidR="00C41897" w:rsidRDefault="00A1445D" w:rsidP="00A1445D">
      <w:pPr>
        <w:spacing w:after="160" w:line="360" w:lineRule="auto"/>
      </w:pPr>
      <w:r w:rsidRPr="00A1445D">
        <w:t xml:space="preserve">Finch, D., Gazzillo, A. and </w:t>
      </w:r>
      <w:proofErr w:type="spellStart"/>
      <w:r w:rsidRPr="00A1445D">
        <w:t>Vriend</w:t>
      </w:r>
      <w:proofErr w:type="spellEnd"/>
      <w:r w:rsidRPr="00A1445D">
        <w:t xml:space="preserve">, M. (2025) Investing in the public health grant. London: The Health Foundation. Available at: </w:t>
      </w:r>
      <w:hyperlink r:id="rId17" w:history="1">
        <w:r w:rsidRPr="00A1445D">
          <w:rPr>
            <w:rStyle w:val="Hyperlink"/>
          </w:rPr>
          <w:t>https://www.health.org.uk/reports-and-analysis/analysis/investing-in-the-public-health-grant</w:t>
        </w:r>
      </w:hyperlink>
      <w:r w:rsidRPr="00A1445D">
        <w:t xml:space="preserve"> (Accessed: 20 October 2026).</w:t>
      </w:r>
    </w:p>
    <w:p w14:paraId="79D2A3EE" w14:textId="77777777" w:rsidR="00C41897" w:rsidRDefault="00C41897" w:rsidP="00A1445D">
      <w:pPr>
        <w:spacing w:after="160" w:line="360" w:lineRule="auto"/>
      </w:pPr>
    </w:p>
    <w:p w14:paraId="41FFD582" w14:textId="7454F1F1" w:rsidR="009B28BF" w:rsidRPr="00E740CE" w:rsidRDefault="00B91B53" w:rsidP="00A1445D">
      <w:pPr>
        <w:spacing w:after="160" w:line="360" w:lineRule="auto"/>
      </w:pPr>
      <w:r w:rsidRPr="00E740CE">
        <w:t>Health and Care Act 2022, c. 31. Available at: https:/​/​www.​legislation.​gov.​uk/​ukpga/​2022/​31/​contents (Accessed: 20 October 2026).</w:t>
      </w:r>
    </w:p>
    <w:p w14:paraId="4D579130" w14:textId="77777777" w:rsidR="00EE14AC" w:rsidRDefault="00EE14AC" w:rsidP="00E740CE">
      <w:pPr>
        <w:spacing w:after="160" w:line="360" w:lineRule="auto"/>
        <w:jc w:val="both"/>
      </w:pPr>
    </w:p>
    <w:p w14:paraId="71F5BE2B" w14:textId="7D374B7A" w:rsidR="004A4FD1" w:rsidRDefault="004A4FD1" w:rsidP="00E740CE">
      <w:pPr>
        <w:spacing w:after="160" w:line="360" w:lineRule="auto"/>
        <w:jc w:val="both"/>
      </w:pPr>
      <w:r w:rsidRPr="004A4FD1">
        <w:t xml:space="preserve">ICAEW (2023) Birmingham issues section 114 notice amid financial </w:t>
      </w:r>
      <w:proofErr w:type="gramStart"/>
      <w:r w:rsidRPr="004A4FD1">
        <w:t>crisis</w:t>
      </w:r>
      <w:proofErr w:type="gramEnd"/>
      <w:r w:rsidRPr="004A4FD1">
        <w:t xml:space="preserve">. Available at: </w:t>
      </w:r>
      <w:hyperlink r:id="rId18" w:history="1">
        <w:r w:rsidRPr="004A4FD1">
          <w:rPr>
            <w:rStyle w:val="Hyperlink"/>
          </w:rPr>
          <w:t>https://www.icaew.com/insights/viewpoints-on-the-news/2023/sep-2023/birmingham-issues-section-114-notice-amid-financial-crisis</w:t>
        </w:r>
      </w:hyperlink>
      <w:r w:rsidRPr="004A4FD1">
        <w:t xml:space="preserve"> (Accessed: 20 October 2026)</w:t>
      </w:r>
    </w:p>
    <w:p w14:paraId="7B113EFA" w14:textId="77777777" w:rsidR="00EE14AC" w:rsidRDefault="00EE14AC" w:rsidP="00E740CE">
      <w:pPr>
        <w:spacing w:after="160" w:line="360" w:lineRule="auto"/>
        <w:jc w:val="both"/>
      </w:pPr>
    </w:p>
    <w:p w14:paraId="6F5C6B16" w14:textId="5E2FB61D" w:rsidR="009D44FB" w:rsidRDefault="009D44FB" w:rsidP="00E740CE">
      <w:pPr>
        <w:spacing w:after="160" w:line="360" w:lineRule="auto"/>
        <w:jc w:val="both"/>
      </w:pPr>
      <w:r w:rsidRPr="009D44FB">
        <w:t xml:space="preserve">Lehmann, F. et al. (2025) ‘Minimising the usage of desflurane only by education and removal of the vaporisers – a before-and-after-trial’, BMC </w:t>
      </w:r>
      <w:proofErr w:type="spellStart"/>
      <w:r w:rsidRPr="009D44FB">
        <w:t>Anesthesiology</w:t>
      </w:r>
      <w:proofErr w:type="spellEnd"/>
      <w:r w:rsidRPr="009D44FB">
        <w:t xml:space="preserve">, 25. Available at: </w:t>
      </w:r>
      <w:hyperlink r:id="rId19" w:history="1">
        <w:r w:rsidRPr="009D44FB">
          <w:rPr>
            <w:rStyle w:val="Hyperlink"/>
          </w:rPr>
          <w:t>https://doi.org/10.1186/s12871-025-02982-7</w:t>
        </w:r>
      </w:hyperlink>
      <w:r w:rsidR="003C18A5">
        <w:t>.</w:t>
      </w:r>
    </w:p>
    <w:p w14:paraId="171D63C6" w14:textId="77777777" w:rsidR="00EE14AC" w:rsidRDefault="00EE14AC" w:rsidP="00E740CE">
      <w:pPr>
        <w:spacing w:after="160" w:line="360" w:lineRule="auto"/>
        <w:jc w:val="both"/>
      </w:pPr>
    </w:p>
    <w:p w14:paraId="711D3BBA" w14:textId="5FA9FB5F" w:rsidR="009B28BF" w:rsidRPr="00E740CE" w:rsidRDefault="003C36B7" w:rsidP="00E740CE">
      <w:pPr>
        <w:spacing w:after="160" w:line="360" w:lineRule="auto"/>
        <w:jc w:val="both"/>
      </w:pPr>
      <w:r w:rsidRPr="003C36B7">
        <w:lastRenderedPageBreak/>
        <w:t xml:space="preserve">Liu, B. et al. (2023) ‘Assessing the impacts of Birmingham's Clean Air Zone on air quality: estimates from a machine learning and synthetic control approach’, Environmental and Resource Economics, 86(1–2), pp. 203–231. Available at: </w:t>
      </w:r>
      <w:hyperlink r:id="rId20" w:history="1">
        <w:r w:rsidRPr="003C36B7">
          <w:rPr>
            <w:rStyle w:val="Hyperlink"/>
          </w:rPr>
          <w:t>https://doi.org/10.1007/s10640-023-00794-2</w:t>
        </w:r>
      </w:hyperlink>
      <w:r w:rsidR="00B91B53" w:rsidRPr="00E740CE">
        <w:t>.</w:t>
      </w:r>
    </w:p>
    <w:p w14:paraId="1ECA39C1" w14:textId="77777777" w:rsidR="008E7510" w:rsidRDefault="008E7510" w:rsidP="00E740CE">
      <w:pPr>
        <w:spacing w:after="160" w:line="360" w:lineRule="auto"/>
        <w:jc w:val="both"/>
      </w:pPr>
    </w:p>
    <w:p w14:paraId="0747CCC2" w14:textId="41C0DC24" w:rsidR="00EE14AC" w:rsidRDefault="00EE14AC" w:rsidP="00E740CE">
      <w:pPr>
        <w:spacing w:after="160" w:line="360" w:lineRule="auto"/>
        <w:jc w:val="both"/>
      </w:pPr>
      <w:r w:rsidRPr="00EE14AC">
        <w:t xml:space="preserve">Lloyds Bank (2024) UK Consumer Digital Index 2024. London: Lloyds Bank. Available at: </w:t>
      </w:r>
      <w:hyperlink r:id="rId21" w:history="1">
        <w:r w:rsidRPr="00EE14AC">
          <w:rPr>
            <w:rStyle w:val="Hyperlink"/>
          </w:rPr>
          <w:t>https://www.lloydsbank.com/assets/media/pdfs/banking_with_us/whats-happening/lb-consumer-digital-index-2024-report.pdf</w:t>
        </w:r>
      </w:hyperlink>
      <w:r w:rsidRPr="00EE14AC">
        <w:t xml:space="preserve"> (Accessed: 20 October 2026).</w:t>
      </w:r>
    </w:p>
    <w:p w14:paraId="2B0AA4BD" w14:textId="77777777" w:rsidR="008E7510" w:rsidRDefault="008E7510" w:rsidP="00E740CE">
      <w:pPr>
        <w:spacing w:after="160" w:line="360" w:lineRule="auto"/>
        <w:jc w:val="both"/>
        <w:rPr>
          <w:lang w:val="nl-NL"/>
        </w:rPr>
      </w:pPr>
    </w:p>
    <w:p w14:paraId="15EC789E" w14:textId="257365C4" w:rsidR="008E7510" w:rsidRDefault="00F21ACC" w:rsidP="00E740CE">
      <w:pPr>
        <w:spacing w:after="160" w:line="360" w:lineRule="auto"/>
        <w:jc w:val="both"/>
      </w:pPr>
      <w:r w:rsidRPr="00F21ACC">
        <w:rPr>
          <w:lang w:val="nl-NL"/>
        </w:rPr>
        <w:t xml:space="preserve">Maita, K.C. et al. </w:t>
      </w:r>
      <w:r w:rsidRPr="00F21ACC">
        <w:t xml:space="preserve">(2024) ‘The impact of digital health solutions on bridging the health care gap in rural areas: a scoping review’, The Permanente Journal, 28(3), pp. 130–143. Available at: </w:t>
      </w:r>
      <w:hyperlink r:id="rId22" w:history="1">
        <w:r w:rsidRPr="00F21ACC">
          <w:rPr>
            <w:rStyle w:val="Hyperlink"/>
          </w:rPr>
          <w:t>https://pmc.ncbi.nlm.nih.gov/articles/PMC11404635/</w:t>
        </w:r>
      </w:hyperlink>
      <w:r w:rsidRPr="00F21ACC">
        <w:t xml:space="preserve"> (Accessed: 20 October 2026).</w:t>
      </w:r>
    </w:p>
    <w:p w14:paraId="0708D8E1" w14:textId="77777777" w:rsidR="00F21ACC" w:rsidRDefault="00F21ACC" w:rsidP="00E740CE">
      <w:pPr>
        <w:spacing w:after="160" w:line="360" w:lineRule="auto"/>
        <w:jc w:val="both"/>
      </w:pPr>
    </w:p>
    <w:p w14:paraId="127D2655" w14:textId="283396DF" w:rsidR="00F21ACC" w:rsidRDefault="00ED51EB" w:rsidP="00E740CE">
      <w:pPr>
        <w:spacing w:after="160" w:line="360" w:lineRule="auto"/>
        <w:jc w:val="both"/>
      </w:pPr>
      <w:r w:rsidRPr="00ED51EB">
        <w:t xml:space="preserve">McManus, E., Meacock, R., Parkinson, B. and Sutton, M. (2022) ‘Population level impact of the NHS Diabetes Prevention Programme on incidence of type 2 diabetes in England: an observational study’, The Lancet Regional Health – Europe, 19, article 100420. Available at: </w:t>
      </w:r>
      <w:hyperlink r:id="rId23" w:history="1">
        <w:r w:rsidRPr="00ED51EB">
          <w:rPr>
            <w:rStyle w:val="Hyperlink"/>
          </w:rPr>
          <w:t>https://doi.org/10.1016/j.lanepe.2022.100420</w:t>
        </w:r>
      </w:hyperlink>
      <w:r w:rsidR="003C18A5">
        <w:t>.</w:t>
      </w:r>
    </w:p>
    <w:p w14:paraId="3F4ECA63" w14:textId="77777777" w:rsidR="00ED51EB" w:rsidRPr="00E740CE" w:rsidRDefault="00ED51EB" w:rsidP="00E740CE">
      <w:pPr>
        <w:spacing w:after="160" w:line="360" w:lineRule="auto"/>
        <w:jc w:val="both"/>
      </w:pPr>
    </w:p>
    <w:p w14:paraId="567FA531" w14:textId="624C67B6" w:rsidR="005A288A" w:rsidRDefault="005A288A" w:rsidP="00E740CE">
      <w:pPr>
        <w:spacing w:after="160" w:line="360" w:lineRule="auto"/>
        <w:jc w:val="both"/>
      </w:pPr>
      <w:r w:rsidRPr="005A288A">
        <w:rPr>
          <w:lang w:val="nl-NL"/>
        </w:rPr>
        <w:t xml:space="preserve">Mebrahtu, T.F. et al. </w:t>
      </w:r>
      <w:r w:rsidRPr="005A288A">
        <w:t xml:space="preserve">(2023) ‘Differences in public's perception of air quality and acceptability of a clean air zone: a mixed-methods cross sectional study’, Journal of Transport &amp; Health, 31, article 101654. Available at: </w:t>
      </w:r>
      <w:hyperlink r:id="rId24" w:history="1">
        <w:r w:rsidRPr="005A288A">
          <w:rPr>
            <w:rStyle w:val="Hyperlink"/>
          </w:rPr>
          <w:t>https://doi.org/10.1016/j.jth.2023.101654</w:t>
        </w:r>
      </w:hyperlink>
      <w:r w:rsidR="003C18A5">
        <w:t>.</w:t>
      </w:r>
    </w:p>
    <w:p w14:paraId="32F2FD71" w14:textId="77777777" w:rsidR="005A288A" w:rsidRDefault="005A288A" w:rsidP="00E740CE">
      <w:pPr>
        <w:spacing w:after="160" w:line="360" w:lineRule="auto"/>
        <w:jc w:val="both"/>
      </w:pPr>
    </w:p>
    <w:p w14:paraId="328C2986" w14:textId="5B338399" w:rsidR="001935A5" w:rsidRDefault="001935A5" w:rsidP="00E740CE">
      <w:pPr>
        <w:spacing w:after="160" w:line="360" w:lineRule="auto"/>
        <w:jc w:val="both"/>
      </w:pPr>
      <w:r w:rsidRPr="001935A5">
        <w:t xml:space="preserve">Michie, S., van Stralen, M.M. and West, R. (2011) ‘The behaviour change wheel: a new method for characterising and designing behaviour change interventions’, Implementation Science, 6, article 42. Available at: </w:t>
      </w:r>
      <w:hyperlink r:id="rId25" w:history="1">
        <w:r w:rsidRPr="001935A5">
          <w:rPr>
            <w:rStyle w:val="Hyperlink"/>
          </w:rPr>
          <w:t>https://doi.org/10.1186/1748-5908-6-42</w:t>
        </w:r>
      </w:hyperlink>
      <w:r w:rsidR="003C18A5">
        <w:t>.</w:t>
      </w:r>
    </w:p>
    <w:p w14:paraId="1B12A31C" w14:textId="77777777" w:rsidR="001935A5" w:rsidRDefault="001935A5" w:rsidP="00E740CE">
      <w:pPr>
        <w:spacing w:after="160" w:line="360" w:lineRule="auto"/>
        <w:jc w:val="both"/>
      </w:pPr>
    </w:p>
    <w:p w14:paraId="49F05A23" w14:textId="77777777" w:rsidR="0069120C" w:rsidRDefault="0069120C" w:rsidP="00E740CE">
      <w:pPr>
        <w:spacing w:after="160" w:line="360" w:lineRule="auto"/>
        <w:jc w:val="both"/>
      </w:pPr>
      <w:r w:rsidRPr="0069120C">
        <w:t xml:space="preserve">NHS England (2022) Delivering a 'Net Zero' National Health Service. London: NHS England. Available at: </w:t>
      </w:r>
      <w:hyperlink r:id="rId26" w:history="1">
        <w:r w:rsidRPr="0069120C">
          <w:rPr>
            <w:rStyle w:val="Hyperlink"/>
          </w:rPr>
          <w:t>https://www.england.nhs.uk/greenernhs/a-net-zero-nhs/</w:t>
        </w:r>
      </w:hyperlink>
      <w:r w:rsidRPr="0069120C">
        <w:t xml:space="preserve"> (Accessed: 20 October 2026).</w:t>
      </w:r>
    </w:p>
    <w:p w14:paraId="198209A9" w14:textId="77777777" w:rsidR="00C21668" w:rsidRDefault="00C21668" w:rsidP="00E740CE">
      <w:pPr>
        <w:spacing w:after="160" w:line="360" w:lineRule="auto"/>
        <w:jc w:val="both"/>
      </w:pPr>
    </w:p>
    <w:p w14:paraId="7ACD253D" w14:textId="0EBA3B4F" w:rsidR="0034312D" w:rsidRDefault="005151EB" w:rsidP="00E740CE">
      <w:pPr>
        <w:spacing w:after="160" w:line="360" w:lineRule="auto"/>
        <w:jc w:val="both"/>
      </w:pPr>
      <w:r w:rsidRPr="005151EB">
        <w:lastRenderedPageBreak/>
        <w:t xml:space="preserve">NHS England (2025) Progress report – delivering a greener NHS: five years on. London: NHS England. Available at: </w:t>
      </w:r>
      <w:hyperlink r:id="rId27" w:history="1">
        <w:r w:rsidRPr="005151EB">
          <w:rPr>
            <w:rStyle w:val="Hyperlink"/>
          </w:rPr>
          <w:t>https://www.england.nhs.uk/long-read/progress-report-delivering-a-greener-nhs-five-years-on/</w:t>
        </w:r>
      </w:hyperlink>
      <w:r w:rsidRPr="005151EB">
        <w:t xml:space="preserve"> (Accessed: 20 October 2026)</w:t>
      </w:r>
      <w:r w:rsidR="0034312D">
        <w:t>.</w:t>
      </w:r>
    </w:p>
    <w:p w14:paraId="39C94185" w14:textId="77777777" w:rsidR="003A77E1" w:rsidRDefault="003A77E1" w:rsidP="00E740CE">
      <w:pPr>
        <w:spacing w:after="160" w:line="360" w:lineRule="auto"/>
        <w:jc w:val="both"/>
      </w:pPr>
    </w:p>
    <w:p w14:paraId="45C96B6B" w14:textId="62D25B86" w:rsidR="003A77E1" w:rsidRDefault="003A77E1" w:rsidP="00C21668">
      <w:pPr>
        <w:spacing w:after="160" w:line="360" w:lineRule="auto"/>
      </w:pPr>
      <w:r w:rsidRPr="003A77E1">
        <w:t xml:space="preserve">NHS England (n.d.) Greener NHS: suppliers. Available at: </w:t>
      </w:r>
      <w:hyperlink r:id="rId28" w:history="1">
        <w:r w:rsidRPr="003A77E1">
          <w:rPr>
            <w:rStyle w:val="Hyperlink"/>
          </w:rPr>
          <w:t>https://www.england.nhs.uk/greenernhs/get-involved/suppliers</w:t>
        </w:r>
      </w:hyperlink>
      <w:r w:rsidRPr="003A77E1">
        <w:t xml:space="preserve"> (Accessed: 20 October 2026).</w:t>
      </w:r>
    </w:p>
    <w:p w14:paraId="0D90F279" w14:textId="77777777" w:rsidR="003A77E1" w:rsidRDefault="003A77E1" w:rsidP="00E740CE">
      <w:pPr>
        <w:spacing w:after="160" w:line="360" w:lineRule="auto"/>
        <w:jc w:val="both"/>
      </w:pPr>
    </w:p>
    <w:p w14:paraId="1A5F3536" w14:textId="77777777" w:rsidR="003E6C94" w:rsidRDefault="003E6C94" w:rsidP="00E740CE">
      <w:pPr>
        <w:spacing w:after="160" w:line="360" w:lineRule="auto"/>
        <w:jc w:val="both"/>
      </w:pPr>
      <w:r w:rsidRPr="003E6C94">
        <w:t xml:space="preserve">Public Finance (2023) ‘Birmingham to drastically cut spending after uncovering £760m equal pay cost’. Available at: </w:t>
      </w:r>
      <w:hyperlink r:id="rId29" w:history="1">
        <w:r w:rsidRPr="003E6C94">
          <w:rPr>
            <w:rStyle w:val="Hyperlink"/>
          </w:rPr>
          <w:t>https://www.publicfinance.co.uk/news/2023/06/birmingham-drastically-cut-spending-after-uncovering-ps760m-equal-pay-cost</w:t>
        </w:r>
      </w:hyperlink>
      <w:r w:rsidRPr="003E6C94">
        <w:t xml:space="preserve"> (Accessed: 20 October 2026).</w:t>
      </w:r>
    </w:p>
    <w:p w14:paraId="518FA503" w14:textId="77777777" w:rsidR="00C21668" w:rsidRDefault="00C21668" w:rsidP="00E740CE">
      <w:pPr>
        <w:spacing w:after="160" w:line="360" w:lineRule="auto"/>
        <w:jc w:val="both"/>
      </w:pPr>
    </w:p>
    <w:p w14:paraId="49B3237C" w14:textId="145D1231" w:rsidR="009B28BF" w:rsidRDefault="00625C67" w:rsidP="00E740CE">
      <w:pPr>
        <w:spacing w:after="160" w:line="360" w:lineRule="auto"/>
        <w:jc w:val="both"/>
      </w:pPr>
      <w:proofErr w:type="spellStart"/>
      <w:r w:rsidRPr="00625C67">
        <w:t>Ravindrarajah</w:t>
      </w:r>
      <w:proofErr w:type="spellEnd"/>
      <w:r w:rsidRPr="00625C67">
        <w:t xml:space="preserve">, R. et al. (2023) ‘Referral to the NHS Diabetes Prevention Programme and conversion from nondiabetic hyperglycaemia to type 2 diabetes mellitus in England: a matched cohort analysis’, PLOS Medicine, 20(2), article e1004177. Available at: </w:t>
      </w:r>
      <w:hyperlink r:id="rId30" w:history="1">
        <w:r w:rsidRPr="00625C67">
          <w:rPr>
            <w:rStyle w:val="Hyperlink"/>
          </w:rPr>
          <w:t>https://doi.org/10.1371/journal.pmed.1004177</w:t>
        </w:r>
      </w:hyperlink>
      <w:r>
        <w:t>.</w:t>
      </w:r>
    </w:p>
    <w:p w14:paraId="1DDC5780" w14:textId="77777777" w:rsidR="00C21668" w:rsidRDefault="00C21668" w:rsidP="00E740CE">
      <w:pPr>
        <w:spacing w:after="160" w:line="360" w:lineRule="auto"/>
        <w:jc w:val="both"/>
      </w:pPr>
    </w:p>
    <w:p w14:paraId="17E416ED" w14:textId="2A7B8906" w:rsidR="00625C67" w:rsidRPr="00E740CE" w:rsidRDefault="00557322" w:rsidP="00E740CE">
      <w:pPr>
        <w:spacing w:after="160" w:line="360" w:lineRule="auto"/>
        <w:jc w:val="both"/>
      </w:pPr>
      <w:r w:rsidRPr="00557322">
        <w:t xml:space="preserve">Romanello, M. et al. (2025) ‘The 2025 report of the Lancet Countdown on health and climate change’, The Lancet. Available at: </w:t>
      </w:r>
      <w:hyperlink r:id="rId31" w:history="1">
        <w:r w:rsidRPr="00557322">
          <w:rPr>
            <w:rStyle w:val="Hyperlink"/>
          </w:rPr>
          <w:t>https://doi.org/10.1016/S0140-6736(25)01919-1</w:t>
        </w:r>
      </w:hyperlink>
      <w:r w:rsidR="003C18A5">
        <w:t>.</w:t>
      </w:r>
    </w:p>
    <w:p w14:paraId="0CE6FBF8" w14:textId="77777777" w:rsidR="00C21668" w:rsidRDefault="00C21668" w:rsidP="00E740CE">
      <w:pPr>
        <w:spacing w:after="160" w:line="360" w:lineRule="auto"/>
        <w:jc w:val="both"/>
      </w:pPr>
    </w:p>
    <w:p w14:paraId="3C899716" w14:textId="0644D9AE" w:rsidR="00097292" w:rsidRDefault="00B53F70" w:rsidP="00E740CE">
      <w:pPr>
        <w:spacing w:after="160" w:line="360" w:lineRule="auto"/>
        <w:jc w:val="both"/>
      </w:pPr>
      <w:r w:rsidRPr="00B53F70">
        <w:t xml:space="preserve">Rosenstock, I.M. (1974) ‘Historical origins of the health belief model’, </w:t>
      </w:r>
      <w:r w:rsidRPr="00B53F70">
        <w:rPr>
          <w:i/>
          <w:iCs/>
        </w:rPr>
        <w:t>Health Education Monographs</w:t>
      </w:r>
      <w:r w:rsidRPr="00B53F70">
        <w:t xml:space="preserve">, 2(4), pp. 328–335. Available at: </w:t>
      </w:r>
      <w:hyperlink r:id="rId32" w:history="1">
        <w:r w:rsidRPr="00B53F70">
          <w:rPr>
            <w:rStyle w:val="Hyperlink"/>
          </w:rPr>
          <w:t>https://doi.org/10.1177/109019817400200403</w:t>
        </w:r>
      </w:hyperlink>
      <w:r w:rsidRPr="00B53F70">
        <w:t>.</w:t>
      </w:r>
    </w:p>
    <w:p w14:paraId="63D8BC0F" w14:textId="77777777" w:rsidR="00B53F70" w:rsidRDefault="00B53F70" w:rsidP="00E740CE">
      <w:pPr>
        <w:spacing w:after="160" w:line="360" w:lineRule="auto"/>
        <w:jc w:val="both"/>
      </w:pPr>
    </w:p>
    <w:p w14:paraId="33BB4082" w14:textId="079E554E" w:rsidR="00097292" w:rsidRDefault="00097292" w:rsidP="00E740CE">
      <w:pPr>
        <w:spacing w:after="160" w:line="360" w:lineRule="auto"/>
        <w:jc w:val="both"/>
      </w:pPr>
      <w:r w:rsidRPr="00097292">
        <w:t xml:space="preserve">Tennison, I. et al. (2021) ‘Health care's response to climate change: a carbon footprint assessment of the NHS in England’, The Lancet Planetary Health, 5(2), pp. e84–e92. Available at: </w:t>
      </w:r>
      <w:hyperlink r:id="rId33" w:history="1">
        <w:r w:rsidRPr="00097292">
          <w:rPr>
            <w:rStyle w:val="Hyperlink"/>
          </w:rPr>
          <w:t>https://doi.org/10.1016/S2542-5196(20)30271-0</w:t>
        </w:r>
      </w:hyperlink>
      <w:r w:rsidR="003C18A5">
        <w:t>.</w:t>
      </w:r>
    </w:p>
    <w:p w14:paraId="5E1EE571" w14:textId="77777777" w:rsidR="00097292" w:rsidRDefault="00097292" w:rsidP="00E740CE">
      <w:pPr>
        <w:spacing w:after="160" w:line="360" w:lineRule="auto"/>
        <w:jc w:val="both"/>
      </w:pPr>
    </w:p>
    <w:p w14:paraId="19F6C978" w14:textId="77D591D2" w:rsidR="00097292" w:rsidRDefault="001F4D1C" w:rsidP="00E740CE">
      <w:pPr>
        <w:spacing w:after="160" w:line="360" w:lineRule="auto"/>
        <w:jc w:val="both"/>
      </w:pPr>
      <w:r w:rsidRPr="001F4D1C">
        <w:t xml:space="preserve">UHC2030 (2025) UHC drives progress across </w:t>
      </w:r>
      <w:proofErr w:type="gramStart"/>
      <w:r w:rsidRPr="001F4D1C">
        <w:t>all of</w:t>
      </w:r>
      <w:proofErr w:type="gramEnd"/>
      <w:r w:rsidRPr="001F4D1C">
        <w:t xml:space="preserve"> the SDGs. Available at: </w:t>
      </w:r>
      <w:hyperlink r:id="rId34" w:history="1">
        <w:r w:rsidRPr="001F4D1C">
          <w:rPr>
            <w:rStyle w:val="Hyperlink"/>
          </w:rPr>
          <w:t>https://www.uhc2030.org/news-and-events/news/article/uhc-drives-progress-across-all-of-the-sdgs/</w:t>
        </w:r>
      </w:hyperlink>
      <w:r w:rsidRPr="001F4D1C">
        <w:t xml:space="preserve"> (Accessed: 20 October 2026).</w:t>
      </w:r>
    </w:p>
    <w:p w14:paraId="2EA45FD1" w14:textId="77F34C46" w:rsidR="001F4D1C" w:rsidRDefault="00E12ADC" w:rsidP="00E740CE">
      <w:pPr>
        <w:spacing w:after="160" w:line="360" w:lineRule="auto"/>
        <w:jc w:val="both"/>
      </w:pPr>
      <w:r w:rsidRPr="00E12ADC">
        <w:lastRenderedPageBreak/>
        <w:t xml:space="preserve">United Nations Framework Convention on Climate Change (UNFCCC) (2015) </w:t>
      </w:r>
      <w:r w:rsidRPr="00E12ADC">
        <w:rPr>
          <w:i/>
          <w:iCs/>
        </w:rPr>
        <w:t>Paris Agreement</w:t>
      </w:r>
      <w:r w:rsidRPr="00E12ADC">
        <w:t xml:space="preserve">. Bonn: UNFCCC. Available at: </w:t>
      </w:r>
      <w:hyperlink r:id="rId35" w:history="1">
        <w:r w:rsidRPr="00E12ADC">
          <w:rPr>
            <w:rStyle w:val="Hyperlink"/>
          </w:rPr>
          <w:t>https://unfccc.int/documents/659544</w:t>
        </w:r>
      </w:hyperlink>
      <w:r w:rsidRPr="00E12ADC">
        <w:t xml:space="preserve"> (Accessed: 20 October 2026)</w:t>
      </w:r>
      <w:r w:rsidR="008C23E2">
        <w:t>.</w:t>
      </w:r>
    </w:p>
    <w:p w14:paraId="70A60A4A" w14:textId="77777777" w:rsidR="008C23E2" w:rsidRDefault="008C23E2" w:rsidP="00E740CE">
      <w:pPr>
        <w:spacing w:after="160" w:line="360" w:lineRule="auto"/>
        <w:jc w:val="both"/>
      </w:pPr>
    </w:p>
    <w:p w14:paraId="0CBBF822" w14:textId="5A3A551D" w:rsidR="007F4F23" w:rsidRDefault="007F4F23" w:rsidP="00E740CE">
      <w:pPr>
        <w:spacing w:after="160" w:line="360" w:lineRule="auto"/>
        <w:jc w:val="both"/>
      </w:pPr>
      <w:r w:rsidRPr="007F4F23">
        <w:t xml:space="preserve">United Nations (2015) Transforming our world: the 2030 Agenda for Sustainable Development (A/RES/70/1). New York: United Nations. Available at: </w:t>
      </w:r>
      <w:hyperlink r:id="rId36" w:history="1">
        <w:r w:rsidRPr="007F4F23">
          <w:rPr>
            <w:rStyle w:val="Hyperlink"/>
          </w:rPr>
          <w:t>https://sdgs.un.org/2030agenda</w:t>
        </w:r>
      </w:hyperlink>
      <w:r w:rsidRPr="007F4F23">
        <w:t xml:space="preserve"> (Accessed: 20 October 2026)</w:t>
      </w:r>
      <w:r>
        <w:t>.</w:t>
      </w:r>
    </w:p>
    <w:p w14:paraId="55DA876D" w14:textId="77777777" w:rsidR="007F4F23" w:rsidRDefault="007F4F23" w:rsidP="00E740CE">
      <w:pPr>
        <w:spacing w:after="160" w:line="360" w:lineRule="auto"/>
        <w:jc w:val="both"/>
      </w:pPr>
    </w:p>
    <w:p w14:paraId="6F023124" w14:textId="387C28C4" w:rsidR="0013657F" w:rsidRPr="00E740CE" w:rsidRDefault="0013657F" w:rsidP="00E740CE">
      <w:pPr>
        <w:spacing w:after="160" w:line="360" w:lineRule="auto"/>
        <w:jc w:val="both"/>
      </w:pPr>
      <w:r w:rsidRPr="0013657F">
        <w:t xml:space="preserve">United Nations (2025) The Sustainable Development Goals report 2025. New York: United Nations. Available at: </w:t>
      </w:r>
      <w:hyperlink r:id="rId37" w:history="1">
        <w:r w:rsidRPr="0013657F">
          <w:rPr>
            <w:rStyle w:val="Hyperlink"/>
          </w:rPr>
          <w:t>https://unstats.un.org/sdgs/report/2025/</w:t>
        </w:r>
      </w:hyperlink>
      <w:r w:rsidRPr="0013657F">
        <w:t xml:space="preserve"> (Accessed: 20 October 2026).</w:t>
      </w:r>
    </w:p>
    <w:p w14:paraId="42A00AD4" w14:textId="77777777" w:rsidR="00725C32" w:rsidRDefault="00725C32" w:rsidP="00E740CE">
      <w:pPr>
        <w:spacing w:after="160" w:line="360" w:lineRule="auto"/>
        <w:jc w:val="both"/>
      </w:pPr>
    </w:p>
    <w:p w14:paraId="0B589C48" w14:textId="44D6298C" w:rsidR="00F86BD3" w:rsidRDefault="00725C32" w:rsidP="00C41897">
      <w:pPr>
        <w:spacing w:after="160" w:line="360" w:lineRule="auto"/>
      </w:pPr>
      <w:r w:rsidRPr="00725C32">
        <w:t xml:space="preserve">United Nations Environment Programme (UNEP) (2025) Emissions Gap Report 2025: Off Target. Nairobi: United Nations Environment Programme. Available at: </w:t>
      </w:r>
      <w:hyperlink r:id="rId38" w:history="1">
        <w:r w:rsidRPr="00725C32">
          <w:rPr>
            <w:rStyle w:val="Hyperlink"/>
          </w:rPr>
          <w:t>https://www.unep.org/en/publications/report/emissions-gap-report-2025</w:t>
        </w:r>
      </w:hyperlink>
      <w:r w:rsidRPr="00725C32">
        <w:t xml:space="preserve"> (Accessed: 20 October 2026).</w:t>
      </w:r>
    </w:p>
    <w:p w14:paraId="3C23D063" w14:textId="77777777" w:rsidR="00C41897" w:rsidRDefault="00C41897" w:rsidP="00C41897">
      <w:pPr>
        <w:spacing w:after="160" w:line="360" w:lineRule="auto"/>
      </w:pPr>
    </w:p>
    <w:p w14:paraId="250E73A4" w14:textId="603B3A2C" w:rsidR="00F86BD3" w:rsidRDefault="00714833" w:rsidP="00E740CE">
      <w:pPr>
        <w:spacing w:after="160" w:line="360" w:lineRule="auto"/>
        <w:jc w:val="both"/>
      </w:pPr>
      <w:proofErr w:type="spellStart"/>
      <w:r w:rsidRPr="00714833">
        <w:t>Valabhji</w:t>
      </w:r>
      <w:proofErr w:type="spellEnd"/>
      <w:r w:rsidRPr="00714833">
        <w:t xml:space="preserve">, J. et al. (2020) ‘Early outcomes from the English National Health Service Diabetes Prevention Programme’, Diabetes Care, 43(1), pp. 152–160. Available at: </w:t>
      </w:r>
      <w:hyperlink r:id="rId39" w:history="1">
        <w:r w:rsidRPr="00714833">
          <w:rPr>
            <w:rStyle w:val="Hyperlink"/>
          </w:rPr>
          <w:t>https://doi.org/10.2337/dc19-1425</w:t>
        </w:r>
      </w:hyperlink>
      <w:r w:rsidR="003C18A5">
        <w:t>.</w:t>
      </w:r>
    </w:p>
    <w:p w14:paraId="01F3F368" w14:textId="77777777" w:rsidR="00F4450D" w:rsidRDefault="00F4450D" w:rsidP="00E740CE">
      <w:pPr>
        <w:spacing w:after="160" w:line="360" w:lineRule="auto"/>
        <w:jc w:val="both"/>
      </w:pPr>
    </w:p>
    <w:p w14:paraId="4A896910" w14:textId="6E31A781" w:rsidR="00E44A2C" w:rsidRPr="00E740CE" w:rsidRDefault="00F4450D" w:rsidP="00E740CE">
      <w:pPr>
        <w:spacing w:after="160" w:line="360" w:lineRule="auto"/>
        <w:jc w:val="both"/>
      </w:pPr>
      <w:r w:rsidRPr="00F4450D">
        <w:t xml:space="preserve">World Health Organization (WHO) (2023) Climate change and health. Geneva: World Health Organization. Available at: </w:t>
      </w:r>
      <w:hyperlink r:id="rId40" w:history="1">
        <w:r w:rsidRPr="00F4450D">
          <w:rPr>
            <w:rStyle w:val="Hyperlink"/>
          </w:rPr>
          <w:t>https://www.who.int/news-room/fact-sheets/detail/climate-change-and-health</w:t>
        </w:r>
      </w:hyperlink>
      <w:r w:rsidRPr="00F4450D">
        <w:t xml:space="preserve"> (Accessed: 20 October 2026).</w:t>
      </w:r>
    </w:p>
    <w:p w14:paraId="409838A8" w14:textId="77777777" w:rsidR="00F4450D" w:rsidRDefault="00F4450D" w:rsidP="00E740CE">
      <w:pPr>
        <w:spacing w:after="160" w:line="360" w:lineRule="auto"/>
        <w:jc w:val="both"/>
      </w:pPr>
    </w:p>
    <w:p w14:paraId="17ADFF72" w14:textId="05D0326B" w:rsidR="00F4450D" w:rsidRPr="00E740CE" w:rsidRDefault="007B4B95" w:rsidP="00E740CE">
      <w:pPr>
        <w:spacing w:after="160" w:line="360" w:lineRule="auto"/>
        <w:jc w:val="both"/>
      </w:pPr>
      <w:r w:rsidRPr="007B4B95">
        <w:t xml:space="preserve">World Health Organization (WHO) (2025) WHO issues guidance to address drastic global health financing cuts. Available at: </w:t>
      </w:r>
      <w:hyperlink r:id="rId41" w:history="1">
        <w:r w:rsidRPr="007B4B95">
          <w:rPr>
            <w:rStyle w:val="Hyperlink"/>
          </w:rPr>
          <w:t>https://www.who.int/news/item/03-11-2025-who-issues-guidance-to-address-drastic-global-health-financing-cuts</w:t>
        </w:r>
      </w:hyperlink>
      <w:r w:rsidRPr="007B4B95">
        <w:t xml:space="preserve"> (Accessed: 20 October 2026).</w:t>
      </w:r>
    </w:p>
    <w:p w14:paraId="69F3CEF0" w14:textId="77777777" w:rsidR="00C21668" w:rsidRDefault="00C21668" w:rsidP="00E740CE">
      <w:pPr>
        <w:spacing w:after="160" w:line="360" w:lineRule="auto"/>
        <w:jc w:val="both"/>
      </w:pPr>
    </w:p>
    <w:p w14:paraId="486A4C7A" w14:textId="5570F856" w:rsidR="009B28BF" w:rsidRPr="00E740CE" w:rsidRDefault="00C21668" w:rsidP="00E740CE">
      <w:pPr>
        <w:spacing w:after="160" w:line="360" w:lineRule="auto"/>
        <w:jc w:val="both"/>
      </w:pPr>
      <w:r w:rsidRPr="00C21668">
        <w:t xml:space="preserve">World Health Organization (WHO) and World Bank (2023) Tracking universal health coverage: 2023 global monitoring report. Geneva: World Health Organization. Available at: </w:t>
      </w:r>
      <w:hyperlink r:id="rId42" w:history="1">
        <w:r w:rsidRPr="00C21668">
          <w:rPr>
            <w:rStyle w:val="Hyperlink"/>
          </w:rPr>
          <w:t>https://www.who.int/publications/i/item/9789240080379</w:t>
        </w:r>
      </w:hyperlink>
      <w:r w:rsidRPr="00C21668">
        <w:t xml:space="preserve"> (Accessed: 20 October 2026).</w:t>
      </w:r>
      <w:bookmarkEnd w:id="0"/>
    </w:p>
    <w:sectPr w:rsidR="009B28BF" w:rsidRPr="00E740CE">
      <w:footerReference w:type="default" r:id="rId4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D1A29" w14:textId="77777777" w:rsidR="00DF2A4F" w:rsidRDefault="00DF2A4F">
      <w:r>
        <w:separator/>
      </w:r>
    </w:p>
  </w:endnote>
  <w:endnote w:type="continuationSeparator" w:id="0">
    <w:p w14:paraId="310A8479" w14:textId="77777777" w:rsidR="00DF2A4F" w:rsidRDefault="00DF2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43B84" w14:textId="77777777" w:rsidR="009B28BF" w:rsidRDefault="00B91B53">
    <w:pPr>
      <w:jc w:val="center"/>
    </w:pPr>
    <w:r>
      <w:fldChar w:fldCharType="begin"/>
    </w:r>
    <w:r>
      <w:instrText>PAGE</w:instrText>
    </w:r>
    <w:r>
      <w:fldChar w:fldCharType="separate"/>
    </w:r>
    <w:r w:rsidR="00E740C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6582C" w14:textId="77777777" w:rsidR="00DF2A4F" w:rsidRDefault="00DF2A4F">
      <w:r>
        <w:separator/>
      </w:r>
    </w:p>
  </w:footnote>
  <w:footnote w:type="continuationSeparator" w:id="0">
    <w:p w14:paraId="0F5D0645" w14:textId="77777777" w:rsidR="00DF2A4F" w:rsidRDefault="00DF2A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D7B71"/>
    <w:multiLevelType w:val="hybridMultilevel"/>
    <w:tmpl w:val="EFE48AA8"/>
    <w:lvl w:ilvl="0" w:tplc="D97AAED8" w:tentative="1">
      <w:start w:val="1"/>
      <w:numFmt w:val="bullet"/>
      <w:lvlText w:val="●"/>
      <w:lvlJc w:val="left"/>
      <w:pPr>
        <w:ind w:left="720" w:hanging="360"/>
      </w:pPr>
    </w:lvl>
    <w:lvl w:ilvl="1" w:tplc="14485618" w:tentative="1">
      <w:start w:val="1"/>
      <w:numFmt w:val="bullet"/>
      <w:lvlText w:val="○"/>
      <w:lvlJc w:val="left"/>
      <w:pPr>
        <w:ind w:left="1440" w:hanging="360"/>
      </w:pPr>
    </w:lvl>
    <w:lvl w:ilvl="2" w:tplc="2F0430E6" w:tentative="1">
      <w:start w:val="1"/>
      <w:numFmt w:val="bullet"/>
      <w:lvlText w:val="■"/>
      <w:lvlJc w:val="left"/>
      <w:pPr>
        <w:ind w:left="2160" w:hanging="360"/>
      </w:pPr>
    </w:lvl>
    <w:lvl w:ilvl="3" w:tplc="642691E6" w:tentative="1">
      <w:start w:val="1"/>
      <w:numFmt w:val="bullet"/>
      <w:lvlText w:val="●"/>
      <w:lvlJc w:val="left"/>
      <w:pPr>
        <w:ind w:left="2880" w:hanging="360"/>
      </w:pPr>
    </w:lvl>
    <w:lvl w:ilvl="4" w:tplc="CF766ACE" w:tentative="1">
      <w:start w:val="1"/>
      <w:numFmt w:val="bullet"/>
      <w:lvlText w:val="○"/>
      <w:lvlJc w:val="left"/>
      <w:pPr>
        <w:ind w:left="3600" w:hanging="360"/>
      </w:pPr>
    </w:lvl>
    <w:lvl w:ilvl="5" w:tplc="C84A7382" w:tentative="1">
      <w:start w:val="1"/>
      <w:numFmt w:val="bullet"/>
      <w:lvlText w:val="■"/>
      <w:lvlJc w:val="left"/>
      <w:pPr>
        <w:ind w:left="4320" w:hanging="360"/>
      </w:pPr>
    </w:lvl>
    <w:lvl w:ilvl="6" w:tplc="AA82EF34" w:tentative="1">
      <w:start w:val="1"/>
      <w:numFmt w:val="bullet"/>
      <w:lvlText w:val="●"/>
      <w:lvlJc w:val="left"/>
      <w:pPr>
        <w:ind w:left="5040" w:hanging="360"/>
      </w:pPr>
    </w:lvl>
    <w:lvl w:ilvl="7" w:tplc="47B2FABA" w:tentative="1">
      <w:start w:val="1"/>
      <w:numFmt w:val="bullet"/>
      <w:lvlText w:val="●"/>
      <w:lvlJc w:val="left"/>
      <w:pPr>
        <w:ind w:left="5760" w:hanging="360"/>
      </w:pPr>
    </w:lvl>
    <w:lvl w:ilvl="8" w:tplc="52666A4E" w:tentative="1">
      <w:start w:val="1"/>
      <w:numFmt w:val="bullet"/>
      <w:lvlText w:val="●"/>
      <w:lvlJc w:val="left"/>
      <w:pPr>
        <w:ind w:left="6480" w:hanging="360"/>
      </w:pPr>
    </w:lvl>
  </w:abstractNum>
  <w:abstractNum w:abstractNumId="1" w15:restartNumberingAfterBreak="0">
    <w:nsid w:val="4BE2749D"/>
    <w:multiLevelType w:val="hybridMultilevel"/>
    <w:tmpl w:val="0E066AC2"/>
    <w:lvl w:ilvl="0" w:tplc="269EF092">
      <w:start w:val="1"/>
      <w:numFmt w:val="decimal"/>
      <w:lvlText w:val="%1."/>
      <w:lvlJc w:val="left"/>
      <w:pPr>
        <w:ind w:left="720" w:hanging="360"/>
      </w:pPr>
    </w:lvl>
    <w:lvl w:ilvl="1" w:tplc="B0183516">
      <w:numFmt w:val="decimal"/>
      <w:lvlText w:val=""/>
      <w:lvlJc w:val="left"/>
    </w:lvl>
    <w:lvl w:ilvl="2" w:tplc="00F4CEBA">
      <w:numFmt w:val="decimal"/>
      <w:lvlText w:val=""/>
      <w:lvlJc w:val="left"/>
    </w:lvl>
    <w:lvl w:ilvl="3" w:tplc="6882A662">
      <w:numFmt w:val="decimal"/>
      <w:lvlText w:val=""/>
      <w:lvlJc w:val="left"/>
    </w:lvl>
    <w:lvl w:ilvl="4" w:tplc="9A7E4BE4">
      <w:numFmt w:val="decimal"/>
      <w:lvlText w:val=""/>
      <w:lvlJc w:val="left"/>
    </w:lvl>
    <w:lvl w:ilvl="5" w:tplc="D632B3FA">
      <w:numFmt w:val="decimal"/>
      <w:lvlText w:val=""/>
      <w:lvlJc w:val="left"/>
    </w:lvl>
    <w:lvl w:ilvl="6" w:tplc="304AD756">
      <w:numFmt w:val="decimal"/>
      <w:lvlText w:val=""/>
      <w:lvlJc w:val="left"/>
    </w:lvl>
    <w:lvl w:ilvl="7" w:tplc="796EEC36">
      <w:numFmt w:val="decimal"/>
      <w:lvlText w:val=""/>
      <w:lvlJc w:val="left"/>
    </w:lvl>
    <w:lvl w:ilvl="8" w:tplc="962EDF46">
      <w:numFmt w:val="decimal"/>
      <w:lvlText w:val=""/>
      <w:lvlJc w:val="left"/>
    </w:lvl>
  </w:abstractNum>
  <w:abstractNum w:abstractNumId="2" w15:restartNumberingAfterBreak="0">
    <w:nsid w:val="655E205F"/>
    <w:multiLevelType w:val="hybridMultilevel"/>
    <w:tmpl w:val="2FECCA68"/>
    <w:lvl w:ilvl="0" w:tplc="9044FF24">
      <w:start w:val="1"/>
      <w:numFmt w:val="decimal"/>
      <w:lvlText w:val="%1."/>
      <w:lvlJc w:val="left"/>
      <w:pPr>
        <w:ind w:left="720" w:hanging="360"/>
      </w:pPr>
    </w:lvl>
    <w:lvl w:ilvl="1" w:tplc="9684E64C">
      <w:numFmt w:val="decimal"/>
      <w:lvlText w:val=""/>
      <w:lvlJc w:val="left"/>
    </w:lvl>
    <w:lvl w:ilvl="2" w:tplc="AF667210">
      <w:numFmt w:val="decimal"/>
      <w:lvlText w:val=""/>
      <w:lvlJc w:val="left"/>
    </w:lvl>
    <w:lvl w:ilvl="3" w:tplc="2BD608B2">
      <w:numFmt w:val="decimal"/>
      <w:lvlText w:val=""/>
      <w:lvlJc w:val="left"/>
    </w:lvl>
    <w:lvl w:ilvl="4" w:tplc="F0BC1A42">
      <w:numFmt w:val="decimal"/>
      <w:lvlText w:val=""/>
      <w:lvlJc w:val="left"/>
    </w:lvl>
    <w:lvl w:ilvl="5" w:tplc="B9AC8084">
      <w:numFmt w:val="decimal"/>
      <w:lvlText w:val=""/>
      <w:lvlJc w:val="left"/>
    </w:lvl>
    <w:lvl w:ilvl="6" w:tplc="C54A2364">
      <w:numFmt w:val="decimal"/>
      <w:lvlText w:val=""/>
      <w:lvlJc w:val="left"/>
    </w:lvl>
    <w:lvl w:ilvl="7" w:tplc="F6F0203C">
      <w:numFmt w:val="decimal"/>
      <w:lvlText w:val=""/>
      <w:lvlJc w:val="left"/>
    </w:lvl>
    <w:lvl w:ilvl="8" w:tplc="FB80199C">
      <w:numFmt w:val="decimal"/>
      <w:lvlText w:val=""/>
      <w:lvlJc w:val="left"/>
    </w:lvl>
  </w:abstractNum>
  <w:num w:numId="1" w16cid:durableId="1082604375">
    <w:abstractNumId w:val="0"/>
    <w:lvlOverride w:ilvl="0">
      <w:startOverride w:val="1"/>
    </w:lvlOverride>
  </w:num>
  <w:num w:numId="2" w16cid:durableId="212349154">
    <w:abstractNumId w:val="1"/>
    <w:lvlOverride w:ilvl="0">
      <w:startOverride w:val="1"/>
    </w:lvlOverride>
  </w:num>
  <w:num w:numId="3" w16cid:durableId="1242447246">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8BF"/>
    <w:rsid w:val="00046869"/>
    <w:rsid w:val="00064C9F"/>
    <w:rsid w:val="00073FB0"/>
    <w:rsid w:val="00097292"/>
    <w:rsid w:val="000F0A97"/>
    <w:rsid w:val="001206C7"/>
    <w:rsid w:val="0013657F"/>
    <w:rsid w:val="001935A5"/>
    <w:rsid w:val="001D1860"/>
    <w:rsid w:val="001D4F12"/>
    <w:rsid w:val="001E2C0D"/>
    <w:rsid w:val="001F4D1C"/>
    <w:rsid w:val="0022139C"/>
    <w:rsid w:val="002716CC"/>
    <w:rsid w:val="002812CA"/>
    <w:rsid w:val="002C17DC"/>
    <w:rsid w:val="002D1527"/>
    <w:rsid w:val="002D75BF"/>
    <w:rsid w:val="00325D63"/>
    <w:rsid w:val="0034312D"/>
    <w:rsid w:val="003478E8"/>
    <w:rsid w:val="003852DA"/>
    <w:rsid w:val="00390CC1"/>
    <w:rsid w:val="003A77E1"/>
    <w:rsid w:val="003C18A5"/>
    <w:rsid w:val="003C2338"/>
    <w:rsid w:val="003C36B7"/>
    <w:rsid w:val="003D1233"/>
    <w:rsid w:val="003E6C94"/>
    <w:rsid w:val="003F16AD"/>
    <w:rsid w:val="00404C21"/>
    <w:rsid w:val="00455B5B"/>
    <w:rsid w:val="004A4FD1"/>
    <w:rsid w:val="004B0FF1"/>
    <w:rsid w:val="004D08AF"/>
    <w:rsid w:val="004E154A"/>
    <w:rsid w:val="005151EB"/>
    <w:rsid w:val="00557322"/>
    <w:rsid w:val="0058270D"/>
    <w:rsid w:val="005A16BA"/>
    <w:rsid w:val="005A288A"/>
    <w:rsid w:val="005D01FE"/>
    <w:rsid w:val="005F08B8"/>
    <w:rsid w:val="005F775D"/>
    <w:rsid w:val="00601D7F"/>
    <w:rsid w:val="006116FE"/>
    <w:rsid w:val="00617B4C"/>
    <w:rsid w:val="00625C67"/>
    <w:rsid w:val="0062789C"/>
    <w:rsid w:val="006416E7"/>
    <w:rsid w:val="00660870"/>
    <w:rsid w:val="0068167E"/>
    <w:rsid w:val="0069120C"/>
    <w:rsid w:val="006957F6"/>
    <w:rsid w:val="006B0C3B"/>
    <w:rsid w:val="006C0D25"/>
    <w:rsid w:val="006F32C0"/>
    <w:rsid w:val="00714833"/>
    <w:rsid w:val="00725C32"/>
    <w:rsid w:val="00752AC6"/>
    <w:rsid w:val="00770F73"/>
    <w:rsid w:val="00772563"/>
    <w:rsid w:val="00784C0A"/>
    <w:rsid w:val="007A655C"/>
    <w:rsid w:val="007B4B95"/>
    <w:rsid w:val="007F37C2"/>
    <w:rsid w:val="007F4F23"/>
    <w:rsid w:val="00853D8A"/>
    <w:rsid w:val="00860D96"/>
    <w:rsid w:val="008C23E2"/>
    <w:rsid w:val="008C55EA"/>
    <w:rsid w:val="008E0819"/>
    <w:rsid w:val="008E7510"/>
    <w:rsid w:val="00982A3E"/>
    <w:rsid w:val="009A7254"/>
    <w:rsid w:val="009B28BF"/>
    <w:rsid w:val="009D44FB"/>
    <w:rsid w:val="009E2B4D"/>
    <w:rsid w:val="009F5A43"/>
    <w:rsid w:val="00A10B59"/>
    <w:rsid w:val="00A1445D"/>
    <w:rsid w:val="00A40930"/>
    <w:rsid w:val="00A61D18"/>
    <w:rsid w:val="00A6450D"/>
    <w:rsid w:val="00AA1572"/>
    <w:rsid w:val="00AB2846"/>
    <w:rsid w:val="00AC7276"/>
    <w:rsid w:val="00AE2FEA"/>
    <w:rsid w:val="00B12F16"/>
    <w:rsid w:val="00B32781"/>
    <w:rsid w:val="00B53F70"/>
    <w:rsid w:val="00B80A28"/>
    <w:rsid w:val="00B82E18"/>
    <w:rsid w:val="00B91B53"/>
    <w:rsid w:val="00BD54E8"/>
    <w:rsid w:val="00BD726E"/>
    <w:rsid w:val="00C21668"/>
    <w:rsid w:val="00C276FE"/>
    <w:rsid w:val="00C3778A"/>
    <w:rsid w:val="00C41897"/>
    <w:rsid w:val="00C56B49"/>
    <w:rsid w:val="00C806EA"/>
    <w:rsid w:val="00CA1E8D"/>
    <w:rsid w:val="00CD3C2F"/>
    <w:rsid w:val="00CF59DA"/>
    <w:rsid w:val="00D01433"/>
    <w:rsid w:val="00D22784"/>
    <w:rsid w:val="00D25D52"/>
    <w:rsid w:val="00D37B28"/>
    <w:rsid w:val="00D41BFE"/>
    <w:rsid w:val="00D6382E"/>
    <w:rsid w:val="00DB40D0"/>
    <w:rsid w:val="00DC6AB8"/>
    <w:rsid w:val="00DC6EEE"/>
    <w:rsid w:val="00DF2A4F"/>
    <w:rsid w:val="00E12ADC"/>
    <w:rsid w:val="00E21895"/>
    <w:rsid w:val="00E235B1"/>
    <w:rsid w:val="00E309E5"/>
    <w:rsid w:val="00E44A2C"/>
    <w:rsid w:val="00E6784F"/>
    <w:rsid w:val="00E740CE"/>
    <w:rsid w:val="00EA23DE"/>
    <w:rsid w:val="00EA5B7D"/>
    <w:rsid w:val="00ED51EB"/>
    <w:rsid w:val="00EE14AC"/>
    <w:rsid w:val="00F21ACC"/>
    <w:rsid w:val="00F425DD"/>
    <w:rsid w:val="00F4450D"/>
    <w:rsid w:val="00F86BD3"/>
    <w:rsid w:val="00F9559A"/>
    <w:rsid w:val="00FD1029"/>
    <w:rsid w:val="00FD4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AD4E6"/>
  <w15:docId w15:val="{BE0CAB6D-6EEC-48E9-824C-CF0985496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1FE"/>
  </w:style>
  <w:style w:type="paragraph" w:styleId="Heading1">
    <w:name w:val="heading 1"/>
    <w:basedOn w:val="Normal"/>
    <w:next w:val="Normal"/>
    <w:uiPriority w:val="9"/>
    <w:qFormat/>
    <w:pPr>
      <w:outlineLvl w:val="0"/>
    </w:pPr>
    <w:rPr>
      <w:b/>
      <w:bCs/>
      <w:sz w:val="28"/>
      <w:szCs w:val="28"/>
    </w:rPr>
  </w:style>
  <w:style w:type="paragraph" w:styleId="Heading2">
    <w:name w:val="heading 2"/>
    <w:basedOn w:val="Normal"/>
    <w:next w:val="Normal"/>
    <w:uiPriority w:val="9"/>
    <w:unhideWhenUsed/>
    <w:qFormat/>
    <w:pPr>
      <w:outlineLvl w:val="1"/>
    </w:pPr>
    <w:rPr>
      <w:b/>
      <w:bCs/>
      <w:sz w:val="24"/>
      <w:szCs w:val="24"/>
    </w:rPr>
  </w:style>
  <w:style w:type="paragraph" w:styleId="Heading3">
    <w:name w:val="heading 3"/>
    <w:basedOn w:val="Normal"/>
    <w:next w:val="Normal"/>
    <w:uiPriority w:val="9"/>
    <w:semiHidden/>
    <w:unhideWhenUsed/>
    <w:qFormat/>
    <w:pPr>
      <w:outlineLvl w:val="2"/>
    </w:pPr>
    <w:rPr>
      <w:color w:val="1F4D78"/>
      <w:sz w:val="24"/>
      <w:szCs w:val="24"/>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E740CE"/>
    <w:rPr>
      <w:color w:val="605E5C"/>
      <w:shd w:val="clear" w:color="auto" w:fill="E1DFDD"/>
    </w:rPr>
  </w:style>
  <w:style w:type="paragraph" w:styleId="TOCHeading">
    <w:name w:val="TOC Heading"/>
    <w:basedOn w:val="Heading1"/>
    <w:next w:val="Normal"/>
    <w:uiPriority w:val="39"/>
    <w:unhideWhenUsed/>
    <w:qFormat/>
    <w:rsid w:val="00DC6AB8"/>
    <w:pPr>
      <w:keepNext/>
      <w:keepLines/>
      <w:spacing w:before="24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DC6AB8"/>
    <w:pPr>
      <w:spacing w:after="100"/>
    </w:pPr>
  </w:style>
  <w:style w:type="paragraph" w:styleId="TOC2">
    <w:name w:val="toc 2"/>
    <w:basedOn w:val="Normal"/>
    <w:next w:val="Normal"/>
    <w:autoRedefine/>
    <w:uiPriority w:val="39"/>
    <w:unhideWhenUsed/>
    <w:rsid w:val="00DC6AB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16/j.puhe.2021.08.009?utm_source=chatgpt.com" TargetMode="External"/><Relationship Id="rId18" Type="http://schemas.openxmlformats.org/officeDocument/2006/relationships/hyperlink" Target="https://www.icaew.com/insights/viewpoints-on-the-news/2023/sep-2023/birmingham-issues-section-114-notice-amid-financial-crisis?utm_source=chatgpt.com" TargetMode="External"/><Relationship Id="rId26" Type="http://schemas.openxmlformats.org/officeDocument/2006/relationships/hyperlink" Target="https://www.england.nhs.uk/greenernhs/a-net-zero-nhs/?utm_source=chatgpt.com" TargetMode="External"/><Relationship Id="rId39" Type="http://schemas.openxmlformats.org/officeDocument/2006/relationships/hyperlink" Target="https://doi.org/10.2337/dc19-1425?utm_source=chatgpt.com" TargetMode="External"/><Relationship Id="rId21" Type="http://schemas.openxmlformats.org/officeDocument/2006/relationships/hyperlink" Target="https://www.lloydsbank.com/assets/media/pdfs/banking_with_us/whats-happening/lb-consumer-digital-index-2024-report.pdf?utm_source=chatgpt.com" TargetMode="External"/><Relationship Id="rId34" Type="http://schemas.openxmlformats.org/officeDocument/2006/relationships/hyperlink" Target="https://www.uhc2030.org/news-and-events/news/article/uhc-drives-progress-across-all-of-the-sdgs/?utm_source=chatgpt.com" TargetMode="External"/><Relationship Id="rId42" Type="http://schemas.openxmlformats.org/officeDocument/2006/relationships/hyperlink" Target="https://www.who.int/publications/i/item/9789240080379?utm_source=chatgpt.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10-year-health-plan-for-england-fit-for-the-future?utm_source=chatgpt.com" TargetMode="External"/><Relationship Id="rId29" Type="http://schemas.openxmlformats.org/officeDocument/2006/relationships/hyperlink" Target="https://www.publicfinance.co.uk/news/2023/06/birmingham-drastically-cut-spending-after-uncovering-ps760m-equal-pay-cost?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rmingham.gov.uk/download/downloads/id/30013/joint_health_and_wellbeing_strategy_annual_review_2023-2024.pdf?utm_source=chatgpt.com" TargetMode="External"/><Relationship Id="rId24" Type="http://schemas.openxmlformats.org/officeDocument/2006/relationships/hyperlink" Target="https://doi.org/10.1016/j.jth.2023.101654?utm_source=chatgpt.com" TargetMode="External"/><Relationship Id="rId32" Type="http://schemas.openxmlformats.org/officeDocument/2006/relationships/hyperlink" Target="https://doi.org/10.1177/109019817400200403" TargetMode="External"/><Relationship Id="rId37" Type="http://schemas.openxmlformats.org/officeDocument/2006/relationships/hyperlink" Target="https://unstats.un.org/sdgs/report/2025/?utm_source=chatgpt.com" TargetMode="External"/><Relationship Id="rId40" Type="http://schemas.openxmlformats.org/officeDocument/2006/relationships/hyperlink" Target="https://www.who.int/news-room/fact-sheets/detail/climate-change-and-health?utm_source=chatgpt.co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air-quality-clean-air-zone-framework-for-england/annex-a-clean-air-zone-minimum-classes-and-standards?utm_source=chatgpt.com" TargetMode="External"/><Relationship Id="rId23" Type="http://schemas.openxmlformats.org/officeDocument/2006/relationships/hyperlink" Target="https://doi.org/10.1016/j.lanepe.2022.100420?utm_source=chatgpt.com" TargetMode="External"/><Relationship Id="rId28" Type="http://schemas.openxmlformats.org/officeDocument/2006/relationships/hyperlink" Target="https://www.england.nhs.uk/greenernhs/get-involved/suppliers?utm_source=chatgpt.com" TargetMode="External"/><Relationship Id="rId36" Type="http://schemas.openxmlformats.org/officeDocument/2006/relationships/hyperlink" Target="https://sdgs.un.org/2030agenda?utm_source=chatgpt.com" TargetMode="External"/><Relationship Id="rId10" Type="http://schemas.openxmlformats.org/officeDocument/2006/relationships/hyperlink" Target="https://www.birmingham.gov.uk/news/article/1269/progress_on_route_to_net_zero_detailed_in_new_annual_report" TargetMode="External"/><Relationship Id="rId19" Type="http://schemas.openxmlformats.org/officeDocument/2006/relationships/hyperlink" Target="https://doi.org/10.1186/s12871-025-02982-7?utm_source=chatgpt.com" TargetMode="External"/><Relationship Id="rId31" Type="http://schemas.openxmlformats.org/officeDocument/2006/relationships/hyperlink" Target="https://doi.org/10.1016/S0140-6736(25)01919-1?utm_source=chatgpt.co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irmingham.gov.uk/download/downloads/id/23756/creating_a_bolder_healthier_city_2022_to_2030.pdf" TargetMode="External"/><Relationship Id="rId14" Type="http://schemas.openxmlformats.org/officeDocument/2006/relationships/hyperlink" Target="https://www.gov.uk/government/publications/independent-investigation-of-the-nhs-in-england?utm_source=chatgpt.com" TargetMode="External"/><Relationship Id="rId22" Type="http://schemas.openxmlformats.org/officeDocument/2006/relationships/hyperlink" Target="https://pmc.ncbi.nlm.nih.gov/articles/PMC11404635/?utm_source=chatgpt.com" TargetMode="External"/><Relationship Id="rId27" Type="http://schemas.openxmlformats.org/officeDocument/2006/relationships/hyperlink" Target="https://www.england.nhs.uk/long-read/progress-report-delivering-a-greener-nhs-five-years-on/?utm_source=chatgpt.com" TargetMode="External"/><Relationship Id="rId30" Type="http://schemas.openxmlformats.org/officeDocument/2006/relationships/hyperlink" Target="https://doi.org/10.1371/journal.pmed.1004177?utm_source=chatgpt.com" TargetMode="External"/><Relationship Id="rId35" Type="http://schemas.openxmlformats.org/officeDocument/2006/relationships/hyperlink" Target="https://unfccc.int/documents/659544?utm_source=chatgpt.com" TargetMode="External"/><Relationship Id="rId43" Type="http://schemas.openxmlformats.org/officeDocument/2006/relationships/footer" Target="footer1.xml"/><Relationship Id="rId8" Type="http://schemas.openxmlformats.org/officeDocument/2006/relationships/hyperlink" Target="https://doi.org/10.1177/1090198104263660?utm_source=chatgpt.com" TargetMode="External"/><Relationship Id="rId3" Type="http://schemas.openxmlformats.org/officeDocument/2006/relationships/styles" Target="styles.xml"/><Relationship Id="rId12" Type="http://schemas.openxmlformats.org/officeDocument/2006/relationships/hyperlink" Target="https://doi.org/10.1136/jech-2022-219654?utm_source=chatgpt.com" TargetMode="External"/><Relationship Id="rId17" Type="http://schemas.openxmlformats.org/officeDocument/2006/relationships/hyperlink" Target="https://www.health.org.uk/reports-and-analysis/analysis/investing-in-the-public-health-grant?utm_source=chatgpt.com" TargetMode="External"/><Relationship Id="rId25" Type="http://schemas.openxmlformats.org/officeDocument/2006/relationships/hyperlink" Target="https://doi.org/10.1186/1748-5908-6-42?utm_source=chatgpt.com" TargetMode="External"/><Relationship Id="rId33" Type="http://schemas.openxmlformats.org/officeDocument/2006/relationships/hyperlink" Target="https://doi.org/10.1016/S2542-5196(20)30271-0?utm_source=chatgpt.com" TargetMode="External"/><Relationship Id="rId38" Type="http://schemas.openxmlformats.org/officeDocument/2006/relationships/hyperlink" Target="https://www.unep.org/en/publications/report/emissions-gap-report-2025?utm_source=chatgpt.com" TargetMode="External"/><Relationship Id="rId20" Type="http://schemas.openxmlformats.org/officeDocument/2006/relationships/hyperlink" Target="https://doi.org/10.1007/s10640-023-00794-2?utm_source=chatgpt.com" TargetMode="External"/><Relationship Id="rId41" Type="http://schemas.openxmlformats.org/officeDocument/2006/relationships/hyperlink" Target="https://www.who.int/news/item/03-11-2025-who-issues-guidance-to-address-drastic-global-health-financing-cut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5C61B-2643-40A5-96C5-E03D3E96D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6441</TotalTime>
  <Pages>14</Pages>
  <Words>4319</Words>
  <Characters>24620</Characters>
  <Application>Microsoft Office Word</Application>
  <DocSecurity>0</DocSecurity>
  <Lines>205</Lines>
  <Paragraphs>57</Paragraphs>
  <ScaleCrop>false</ScaleCrop>
  <Company/>
  <LinksUpToDate>false</LinksUpToDate>
  <CharactersWithSpaces>28882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Thara Bi</cp:lastModifiedBy>
  <cp:revision>87</cp:revision>
  <dcterms:created xsi:type="dcterms:W3CDTF">2026-10-22T07:24:00Z</dcterms:created>
  <dcterms:modified xsi:type="dcterms:W3CDTF">2026-10-26T19:57:00Z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23489089ba9e8ad82810e23458d84e1b1c81936717446f7db85c3eee4ba5ebda</vt:lpwstr>
  </property>
</Properties>
</file>