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0AF558" w14:textId="77777777" w:rsidR="00E0296C" w:rsidRDefault="00E0296C" w:rsidP="002D18D5">
      <w:pPr>
        <w:rPr>
          <w:b/>
          <w:bCs/>
        </w:rPr>
      </w:pPr>
    </w:p>
    <w:p w14:paraId="1E3F3DBB" w14:textId="77777777" w:rsidR="00E0296C" w:rsidRDefault="00E0296C" w:rsidP="002D18D5">
      <w:pPr>
        <w:rPr>
          <w:b/>
          <w:bCs/>
        </w:rPr>
      </w:pPr>
    </w:p>
    <w:p w14:paraId="66DF75F8" w14:textId="77777777" w:rsidR="00D2377F" w:rsidRPr="00883980" w:rsidRDefault="00D2377F" w:rsidP="00D2377F">
      <w:pPr>
        <w:spacing w:line="276" w:lineRule="auto"/>
        <w:rPr>
          <w:rFonts w:cstheme="minorHAnsi"/>
          <w:b/>
          <w:bCs/>
          <w:color w:val="000000" w:themeColor="text1"/>
          <w:lang w:val="en-IN"/>
        </w:rPr>
      </w:pPr>
      <w:r>
        <w:rPr>
          <w:rFonts w:cstheme="minorHAnsi"/>
          <w:b/>
          <w:bCs/>
          <w:noProof/>
          <w:color w:val="000000" w:themeColor="text1"/>
          <w:lang w:val="en-IN"/>
        </w:rPr>
        <w:drawing>
          <wp:inline distT="0" distB="0" distL="0" distR="0" wp14:anchorId="131CDCAD" wp14:editId="554A9025">
            <wp:extent cx="5943600" cy="2480310"/>
            <wp:effectExtent l="76200" t="152400" r="76200" b="167640"/>
            <wp:docPr id="51568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68265" name="Picture 51568265"/>
                    <pic:cNvPicPr/>
                  </pic:nvPicPr>
                  <pic:blipFill>
                    <a:blip r:embed="rId6">
                      <a:extLst>
                        <a:ext uri="{28A0092B-C50C-407E-A947-70E740481C1C}">
                          <a14:useLocalDpi xmlns:a14="http://schemas.microsoft.com/office/drawing/2010/main" val="0"/>
                        </a:ext>
                      </a:extLst>
                    </a:blip>
                    <a:stretch>
                      <a:fillRect/>
                    </a:stretch>
                  </pic:blipFill>
                  <pic:spPr>
                    <a:xfrm>
                      <a:off x="0" y="0"/>
                      <a:ext cx="5943600" cy="2480310"/>
                    </a:xfrm>
                    <a:prstGeom prst="rect">
                      <a:avLst/>
                    </a:prstGeom>
                  </pic:spPr>
                </pic:pic>
              </a:graphicData>
            </a:graphic>
          </wp:inline>
        </w:drawing>
      </w:r>
    </w:p>
    <w:p w14:paraId="25BD8AEE" w14:textId="77777777" w:rsidR="00D2377F" w:rsidRPr="007B47AD" w:rsidRDefault="00D2377F" w:rsidP="00D2377F">
      <w:pPr>
        <w:spacing w:line="276" w:lineRule="auto"/>
        <w:rPr>
          <w:rFonts w:cstheme="minorHAnsi"/>
          <w:b/>
          <w:bCs/>
          <w:color w:val="000000" w:themeColor="text1"/>
          <w:sz w:val="32"/>
          <w:szCs w:val="32"/>
          <w:lang w:val="en-IN"/>
        </w:rPr>
      </w:pPr>
      <w:r w:rsidRPr="007B47AD">
        <w:rPr>
          <w:rFonts w:cstheme="minorHAnsi"/>
          <w:b/>
          <w:bCs/>
          <w:color w:val="000000" w:themeColor="text1"/>
          <w:sz w:val="32"/>
          <w:szCs w:val="32"/>
          <w:lang w:val="en-IN"/>
        </w:rPr>
        <w:t xml:space="preserve">Name: </w:t>
      </w:r>
      <w:proofErr w:type="spellStart"/>
      <w:r w:rsidRPr="007B47AD">
        <w:rPr>
          <w:rFonts w:cstheme="minorHAnsi"/>
          <w:color w:val="000000" w:themeColor="text1"/>
          <w:sz w:val="32"/>
          <w:szCs w:val="32"/>
          <w:lang w:val="en-IN"/>
        </w:rPr>
        <w:t>Panktibahen</w:t>
      </w:r>
      <w:proofErr w:type="spellEnd"/>
      <w:r w:rsidRPr="007B47AD">
        <w:rPr>
          <w:rFonts w:cstheme="minorHAnsi"/>
          <w:color w:val="000000" w:themeColor="text1"/>
          <w:sz w:val="32"/>
          <w:szCs w:val="32"/>
          <w:lang w:val="en-IN"/>
        </w:rPr>
        <w:t xml:space="preserve"> </w:t>
      </w:r>
      <w:proofErr w:type="spellStart"/>
      <w:r w:rsidRPr="007B47AD">
        <w:rPr>
          <w:rFonts w:cstheme="minorHAnsi"/>
          <w:color w:val="000000" w:themeColor="text1"/>
          <w:sz w:val="32"/>
          <w:szCs w:val="32"/>
          <w:lang w:val="en-IN"/>
        </w:rPr>
        <w:t>Mihirkumar</w:t>
      </w:r>
      <w:proofErr w:type="spellEnd"/>
      <w:r w:rsidRPr="007B47AD">
        <w:rPr>
          <w:rFonts w:cstheme="minorHAnsi"/>
          <w:color w:val="000000" w:themeColor="text1"/>
          <w:sz w:val="32"/>
          <w:szCs w:val="32"/>
          <w:lang w:val="en-IN"/>
        </w:rPr>
        <w:t xml:space="preserve"> Chaudhari</w:t>
      </w:r>
    </w:p>
    <w:p w14:paraId="73878C26" w14:textId="77777777" w:rsidR="00D2377F" w:rsidRPr="007B47AD" w:rsidRDefault="00D2377F" w:rsidP="00D2377F">
      <w:pPr>
        <w:spacing w:line="276" w:lineRule="auto"/>
        <w:rPr>
          <w:rFonts w:cstheme="minorHAnsi"/>
          <w:b/>
          <w:bCs/>
          <w:color w:val="000000" w:themeColor="text1"/>
          <w:sz w:val="32"/>
          <w:szCs w:val="32"/>
          <w:lang w:val="en-IN"/>
        </w:rPr>
      </w:pPr>
      <w:r w:rsidRPr="007B47AD">
        <w:rPr>
          <w:rFonts w:cstheme="minorHAnsi"/>
          <w:b/>
          <w:bCs/>
          <w:color w:val="000000" w:themeColor="text1"/>
          <w:sz w:val="32"/>
          <w:szCs w:val="32"/>
          <w:lang w:val="en-IN"/>
        </w:rPr>
        <w:t xml:space="preserve">Student </w:t>
      </w:r>
      <w:r>
        <w:rPr>
          <w:rFonts w:cstheme="minorHAnsi"/>
          <w:b/>
          <w:bCs/>
          <w:color w:val="000000" w:themeColor="text1"/>
          <w:sz w:val="32"/>
          <w:szCs w:val="32"/>
          <w:lang w:val="en-IN"/>
        </w:rPr>
        <w:t>ID</w:t>
      </w:r>
      <w:r w:rsidRPr="007B47AD">
        <w:rPr>
          <w:rFonts w:cstheme="minorHAnsi"/>
          <w:b/>
          <w:bCs/>
          <w:color w:val="000000" w:themeColor="text1"/>
          <w:sz w:val="32"/>
          <w:szCs w:val="32"/>
          <w:lang w:val="en-IN"/>
        </w:rPr>
        <w:t xml:space="preserve">: </w:t>
      </w:r>
      <w:r w:rsidRPr="007B47AD">
        <w:rPr>
          <w:rFonts w:cstheme="minorHAnsi"/>
          <w:color w:val="000000" w:themeColor="text1"/>
          <w:sz w:val="32"/>
          <w:szCs w:val="32"/>
          <w:lang w:val="en-IN"/>
        </w:rPr>
        <w:t>2504333</w:t>
      </w:r>
    </w:p>
    <w:p w14:paraId="321876C8" w14:textId="75A7F268" w:rsidR="00D2377F" w:rsidRPr="007B47AD" w:rsidRDefault="00D2377F" w:rsidP="00D2377F">
      <w:pPr>
        <w:spacing w:line="276" w:lineRule="auto"/>
        <w:rPr>
          <w:rFonts w:cstheme="minorHAnsi"/>
          <w:b/>
          <w:bCs/>
          <w:color w:val="000000" w:themeColor="text1"/>
          <w:sz w:val="32"/>
          <w:szCs w:val="32"/>
          <w:lang w:val="en-IN"/>
        </w:rPr>
      </w:pPr>
      <w:r w:rsidRPr="007B47AD">
        <w:rPr>
          <w:rFonts w:cstheme="minorHAnsi"/>
          <w:b/>
          <w:bCs/>
          <w:color w:val="000000" w:themeColor="text1"/>
          <w:sz w:val="32"/>
          <w:szCs w:val="32"/>
          <w:lang w:val="en-IN"/>
        </w:rPr>
        <w:t xml:space="preserve">Supervisor: </w:t>
      </w:r>
      <w:r w:rsidRPr="007B47AD">
        <w:rPr>
          <w:rFonts w:cstheme="minorHAnsi"/>
          <w:color w:val="000000" w:themeColor="text1"/>
          <w:sz w:val="32"/>
          <w:szCs w:val="32"/>
          <w:lang w:val="en-IN"/>
        </w:rPr>
        <w:t>D</w:t>
      </w:r>
      <w:r>
        <w:rPr>
          <w:rFonts w:cstheme="minorHAnsi"/>
          <w:color w:val="000000" w:themeColor="text1"/>
          <w:sz w:val="32"/>
          <w:szCs w:val="32"/>
          <w:lang w:val="en-IN"/>
        </w:rPr>
        <w:t>r. Caroline Jawad</w:t>
      </w:r>
    </w:p>
    <w:p w14:paraId="6F919C90" w14:textId="1A861653" w:rsidR="00D2377F" w:rsidRPr="007B47AD" w:rsidRDefault="00D2377F" w:rsidP="00D2377F">
      <w:pPr>
        <w:spacing w:line="276" w:lineRule="auto"/>
        <w:rPr>
          <w:rFonts w:cstheme="minorHAnsi"/>
          <w:color w:val="000000" w:themeColor="text1"/>
          <w:sz w:val="32"/>
          <w:szCs w:val="32"/>
          <w:lang w:val="en-IN"/>
        </w:rPr>
      </w:pPr>
      <w:r w:rsidRPr="007B47AD">
        <w:rPr>
          <w:rFonts w:cstheme="minorHAnsi"/>
          <w:b/>
          <w:bCs/>
          <w:color w:val="000000" w:themeColor="text1"/>
          <w:sz w:val="32"/>
          <w:szCs w:val="32"/>
          <w:lang w:val="en-IN"/>
        </w:rPr>
        <w:t xml:space="preserve">Course Name: </w:t>
      </w:r>
      <w:r w:rsidRPr="007B47AD">
        <w:rPr>
          <w:rFonts w:cstheme="minorHAnsi"/>
          <w:color w:val="000000" w:themeColor="text1"/>
          <w:sz w:val="32"/>
          <w:szCs w:val="32"/>
          <w:lang w:val="en-IN"/>
        </w:rPr>
        <w:t>Doctor of Business Administration (DBA)</w:t>
      </w:r>
    </w:p>
    <w:p w14:paraId="40302C36" w14:textId="77172DB2" w:rsidR="00D2377F" w:rsidRPr="007B47AD" w:rsidRDefault="00D2377F" w:rsidP="00D2377F">
      <w:pPr>
        <w:rPr>
          <w:b/>
          <w:bCs/>
          <w:sz w:val="32"/>
          <w:szCs w:val="32"/>
        </w:rPr>
      </w:pPr>
      <w:r>
        <w:rPr>
          <w:rFonts w:cstheme="minorHAnsi"/>
          <w:b/>
          <w:bCs/>
          <w:color w:val="000000" w:themeColor="text1"/>
          <w:sz w:val="32"/>
          <w:szCs w:val="32"/>
          <w:lang w:val="en-IN"/>
        </w:rPr>
        <w:t>Subject</w:t>
      </w:r>
      <w:r w:rsidRPr="007B47AD">
        <w:rPr>
          <w:rFonts w:cstheme="minorHAnsi"/>
          <w:b/>
          <w:bCs/>
          <w:color w:val="000000" w:themeColor="text1"/>
          <w:sz w:val="32"/>
          <w:szCs w:val="32"/>
          <w:lang w:val="en-IN"/>
        </w:rPr>
        <w:t xml:space="preserve">: </w:t>
      </w:r>
      <w:r w:rsidR="001512CA">
        <w:rPr>
          <w:rFonts w:cstheme="minorHAnsi"/>
          <w:color w:val="000000" w:themeColor="text1"/>
          <w:sz w:val="32"/>
          <w:szCs w:val="32"/>
          <w:lang w:val="en-IN"/>
        </w:rPr>
        <w:t xml:space="preserve">Advancing to the Doctoral </w:t>
      </w:r>
      <w:proofErr w:type="spellStart"/>
      <w:r w:rsidR="00391470">
        <w:rPr>
          <w:rFonts w:cstheme="minorHAnsi"/>
          <w:color w:val="000000" w:themeColor="text1"/>
          <w:sz w:val="32"/>
          <w:szCs w:val="32"/>
          <w:lang w:val="en-IN"/>
        </w:rPr>
        <w:t>Reseach</w:t>
      </w:r>
      <w:proofErr w:type="spellEnd"/>
      <w:r w:rsidR="00391470">
        <w:rPr>
          <w:rFonts w:cstheme="minorHAnsi"/>
          <w:color w:val="000000" w:themeColor="text1"/>
          <w:sz w:val="32"/>
          <w:szCs w:val="32"/>
          <w:lang w:val="en-IN"/>
        </w:rPr>
        <w:t xml:space="preserve"> Stage</w:t>
      </w:r>
      <w:r w:rsidR="00072A1A">
        <w:rPr>
          <w:rFonts w:cstheme="minorHAnsi"/>
          <w:color w:val="000000" w:themeColor="text1"/>
          <w:sz w:val="32"/>
          <w:szCs w:val="32"/>
          <w:lang w:val="en-IN"/>
        </w:rPr>
        <w:t xml:space="preserve"> </w:t>
      </w:r>
      <w:r w:rsidR="00391470">
        <w:rPr>
          <w:rFonts w:cstheme="minorHAnsi"/>
          <w:color w:val="000000" w:themeColor="text1"/>
          <w:sz w:val="32"/>
          <w:szCs w:val="32"/>
          <w:lang w:val="en-IN"/>
        </w:rPr>
        <w:t>(LCDB</w:t>
      </w:r>
      <w:r w:rsidR="00072A1A">
        <w:rPr>
          <w:rFonts w:cstheme="minorHAnsi"/>
          <w:color w:val="000000" w:themeColor="text1"/>
          <w:sz w:val="32"/>
          <w:szCs w:val="32"/>
          <w:lang w:val="en-IN"/>
        </w:rPr>
        <w:t>7012)</w:t>
      </w:r>
    </w:p>
    <w:p w14:paraId="7A85DFDA" w14:textId="77777777" w:rsidR="00E0296C" w:rsidRDefault="00E0296C" w:rsidP="002D18D5">
      <w:pPr>
        <w:rPr>
          <w:b/>
          <w:bCs/>
        </w:rPr>
      </w:pPr>
    </w:p>
    <w:p w14:paraId="2AA95E41" w14:textId="77777777" w:rsidR="00E0296C" w:rsidRDefault="00E0296C" w:rsidP="002D18D5">
      <w:pPr>
        <w:rPr>
          <w:b/>
          <w:bCs/>
        </w:rPr>
      </w:pPr>
    </w:p>
    <w:p w14:paraId="74580843" w14:textId="77777777" w:rsidR="00E0296C" w:rsidRDefault="00E0296C" w:rsidP="002D18D5">
      <w:pPr>
        <w:rPr>
          <w:b/>
          <w:bCs/>
        </w:rPr>
      </w:pPr>
    </w:p>
    <w:p w14:paraId="2D7B4AD0" w14:textId="77777777" w:rsidR="00E0296C" w:rsidRDefault="00E0296C" w:rsidP="002D18D5">
      <w:pPr>
        <w:rPr>
          <w:b/>
          <w:bCs/>
        </w:rPr>
      </w:pPr>
    </w:p>
    <w:p w14:paraId="72530297" w14:textId="77777777" w:rsidR="00E0296C" w:rsidRDefault="00E0296C" w:rsidP="002D18D5">
      <w:pPr>
        <w:rPr>
          <w:b/>
          <w:bCs/>
        </w:rPr>
      </w:pPr>
    </w:p>
    <w:p w14:paraId="48B5B568" w14:textId="77777777" w:rsidR="00E0296C" w:rsidRDefault="00E0296C" w:rsidP="002D18D5">
      <w:pPr>
        <w:rPr>
          <w:b/>
          <w:bCs/>
        </w:rPr>
      </w:pPr>
    </w:p>
    <w:p w14:paraId="7408A366" w14:textId="77777777" w:rsidR="00E0296C" w:rsidRDefault="00E0296C" w:rsidP="002D18D5">
      <w:pPr>
        <w:rPr>
          <w:b/>
          <w:bCs/>
        </w:rPr>
      </w:pPr>
    </w:p>
    <w:p w14:paraId="3CFC50A0" w14:textId="77777777" w:rsidR="00E0296C" w:rsidRDefault="00E0296C" w:rsidP="002D18D5">
      <w:pPr>
        <w:rPr>
          <w:b/>
          <w:bCs/>
        </w:rPr>
      </w:pPr>
    </w:p>
    <w:p w14:paraId="45438C9B" w14:textId="77777777" w:rsidR="00E0296C" w:rsidRDefault="00E0296C" w:rsidP="002D18D5">
      <w:pPr>
        <w:rPr>
          <w:b/>
          <w:bCs/>
        </w:rPr>
      </w:pPr>
    </w:p>
    <w:sdt>
      <w:sdtPr>
        <w:id w:val="1885444058"/>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062EDAE3" w14:textId="28B16309" w:rsidR="004F6C48" w:rsidRDefault="004F6C48">
          <w:pPr>
            <w:pStyle w:val="TOCHeading"/>
          </w:pPr>
          <w:r>
            <w:t>Contents</w:t>
          </w:r>
        </w:p>
        <w:p w14:paraId="236B6A82" w14:textId="0228AABA" w:rsidR="004F6C48" w:rsidRDefault="004F6C48">
          <w:pPr>
            <w:pStyle w:val="TOC1"/>
            <w:tabs>
              <w:tab w:val="right" w:leader="dot" w:pos="9350"/>
            </w:tabs>
            <w:rPr>
              <w:rFonts w:eastAsiaTheme="minorEastAsia"/>
              <w:noProof/>
              <w:lang w:bidi="gu-IN"/>
            </w:rPr>
          </w:pPr>
          <w:r>
            <w:fldChar w:fldCharType="begin"/>
          </w:r>
          <w:r>
            <w:instrText xml:space="preserve"> TOC \o "1-3" \h \z \u </w:instrText>
          </w:r>
          <w:r>
            <w:fldChar w:fldCharType="separate"/>
          </w:r>
          <w:hyperlink w:anchor="_Toc242267434" w:history="1">
            <w:r w:rsidRPr="0009670E">
              <w:rPr>
                <w:rStyle w:val="Hyperlink"/>
                <w:noProof/>
              </w:rPr>
              <w:t>Introduction</w:t>
            </w:r>
            <w:r>
              <w:rPr>
                <w:noProof/>
                <w:webHidden/>
              </w:rPr>
              <w:tab/>
            </w:r>
            <w:r>
              <w:rPr>
                <w:noProof/>
                <w:webHidden/>
              </w:rPr>
              <w:fldChar w:fldCharType="begin"/>
            </w:r>
            <w:r>
              <w:rPr>
                <w:noProof/>
                <w:webHidden/>
              </w:rPr>
              <w:instrText xml:space="preserve"> PAGEREF _Toc242267434 \h </w:instrText>
            </w:r>
            <w:r>
              <w:rPr>
                <w:noProof/>
                <w:webHidden/>
              </w:rPr>
            </w:r>
            <w:r>
              <w:rPr>
                <w:noProof/>
                <w:webHidden/>
              </w:rPr>
              <w:fldChar w:fldCharType="separate"/>
            </w:r>
            <w:r>
              <w:rPr>
                <w:noProof/>
                <w:webHidden/>
              </w:rPr>
              <w:t>3</w:t>
            </w:r>
            <w:r>
              <w:rPr>
                <w:noProof/>
                <w:webHidden/>
              </w:rPr>
              <w:fldChar w:fldCharType="end"/>
            </w:r>
          </w:hyperlink>
        </w:p>
        <w:p w14:paraId="6AE1D4D1" w14:textId="0927E067" w:rsidR="004F6C48" w:rsidRDefault="004F6C48">
          <w:pPr>
            <w:pStyle w:val="TOC1"/>
            <w:tabs>
              <w:tab w:val="right" w:leader="dot" w:pos="9350"/>
            </w:tabs>
            <w:rPr>
              <w:rFonts w:eastAsiaTheme="minorEastAsia"/>
              <w:noProof/>
              <w:lang w:bidi="gu-IN"/>
            </w:rPr>
          </w:pPr>
          <w:hyperlink w:anchor="_Toc242267435" w:history="1">
            <w:r w:rsidRPr="0009670E">
              <w:rPr>
                <w:rStyle w:val="Hyperlink"/>
                <w:noProof/>
              </w:rPr>
              <w:t>1. Who You Were When You Started</w:t>
            </w:r>
            <w:r>
              <w:rPr>
                <w:noProof/>
                <w:webHidden/>
              </w:rPr>
              <w:tab/>
            </w:r>
            <w:r>
              <w:rPr>
                <w:noProof/>
                <w:webHidden/>
              </w:rPr>
              <w:fldChar w:fldCharType="begin"/>
            </w:r>
            <w:r>
              <w:rPr>
                <w:noProof/>
                <w:webHidden/>
              </w:rPr>
              <w:instrText xml:space="preserve"> PAGEREF _Toc242267435 \h </w:instrText>
            </w:r>
            <w:r>
              <w:rPr>
                <w:noProof/>
                <w:webHidden/>
              </w:rPr>
            </w:r>
            <w:r>
              <w:rPr>
                <w:noProof/>
                <w:webHidden/>
              </w:rPr>
              <w:fldChar w:fldCharType="separate"/>
            </w:r>
            <w:r>
              <w:rPr>
                <w:noProof/>
                <w:webHidden/>
              </w:rPr>
              <w:t>3</w:t>
            </w:r>
            <w:r>
              <w:rPr>
                <w:noProof/>
                <w:webHidden/>
              </w:rPr>
              <w:fldChar w:fldCharType="end"/>
            </w:r>
          </w:hyperlink>
        </w:p>
        <w:p w14:paraId="74AE3CB9" w14:textId="63E2C8B0" w:rsidR="004F6C48" w:rsidRDefault="004F6C48">
          <w:pPr>
            <w:pStyle w:val="TOC1"/>
            <w:tabs>
              <w:tab w:val="right" w:leader="dot" w:pos="9350"/>
            </w:tabs>
            <w:rPr>
              <w:rFonts w:eastAsiaTheme="minorEastAsia"/>
              <w:noProof/>
              <w:lang w:bidi="gu-IN"/>
            </w:rPr>
          </w:pPr>
          <w:hyperlink w:anchor="_Toc242267436" w:history="1">
            <w:r w:rsidRPr="0009670E">
              <w:rPr>
                <w:rStyle w:val="Hyperlink"/>
                <w:noProof/>
              </w:rPr>
              <w:t>2. Your Relationship with Theory and Literature</w:t>
            </w:r>
            <w:r>
              <w:rPr>
                <w:noProof/>
                <w:webHidden/>
              </w:rPr>
              <w:tab/>
            </w:r>
            <w:r>
              <w:rPr>
                <w:noProof/>
                <w:webHidden/>
              </w:rPr>
              <w:fldChar w:fldCharType="begin"/>
            </w:r>
            <w:r>
              <w:rPr>
                <w:noProof/>
                <w:webHidden/>
              </w:rPr>
              <w:instrText xml:space="preserve"> PAGEREF _Toc242267436 \h </w:instrText>
            </w:r>
            <w:r>
              <w:rPr>
                <w:noProof/>
                <w:webHidden/>
              </w:rPr>
            </w:r>
            <w:r>
              <w:rPr>
                <w:noProof/>
                <w:webHidden/>
              </w:rPr>
              <w:fldChar w:fldCharType="separate"/>
            </w:r>
            <w:r>
              <w:rPr>
                <w:noProof/>
                <w:webHidden/>
              </w:rPr>
              <w:t>4</w:t>
            </w:r>
            <w:r>
              <w:rPr>
                <w:noProof/>
                <w:webHidden/>
              </w:rPr>
              <w:fldChar w:fldCharType="end"/>
            </w:r>
          </w:hyperlink>
        </w:p>
        <w:p w14:paraId="5B5C8D80" w14:textId="5EEA91B4" w:rsidR="004F6C48" w:rsidRDefault="004F6C48">
          <w:pPr>
            <w:pStyle w:val="TOC1"/>
            <w:tabs>
              <w:tab w:val="right" w:leader="dot" w:pos="9350"/>
            </w:tabs>
            <w:rPr>
              <w:rFonts w:eastAsiaTheme="minorEastAsia"/>
              <w:noProof/>
              <w:lang w:bidi="gu-IN"/>
            </w:rPr>
          </w:pPr>
          <w:hyperlink w:anchor="_Toc242267437" w:history="1">
            <w:r w:rsidRPr="0009670E">
              <w:rPr>
                <w:rStyle w:val="Hyperlink"/>
                <w:noProof/>
              </w:rPr>
              <w:t>3. The Evolution of Your Research Focus</w:t>
            </w:r>
            <w:r>
              <w:rPr>
                <w:noProof/>
                <w:webHidden/>
              </w:rPr>
              <w:tab/>
            </w:r>
            <w:r>
              <w:rPr>
                <w:noProof/>
                <w:webHidden/>
              </w:rPr>
              <w:fldChar w:fldCharType="begin"/>
            </w:r>
            <w:r>
              <w:rPr>
                <w:noProof/>
                <w:webHidden/>
              </w:rPr>
              <w:instrText xml:space="preserve"> PAGEREF _Toc242267437 \h </w:instrText>
            </w:r>
            <w:r>
              <w:rPr>
                <w:noProof/>
                <w:webHidden/>
              </w:rPr>
            </w:r>
            <w:r>
              <w:rPr>
                <w:noProof/>
                <w:webHidden/>
              </w:rPr>
              <w:fldChar w:fldCharType="separate"/>
            </w:r>
            <w:r>
              <w:rPr>
                <w:noProof/>
                <w:webHidden/>
              </w:rPr>
              <w:t>7</w:t>
            </w:r>
            <w:r>
              <w:rPr>
                <w:noProof/>
                <w:webHidden/>
              </w:rPr>
              <w:fldChar w:fldCharType="end"/>
            </w:r>
          </w:hyperlink>
        </w:p>
        <w:p w14:paraId="08AD50EE" w14:textId="45E4146A" w:rsidR="004F6C48" w:rsidRDefault="004F6C48">
          <w:pPr>
            <w:pStyle w:val="TOC1"/>
            <w:tabs>
              <w:tab w:val="right" w:leader="dot" w:pos="9350"/>
            </w:tabs>
            <w:rPr>
              <w:rFonts w:eastAsiaTheme="minorEastAsia"/>
              <w:noProof/>
              <w:lang w:bidi="gu-IN"/>
            </w:rPr>
          </w:pPr>
          <w:hyperlink w:anchor="_Toc242267438" w:history="1">
            <w:r w:rsidRPr="0009670E">
              <w:rPr>
                <w:rStyle w:val="Hyperlink"/>
                <w:noProof/>
              </w:rPr>
              <w:t>4. Positionality, Power and Research Relationships</w:t>
            </w:r>
            <w:r>
              <w:rPr>
                <w:noProof/>
                <w:webHidden/>
              </w:rPr>
              <w:tab/>
            </w:r>
            <w:r>
              <w:rPr>
                <w:noProof/>
                <w:webHidden/>
              </w:rPr>
              <w:fldChar w:fldCharType="begin"/>
            </w:r>
            <w:r>
              <w:rPr>
                <w:noProof/>
                <w:webHidden/>
              </w:rPr>
              <w:instrText xml:space="preserve"> PAGEREF _Toc242267438 \h </w:instrText>
            </w:r>
            <w:r>
              <w:rPr>
                <w:noProof/>
                <w:webHidden/>
              </w:rPr>
            </w:r>
            <w:r>
              <w:rPr>
                <w:noProof/>
                <w:webHidden/>
              </w:rPr>
              <w:fldChar w:fldCharType="separate"/>
            </w:r>
            <w:r>
              <w:rPr>
                <w:noProof/>
                <w:webHidden/>
              </w:rPr>
              <w:t>9</w:t>
            </w:r>
            <w:r>
              <w:rPr>
                <w:noProof/>
                <w:webHidden/>
              </w:rPr>
              <w:fldChar w:fldCharType="end"/>
            </w:r>
          </w:hyperlink>
        </w:p>
        <w:p w14:paraId="7C065D60" w14:textId="6624F531" w:rsidR="004F6C48" w:rsidRDefault="004F6C48">
          <w:pPr>
            <w:pStyle w:val="TOC1"/>
            <w:tabs>
              <w:tab w:val="right" w:leader="dot" w:pos="9350"/>
            </w:tabs>
            <w:rPr>
              <w:rFonts w:eastAsiaTheme="minorEastAsia"/>
              <w:noProof/>
              <w:lang w:bidi="gu-IN"/>
            </w:rPr>
          </w:pPr>
          <w:hyperlink w:anchor="_Toc242267439" w:history="1">
            <w:r w:rsidRPr="0009670E">
              <w:rPr>
                <w:rStyle w:val="Hyperlink"/>
                <w:noProof/>
              </w:rPr>
              <w:t>5. Ethical Tensions in Your Study</w:t>
            </w:r>
            <w:r>
              <w:rPr>
                <w:noProof/>
                <w:webHidden/>
              </w:rPr>
              <w:tab/>
            </w:r>
            <w:r>
              <w:rPr>
                <w:noProof/>
                <w:webHidden/>
              </w:rPr>
              <w:fldChar w:fldCharType="begin"/>
            </w:r>
            <w:r>
              <w:rPr>
                <w:noProof/>
                <w:webHidden/>
              </w:rPr>
              <w:instrText xml:space="preserve"> PAGEREF _Toc242267439 \h </w:instrText>
            </w:r>
            <w:r>
              <w:rPr>
                <w:noProof/>
                <w:webHidden/>
              </w:rPr>
            </w:r>
            <w:r>
              <w:rPr>
                <w:noProof/>
                <w:webHidden/>
              </w:rPr>
              <w:fldChar w:fldCharType="separate"/>
            </w:r>
            <w:r>
              <w:rPr>
                <w:noProof/>
                <w:webHidden/>
              </w:rPr>
              <w:t>10</w:t>
            </w:r>
            <w:r>
              <w:rPr>
                <w:noProof/>
                <w:webHidden/>
              </w:rPr>
              <w:fldChar w:fldCharType="end"/>
            </w:r>
          </w:hyperlink>
        </w:p>
        <w:p w14:paraId="1B391E71" w14:textId="3D15D0A8" w:rsidR="004F6C48" w:rsidRDefault="004F6C48">
          <w:pPr>
            <w:pStyle w:val="TOC1"/>
            <w:tabs>
              <w:tab w:val="right" w:leader="dot" w:pos="9350"/>
            </w:tabs>
            <w:rPr>
              <w:rFonts w:eastAsiaTheme="minorEastAsia"/>
              <w:noProof/>
              <w:lang w:bidi="gu-IN"/>
            </w:rPr>
          </w:pPr>
          <w:hyperlink w:anchor="_Toc242267440" w:history="1">
            <w:r w:rsidRPr="0009670E">
              <w:rPr>
                <w:rStyle w:val="Hyperlink"/>
                <w:noProof/>
              </w:rPr>
              <w:t>6. You as a Developing Researcher</w:t>
            </w:r>
            <w:r>
              <w:rPr>
                <w:noProof/>
                <w:webHidden/>
              </w:rPr>
              <w:tab/>
            </w:r>
            <w:r>
              <w:rPr>
                <w:noProof/>
                <w:webHidden/>
              </w:rPr>
              <w:fldChar w:fldCharType="begin"/>
            </w:r>
            <w:r>
              <w:rPr>
                <w:noProof/>
                <w:webHidden/>
              </w:rPr>
              <w:instrText xml:space="preserve"> PAGEREF _Toc242267440 \h </w:instrText>
            </w:r>
            <w:r>
              <w:rPr>
                <w:noProof/>
                <w:webHidden/>
              </w:rPr>
            </w:r>
            <w:r>
              <w:rPr>
                <w:noProof/>
                <w:webHidden/>
              </w:rPr>
              <w:fldChar w:fldCharType="separate"/>
            </w:r>
            <w:r>
              <w:rPr>
                <w:noProof/>
                <w:webHidden/>
              </w:rPr>
              <w:t>12</w:t>
            </w:r>
            <w:r>
              <w:rPr>
                <w:noProof/>
                <w:webHidden/>
              </w:rPr>
              <w:fldChar w:fldCharType="end"/>
            </w:r>
          </w:hyperlink>
        </w:p>
        <w:p w14:paraId="7951A48C" w14:textId="5D8CFAF1" w:rsidR="004F6C48" w:rsidRDefault="004F6C48">
          <w:pPr>
            <w:pStyle w:val="TOC1"/>
            <w:tabs>
              <w:tab w:val="right" w:leader="dot" w:pos="9350"/>
            </w:tabs>
            <w:rPr>
              <w:rFonts w:eastAsiaTheme="minorEastAsia"/>
              <w:noProof/>
              <w:lang w:bidi="gu-IN"/>
            </w:rPr>
          </w:pPr>
          <w:hyperlink w:anchor="_Toc242267441" w:history="1">
            <w:r w:rsidRPr="0009670E">
              <w:rPr>
                <w:rStyle w:val="Hyperlink"/>
                <w:noProof/>
              </w:rPr>
              <w:t>References</w:t>
            </w:r>
            <w:r>
              <w:rPr>
                <w:noProof/>
                <w:webHidden/>
              </w:rPr>
              <w:tab/>
            </w:r>
            <w:r>
              <w:rPr>
                <w:noProof/>
                <w:webHidden/>
              </w:rPr>
              <w:fldChar w:fldCharType="begin"/>
            </w:r>
            <w:r>
              <w:rPr>
                <w:noProof/>
                <w:webHidden/>
              </w:rPr>
              <w:instrText xml:space="preserve"> PAGEREF _Toc242267441 \h </w:instrText>
            </w:r>
            <w:r>
              <w:rPr>
                <w:noProof/>
                <w:webHidden/>
              </w:rPr>
            </w:r>
            <w:r>
              <w:rPr>
                <w:noProof/>
                <w:webHidden/>
              </w:rPr>
              <w:fldChar w:fldCharType="separate"/>
            </w:r>
            <w:r>
              <w:rPr>
                <w:noProof/>
                <w:webHidden/>
              </w:rPr>
              <w:t>13</w:t>
            </w:r>
            <w:r>
              <w:rPr>
                <w:noProof/>
                <w:webHidden/>
              </w:rPr>
              <w:fldChar w:fldCharType="end"/>
            </w:r>
          </w:hyperlink>
        </w:p>
        <w:p w14:paraId="4E8FE3DF" w14:textId="4C228459" w:rsidR="004F6C48" w:rsidRDefault="004F6C48">
          <w:r>
            <w:rPr>
              <w:b/>
              <w:bCs/>
              <w:noProof/>
            </w:rPr>
            <w:fldChar w:fldCharType="end"/>
          </w:r>
        </w:p>
      </w:sdtContent>
    </w:sdt>
    <w:p w14:paraId="6D2C50F7" w14:textId="77777777" w:rsidR="00E0296C" w:rsidRDefault="00E0296C" w:rsidP="002D18D5">
      <w:pPr>
        <w:rPr>
          <w:b/>
          <w:bCs/>
        </w:rPr>
      </w:pPr>
    </w:p>
    <w:p w14:paraId="07D0C7C4" w14:textId="77777777" w:rsidR="00E0296C" w:rsidRDefault="00E0296C" w:rsidP="002D18D5">
      <w:pPr>
        <w:rPr>
          <w:b/>
          <w:bCs/>
        </w:rPr>
      </w:pPr>
    </w:p>
    <w:p w14:paraId="750723FF" w14:textId="77777777" w:rsidR="00E0296C" w:rsidRDefault="00E0296C" w:rsidP="002D18D5">
      <w:pPr>
        <w:rPr>
          <w:b/>
          <w:bCs/>
        </w:rPr>
      </w:pPr>
    </w:p>
    <w:p w14:paraId="578E4D45" w14:textId="77777777" w:rsidR="00E0296C" w:rsidRDefault="00E0296C" w:rsidP="002D18D5">
      <w:pPr>
        <w:rPr>
          <w:b/>
          <w:bCs/>
        </w:rPr>
      </w:pPr>
    </w:p>
    <w:p w14:paraId="26A2802F" w14:textId="77777777" w:rsidR="00E0296C" w:rsidRDefault="00E0296C" w:rsidP="002D18D5">
      <w:pPr>
        <w:rPr>
          <w:b/>
          <w:bCs/>
        </w:rPr>
      </w:pPr>
    </w:p>
    <w:p w14:paraId="31EB271B" w14:textId="77777777" w:rsidR="00E0296C" w:rsidRDefault="00E0296C" w:rsidP="002D18D5">
      <w:pPr>
        <w:rPr>
          <w:b/>
          <w:bCs/>
        </w:rPr>
      </w:pPr>
    </w:p>
    <w:p w14:paraId="538FE254" w14:textId="77777777" w:rsidR="00054235" w:rsidRDefault="00054235" w:rsidP="002D18D5">
      <w:pPr>
        <w:rPr>
          <w:b/>
          <w:bCs/>
        </w:rPr>
      </w:pPr>
    </w:p>
    <w:p w14:paraId="2F93ADA2" w14:textId="77777777" w:rsidR="00054235" w:rsidRDefault="00054235" w:rsidP="002D18D5">
      <w:pPr>
        <w:rPr>
          <w:b/>
          <w:bCs/>
        </w:rPr>
      </w:pPr>
    </w:p>
    <w:p w14:paraId="6D5520E3" w14:textId="77777777" w:rsidR="00054235" w:rsidRDefault="00054235" w:rsidP="002D18D5">
      <w:pPr>
        <w:rPr>
          <w:b/>
          <w:bCs/>
        </w:rPr>
      </w:pPr>
    </w:p>
    <w:p w14:paraId="039724E9" w14:textId="77777777" w:rsidR="00054235" w:rsidRDefault="00054235" w:rsidP="002D18D5">
      <w:pPr>
        <w:rPr>
          <w:b/>
          <w:bCs/>
        </w:rPr>
      </w:pPr>
    </w:p>
    <w:p w14:paraId="4FCC2409" w14:textId="77777777" w:rsidR="00054235" w:rsidRDefault="00054235" w:rsidP="002D18D5">
      <w:pPr>
        <w:rPr>
          <w:b/>
          <w:bCs/>
        </w:rPr>
      </w:pPr>
    </w:p>
    <w:p w14:paraId="47E96957" w14:textId="77777777" w:rsidR="00054235" w:rsidRDefault="00054235" w:rsidP="002D18D5">
      <w:pPr>
        <w:rPr>
          <w:b/>
          <w:bCs/>
        </w:rPr>
      </w:pPr>
    </w:p>
    <w:p w14:paraId="6A0E59F2" w14:textId="77777777" w:rsidR="00054235" w:rsidRDefault="00054235" w:rsidP="002D18D5">
      <w:pPr>
        <w:rPr>
          <w:b/>
          <w:bCs/>
        </w:rPr>
      </w:pPr>
    </w:p>
    <w:p w14:paraId="101924CC" w14:textId="77777777" w:rsidR="00054235" w:rsidRDefault="00054235" w:rsidP="002D18D5">
      <w:pPr>
        <w:rPr>
          <w:b/>
          <w:bCs/>
        </w:rPr>
      </w:pPr>
    </w:p>
    <w:p w14:paraId="77648A66" w14:textId="77777777" w:rsidR="00054235" w:rsidRDefault="00054235" w:rsidP="002D18D5">
      <w:pPr>
        <w:rPr>
          <w:b/>
          <w:bCs/>
        </w:rPr>
      </w:pPr>
    </w:p>
    <w:p w14:paraId="157E4F4B" w14:textId="77777777" w:rsidR="00054235" w:rsidRDefault="00054235" w:rsidP="002D18D5">
      <w:pPr>
        <w:rPr>
          <w:b/>
          <w:bCs/>
        </w:rPr>
      </w:pPr>
    </w:p>
    <w:p w14:paraId="4C46238A" w14:textId="4B4D5B69" w:rsidR="002D18D5" w:rsidRPr="002D18D5" w:rsidRDefault="002D18D5" w:rsidP="002D18D5">
      <w:bookmarkStart w:id="0" w:name="_Toc242267434"/>
      <w:r w:rsidRPr="00054235">
        <w:rPr>
          <w:rStyle w:val="Heading1Char"/>
        </w:rPr>
        <w:lastRenderedPageBreak/>
        <w:t>Introduction</w:t>
      </w:r>
      <w:bookmarkEnd w:id="0"/>
      <w:r w:rsidRPr="00054235">
        <w:rPr>
          <w:rStyle w:val="Heading1Char"/>
        </w:rPr>
        <w:br/>
      </w:r>
      <w:r w:rsidRPr="002D18D5">
        <w:br/>
        <w:t xml:space="preserve">My doctoral research journey has changed not only how I understand research but also how I see myself as a researcher. When I started my DBA, I was more comfortable with numerical data, statistics and measurable evidence. I </w:t>
      </w:r>
      <w:proofErr w:type="gramStart"/>
      <w:r w:rsidRPr="002D18D5">
        <w:t>believed</w:t>
      </w:r>
      <w:proofErr w:type="gramEnd"/>
      <w:r w:rsidRPr="002D18D5">
        <w:t xml:space="preserve"> that good research should produce clear answers that could be supported by data. Through Part 1, my pilot study and engagement with research philosophy, I have learned that research also involves questioning my own assumptions, understanding participants within their social context and </w:t>
      </w:r>
      <w:proofErr w:type="spellStart"/>
      <w:r w:rsidRPr="002D18D5">
        <w:t>recognising</w:t>
      </w:r>
      <w:proofErr w:type="spellEnd"/>
      <w:r w:rsidRPr="002D18D5">
        <w:t xml:space="preserve"> my influence on the research process. This portfolio reflects critically on that development. Rather than presenting an ideal version of what I might do, I use moments from my six pilot interviews to show where my thinking changed, where tensions remain and what I now need to do differently as I progress into the next stage </w:t>
      </w:r>
      <w:proofErr w:type="gramStart"/>
      <w:r w:rsidRPr="002D18D5">
        <w:t xml:space="preserve">of </w:t>
      </w:r>
      <w:r w:rsidR="00CB679D">
        <w:t xml:space="preserve"> </w:t>
      </w:r>
      <w:r w:rsidRPr="002D18D5">
        <w:t>my</w:t>
      </w:r>
      <w:proofErr w:type="gramEnd"/>
      <w:r w:rsidRPr="002D18D5">
        <w:t xml:space="preserve"> doctoral research.</w:t>
      </w:r>
    </w:p>
    <w:p w14:paraId="39CE3049" w14:textId="77777777" w:rsidR="002D18D5" w:rsidRPr="002D18D5" w:rsidRDefault="002D18D5" w:rsidP="00054235">
      <w:pPr>
        <w:pStyle w:val="Heading1"/>
      </w:pPr>
      <w:bookmarkStart w:id="1" w:name="_Toc242267435"/>
      <w:r w:rsidRPr="002D18D5">
        <w:t>1. Who You Were When You Started</w:t>
      </w:r>
      <w:bookmarkEnd w:id="1"/>
    </w:p>
    <w:p w14:paraId="361F417A" w14:textId="77777777" w:rsidR="002D18D5" w:rsidRPr="002D18D5" w:rsidRDefault="002D18D5" w:rsidP="002D18D5">
      <w:r w:rsidRPr="002D18D5">
        <w:t xml:space="preserve">When I started my DBA, I believed that research was mainly about collecting reliable information, </w:t>
      </w:r>
      <w:proofErr w:type="spellStart"/>
      <w:r w:rsidRPr="002D18D5">
        <w:t>analysing</w:t>
      </w:r>
      <w:proofErr w:type="spellEnd"/>
      <w:r w:rsidRPr="002D18D5">
        <w:t xml:space="preserve"> it carefully and producing findings that could answer a research question. I was particularly comfortable with numerical data, statistics and measurable evidence. I can now identify where this preference came from. My MSc in Physics trained me to value measurement, numerical accuracy, structured analysis and evidence that could be checked. In that disciplinary environment, numbers often appeared to offer a clear route from observation to conclusion. This background did not make me a positivist automatically, but it influenced what I initially regarded as strong evidence.</w:t>
      </w:r>
    </w:p>
    <w:p w14:paraId="681FC0CE" w14:textId="77777777" w:rsidR="002D18D5" w:rsidRPr="002D18D5" w:rsidRDefault="002D18D5" w:rsidP="002D18D5">
      <w:r w:rsidRPr="002D18D5">
        <w:t xml:space="preserve">My early thinking therefore had similarities with positivist assumptions, particularly the idea that a researcher can investigate a problem systematically and identify patterns through observable evidence (Crotty, 1998). When I began thinking about QR code payment adoption, I was naturally drawn towards questions that could be measured: who used QR payments, how frequently they used them, and which factors increased or reduced adoption. TAM and UTAUT initially felt comfortable because they offered </w:t>
      </w:r>
      <w:proofErr w:type="spellStart"/>
      <w:r w:rsidRPr="002D18D5">
        <w:t>recognisable</w:t>
      </w:r>
      <w:proofErr w:type="spellEnd"/>
      <w:r w:rsidRPr="002D18D5">
        <w:t xml:space="preserve"> concepts such as usefulness, ease of use, social influence and facilitating conditions (Davis, 1989; Venkatesh et al., 2003).</w:t>
      </w:r>
    </w:p>
    <w:p w14:paraId="253496B9" w14:textId="77777777" w:rsidR="002D18D5" w:rsidRPr="002D18D5" w:rsidRDefault="002D18D5" w:rsidP="002D18D5">
      <w:r w:rsidRPr="002D18D5">
        <w:t xml:space="preserve">The pilot challenged this way of thinking. I had initially been tempted to interpret cash preference as evidence of lower digital confidence. However, the interviews showed me that this interpretation was too simple. One participant said that “cash feels 100% right”, while another explained that “if you have money in hand, you know how much is used”. These comments made me </w:t>
      </w:r>
      <w:proofErr w:type="spellStart"/>
      <w:r w:rsidRPr="002D18D5">
        <w:t>recognise</w:t>
      </w:r>
      <w:proofErr w:type="spellEnd"/>
      <w:r w:rsidRPr="002D18D5">
        <w:t xml:space="preserve"> that cash could represent certainty, budgeting, control and emotional security rather than simply resistance to technology. I had been looking at non-</w:t>
      </w:r>
      <w:r w:rsidRPr="002D18D5">
        <w:lastRenderedPageBreak/>
        <w:t>adoption as something requiring explanation, while participants were describing cash as a meaningful and sometimes rational choice.</w:t>
      </w:r>
    </w:p>
    <w:p w14:paraId="6D8702A8" w14:textId="77777777" w:rsidR="002D18D5" w:rsidRPr="002D18D5" w:rsidRDefault="002D18D5" w:rsidP="002D18D5">
      <w:r w:rsidRPr="002D18D5">
        <w:t xml:space="preserve">A second moment came when an older participant described QR payment as being “for educated people” and added, “I am not very educated”. I could have coded this only as low digital literacy. Instead, it made me think about how technological competence can become connected to a person’s sense of confidence and identity. The issue was not simply whether the participant knew how to scan a code. The </w:t>
      </w:r>
      <w:proofErr w:type="gramStart"/>
      <w:r w:rsidRPr="002D18D5">
        <w:t>participant was</w:t>
      </w:r>
      <w:proofErr w:type="gramEnd"/>
      <w:r w:rsidRPr="002D18D5">
        <w:t xml:space="preserve"> also positioning themselves in relation to education and technology. This is the kind of meaning that a frequency count would not have shown me.</w:t>
      </w:r>
    </w:p>
    <w:p w14:paraId="6F7DE3DC" w14:textId="77777777" w:rsidR="002D18D5" w:rsidRPr="002D18D5" w:rsidRDefault="002D18D5" w:rsidP="002D18D5">
      <w:r w:rsidRPr="002D18D5">
        <w:t xml:space="preserve">At the same time, I have not rejected quantitative evidence. Statistics remain useful for identifying broad patterns, particularly in a rapidly changing area such as digital finance. What has changed is my assumption that numerical evidence is automatically more objective or more valuable. Interpretivist thinking has encouraged me to </w:t>
      </w:r>
      <w:proofErr w:type="spellStart"/>
      <w:r w:rsidRPr="002D18D5">
        <w:t>recognise</w:t>
      </w:r>
      <w:proofErr w:type="spellEnd"/>
      <w:r w:rsidRPr="002D18D5">
        <w:t xml:space="preserve"> that participants may experience the same technology differently because meaning is shaped by experience, relationships and context (Guba and Lincoln, 1994; Crotty, 1998; Creswell and Poth, 2018).</w:t>
      </w:r>
    </w:p>
    <w:p w14:paraId="4B9B6070" w14:textId="77777777" w:rsidR="002D18D5" w:rsidRPr="002D18D5" w:rsidRDefault="002D18D5" w:rsidP="002D18D5">
      <w:r w:rsidRPr="002D18D5">
        <w:t xml:space="preserve">My professional experience also reinforced this preference for clear and checkable evidence. In administrative and operational work, accuracy, records, procedures and measurable outcomes are important, so I became used to thinking that a problem should be identified and then resolved through reliable information. I can now see that I carried some of this practical mindset into doctoral research. In qualitative research, however, a participant’s uncertainty or apparently contradictory answer is not necessarily an error to correct. It may reveal how meaning changes across situations. </w:t>
      </w:r>
      <w:proofErr w:type="spellStart"/>
      <w:r w:rsidRPr="002D18D5">
        <w:t>Recognising</w:t>
      </w:r>
      <w:proofErr w:type="spellEnd"/>
      <w:r w:rsidRPr="002D18D5">
        <w:t xml:space="preserve"> this has helped me separate my previous habits of checking for a correct answer from the interpretive task of understanding why different accounts can all be meaningful.</w:t>
      </w:r>
    </w:p>
    <w:p w14:paraId="22CF89B9" w14:textId="77777777" w:rsidR="002D18D5" w:rsidRPr="002D18D5" w:rsidRDefault="002D18D5" w:rsidP="002D18D5">
      <w:r w:rsidRPr="002D18D5">
        <w:t>I now see my earlier preference for numbers as part of my research biography rather than as a neutral starting point. This matters because it can still influence what I notice. If I enter an interview expecting digital adoption to represent progress, I may unintentionally treat cash preference as a deficit. My responsibility is therefore not to remove my background, which is impossible, but to make it visible and question how it shapes my decisions. Reflexivity requires this continuing examination of the researcher’s assumptions and influence (Finlay, 2002; Berger, 2015).</w:t>
      </w:r>
    </w:p>
    <w:p w14:paraId="0EE33A4E" w14:textId="77777777" w:rsidR="002D18D5" w:rsidRPr="002D18D5" w:rsidRDefault="002D18D5" w:rsidP="00054235">
      <w:pPr>
        <w:pStyle w:val="Heading1"/>
      </w:pPr>
      <w:bookmarkStart w:id="2" w:name="_Toc242267436"/>
      <w:r w:rsidRPr="002D18D5">
        <w:t>2. Your Relationship with Theory and Literature</w:t>
      </w:r>
      <w:bookmarkEnd w:id="2"/>
    </w:p>
    <w:p w14:paraId="3E406960" w14:textId="77777777" w:rsidR="002D18D5" w:rsidRPr="002D18D5" w:rsidRDefault="002D18D5" w:rsidP="002D18D5">
      <w:r w:rsidRPr="002D18D5">
        <w:t xml:space="preserve">One of the most difficult parts of my doctoral development has been moving from reading literature for information to engaging with it critically. At the beginning, I tended to ask whether </w:t>
      </w:r>
      <w:r w:rsidRPr="002D18D5">
        <w:lastRenderedPageBreak/>
        <w:t>an article supported my topic. I paid less attention to the assumptions behind the study, the population included, the method used or what the study could not explain. I now understand that doctoral engagement with literature requires comparison, questioning and attention to context rather than simply collecting supportive citations.</w:t>
      </w:r>
    </w:p>
    <w:p w14:paraId="481753B4" w14:textId="77777777" w:rsidR="002D18D5" w:rsidRPr="002D18D5" w:rsidRDefault="002D18D5" w:rsidP="002D18D5">
      <w:r w:rsidRPr="002D18D5">
        <w:t xml:space="preserve">My early attraction to TAM illustrates this development. TAM explains technology acceptance through perceived usefulness and perceived ease of use (Davis, 1989). UTAUT extends this by including performance expectancy, effort expectancy, social influence and facilitating conditions (Venkatesh et al., 2003). These models gave me a clear vocabulary for thinking about digital payment adoption, but they also reflected my preference for structured relationships between variables. Bagozzi (2007) argues that technology-acceptance research can become too narrow when complex </w:t>
      </w:r>
      <w:proofErr w:type="spellStart"/>
      <w:r w:rsidRPr="002D18D5">
        <w:t>behaviour</w:t>
      </w:r>
      <w:proofErr w:type="spellEnd"/>
      <w:r w:rsidRPr="002D18D5">
        <w:t xml:space="preserve"> is reduced to a limited set of predictors. This criticism became more meaningful to me after my pilot because participants did not describe their decisions as a simple calculation of usefulness and ease.</w:t>
      </w:r>
    </w:p>
    <w:p w14:paraId="41F2F356" w14:textId="77777777" w:rsidR="002D18D5" w:rsidRPr="002D18D5" w:rsidRDefault="002D18D5" w:rsidP="002D18D5">
      <w:r w:rsidRPr="002D18D5">
        <w:t xml:space="preserve">For example, one participant used QR payments in his food-stall business but explained that he did not trust them “100%”. He described customers showing old payment screenshots and said he now checked whether payment had </w:t>
      </w:r>
      <w:proofErr w:type="gramStart"/>
      <w:r w:rsidRPr="002D18D5">
        <w:t>actually arrived</w:t>
      </w:r>
      <w:proofErr w:type="gramEnd"/>
      <w:r w:rsidRPr="002D18D5">
        <w:t xml:space="preserve"> before accepting it. He also described delays of five, ten or fifteen minutes. This account showed me that a person can simultaneously use </w:t>
      </w:r>
      <w:proofErr w:type="gramStart"/>
      <w:r w:rsidRPr="002D18D5">
        <w:t>a technology</w:t>
      </w:r>
      <w:proofErr w:type="gramEnd"/>
      <w:r w:rsidRPr="002D18D5">
        <w:t>, value its convenience and remain cautious about it. “Adoption” therefore did not mean complete trust. Another participant learned QR payment with help from a friend but later reduced her use after a failed petrol-station payment and stories of cyber fraud. These experiences made me more cautious about treating adoption and non-adoption as fixed categories.</w:t>
      </w:r>
    </w:p>
    <w:p w14:paraId="206E0701" w14:textId="77777777" w:rsidR="002D18D5" w:rsidRPr="002D18D5" w:rsidRDefault="002D18D5" w:rsidP="002D18D5">
      <w:r w:rsidRPr="002D18D5">
        <w:t xml:space="preserve">Engaging with empirical research has also helped me place these accounts in a wider Indian context. Shankar and Datta (2018) found that factors including trust and perceived risk are important in Indian mobile-payment adoption. Chawla and Joshi (2019) likewise show, through empirical research in India, that trust and perceived usefulness are important in consumers’ attitudes and intentions towards mobile wallets. More recent work by </w:t>
      </w:r>
      <w:proofErr w:type="spellStart"/>
      <w:r w:rsidRPr="002D18D5">
        <w:t>Sindakis</w:t>
      </w:r>
      <w:proofErr w:type="spellEnd"/>
      <w:r w:rsidRPr="002D18D5">
        <w:t xml:space="preserve"> and Showkat (2024) shows that rural technology adoption in India is shaped by digital literacy, infrastructure and demographic differences, including age. Srivastava, </w:t>
      </w:r>
      <w:proofErr w:type="spellStart"/>
      <w:r w:rsidRPr="002D18D5">
        <w:t>Mohta</w:t>
      </w:r>
      <w:proofErr w:type="spellEnd"/>
      <w:r w:rsidRPr="002D18D5">
        <w:t xml:space="preserve"> and </w:t>
      </w:r>
      <w:proofErr w:type="spellStart"/>
      <w:r w:rsidRPr="002D18D5">
        <w:t>Shunmugasundaram</w:t>
      </w:r>
      <w:proofErr w:type="spellEnd"/>
      <w:r w:rsidRPr="002D18D5">
        <w:t xml:space="preserve"> (2024) examine digital-payment FinTech adoption among Gen Y and Gen Z users in India, reinforcing the importance of examining generationally situated experiences rather than assuming a single type of digital consumer. These studies do not provide an explanation for my participants, but they help me see where my pilot connects with, and differs from, wider empirical research.</w:t>
      </w:r>
    </w:p>
    <w:p w14:paraId="380F8642" w14:textId="77777777" w:rsidR="002D18D5" w:rsidRPr="002D18D5" w:rsidRDefault="002D18D5" w:rsidP="002D18D5">
      <w:proofErr w:type="gramStart"/>
      <w:r w:rsidRPr="002D18D5">
        <w:t>The literature</w:t>
      </w:r>
      <w:proofErr w:type="gramEnd"/>
      <w:r w:rsidRPr="002D18D5">
        <w:t xml:space="preserve"> has also changed how I understand cash. Earlier, I was inclined to view cash as the older system that digital payments would eventually replace. My interviews disrupted that assumption. Participants described cash as immediate, visible and controllable. This has </w:t>
      </w:r>
      <w:r w:rsidRPr="002D18D5">
        <w:lastRenderedPageBreak/>
        <w:t xml:space="preserve">encouraged me to read </w:t>
      </w:r>
      <w:proofErr w:type="gramStart"/>
      <w:r w:rsidRPr="002D18D5">
        <w:t>digital-payment</w:t>
      </w:r>
      <w:proofErr w:type="gramEnd"/>
      <w:r w:rsidRPr="002D18D5">
        <w:t xml:space="preserve"> literature with a more critical question: does the research treat cash use as a problem or failure to adopt, or does it allow cash and digital payment to coexist as context-dependent practices? This distinction matters because an adoption framework can unintentionally position digital use as the desired endpoint.</w:t>
      </w:r>
    </w:p>
    <w:p w14:paraId="469E6419" w14:textId="77777777" w:rsidR="002D18D5" w:rsidRPr="002D18D5" w:rsidRDefault="002D18D5" w:rsidP="002D18D5">
      <w:r w:rsidRPr="002D18D5">
        <w:t xml:space="preserve">My relationship with qualitative methodology has developed in a similar way. Braun and Clarke’s reflexive thematic analysis is not simply a technique for grouping similar answers. It requires the researcher to develop patterns of meaning through active and reflexive engagement with the data (Braun and Clarke, 2006; 2022). During my pilot I initially found it easier to create descriptive codes such as “fear of fraud”, “network problem” and “family support”. I now </w:t>
      </w:r>
      <w:proofErr w:type="spellStart"/>
      <w:r w:rsidRPr="002D18D5">
        <w:t>recognise</w:t>
      </w:r>
      <w:proofErr w:type="spellEnd"/>
      <w:r w:rsidRPr="002D18D5">
        <w:t xml:space="preserve"> that doctoral analysis must go further and ask how these experiences are connected, what assumptions sit underneath them and where participants contradict one another.</w:t>
      </w:r>
    </w:p>
    <w:p w14:paraId="4572EFEB" w14:textId="77777777" w:rsidR="002D18D5" w:rsidRPr="002D18D5" w:rsidRDefault="002D18D5" w:rsidP="002D18D5">
      <w:r w:rsidRPr="002D18D5">
        <w:t>I have also become more critical of generational labels. Mannheim (1952) provides a useful foundation for thinking about generations as socially and historically located rather than merely age categories. This is important for my current study because age alone cannot explain why people understand technology differently. Digital exposure, education, occupation, household relationships and local infrastructure may cut across generational categories. Recent Indian evidence also indicates that age differences interact with wider conditions of digital access and capability (</w:t>
      </w:r>
      <w:proofErr w:type="spellStart"/>
      <w:r w:rsidRPr="002D18D5">
        <w:t>Sindakis</w:t>
      </w:r>
      <w:proofErr w:type="spellEnd"/>
      <w:r w:rsidRPr="002D18D5">
        <w:t xml:space="preserve"> and Showkat, 2024). Digital literacy is also more than basic technical access; it includes the skills needed to interpret and use digital environments effectively (Eshet-Alkalai, 2004).</w:t>
      </w:r>
    </w:p>
    <w:p w14:paraId="656AE63B" w14:textId="77777777" w:rsidR="002D18D5" w:rsidRPr="002D18D5" w:rsidRDefault="002D18D5" w:rsidP="002D18D5">
      <w:r w:rsidRPr="002D18D5">
        <w:t xml:space="preserve">My approach to qualitative analysis also developed during Part 1. I initially considered Interpretative Phenomenological Analysis (IPA) because I was interested in how participants made sense of their lived experiences of QR code payments. As my research focus developed, however, I </w:t>
      </w:r>
      <w:proofErr w:type="spellStart"/>
      <w:r w:rsidRPr="002D18D5">
        <w:t>recognised</w:t>
      </w:r>
      <w:proofErr w:type="spellEnd"/>
      <w:r w:rsidRPr="002D18D5">
        <w:t xml:space="preserve"> that I wanted to do more than examine each participant’s individual experience in depth. I wanted to explore shared and contrasting patterns of meaning across participants from different generations and locations. This led me to move from IPA towards Braun and Clarke’s Reflexive Thematic Analysis (RTA). RTA gives me greater flexibility to interpret patterns across participants while remaining consistent with my interpretivist position (Braun and Clarke, 2006; 2019; 2022). This change was important because it taught me that an analytical approach should be chosen because it fits the research question and purpose of the study, rather than simply because it is a </w:t>
      </w:r>
      <w:proofErr w:type="spellStart"/>
      <w:r w:rsidRPr="002D18D5">
        <w:t>recognised</w:t>
      </w:r>
      <w:proofErr w:type="spellEnd"/>
      <w:r w:rsidRPr="002D18D5">
        <w:t xml:space="preserve"> qualitative method.</w:t>
      </w:r>
    </w:p>
    <w:p w14:paraId="510F59CC" w14:textId="77777777" w:rsidR="002D18D5" w:rsidRPr="002D18D5" w:rsidRDefault="002D18D5" w:rsidP="002D18D5">
      <w:r w:rsidRPr="002D18D5">
        <w:t xml:space="preserve">Overall, theory has moved from being something I thought I had to “choose” to something I use critically. UTAUT can </w:t>
      </w:r>
      <w:proofErr w:type="spellStart"/>
      <w:r w:rsidRPr="002D18D5">
        <w:t>sensitise</w:t>
      </w:r>
      <w:proofErr w:type="spellEnd"/>
      <w:r w:rsidRPr="002D18D5">
        <w:t xml:space="preserve"> me to issues such as social influence and facilitating conditions, and later reviews show how widely the model has been used across technology-adoption research (Williams, Rana and Dwivedi, 2015), but it does not need to determine what participants are allowed to say. SCOT is useful because it draws attention to interpretive </w:t>
      </w:r>
      <w:r w:rsidRPr="002D18D5">
        <w:lastRenderedPageBreak/>
        <w:t>flexibility and the possibility that different social groups attach different meanings to the same technology (Pinch and Bijker, 1984; Bijker, 1995). My task is not to force the data into either framework but to use theory to deepen, question and communicate my interpretation.</w:t>
      </w:r>
    </w:p>
    <w:p w14:paraId="54F4C452" w14:textId="77777777" w:rsidR="002D18D5" w:rsidRPr="002D18D5" w:rsidRDefault="002D18D5" w:rsidP="00054235">
      <w:pPr>
        <w:pStyle w:val="Heading1"/>
      </w:pPr>
      <w:bookmarkStart w:id="3" w:name="_Toc242267437"/>
      <w:r w:rsidRPr="002D18D5">
        <w:t>3. The Evolution of Your Research Focus</w:t>
      </w:r>
      <w:bookmarkEnd w:id="3"/>
    </w:p>
    <w:p w14:paraId="4D1C5621" w14:textId="77777777" w:rsidR="002D18D5" w:rsidRPr="002D18D5" w:rsidRDefault="002D18D5" w:rsidP="002D18D5">
      <w:r w:rsidRPr="002D18D5">
        <w:t>My research focus has changed considerably during Part 1. My interest in QR code payments and generational differences has remained, but the problem I now want to investigate is different from the one I first imagined. Initially, I was mainly interested in why some people adopted digital payments and others did not. Looking back, this contained an assumption that greater digital adoption represented progress and that continued cash use was a problem requiring explanation.</w:t>
      </w:r>
    </w:p>
    <w:p w14:paraId="53210FBF" w14:textId="77777777" w:rsidR="002D18D5" w:rsidRPr="002D18D5" w:rsidRDefault="002D18D5" w:rsidP="002D18D5">
      <w:r w:rsidRPr="002D18D5">
        <w:t xml:space="preserve">My </w:t>
      </w:r>
      <w:proofErr w:type="gramStart"/>
      <w:r w:rsidRPr="002D18D5">
        <w:t>pilot</w:t>
      </w:r>
      <w:proofErr w:type="gramEnd"/>
      <w:r w:rsidRPr="002D18D5">
        <w:t xml:space="preserve"> study was important in challenging that assumption because the six accounts did not fall neatly into age-based patterns. Y1, aged 24, used QR payments for most everyday purchases and described them as “easier and faster than cash”, but still carried cash because of network and server problems. M1, a 32-year-old software engineer, said that around 90% of his payments were online and trusted the system, yet a failed hospital payment and the absence of QR facilities on local buses still forced him to rely on cash. In contrast, M2, aged 37, said that “cash feels 100% right” and connected it with certainty, household budgeting and mental peace. Y2, aged 23, also challenged my expectations: although she had learned QR payment from friends, she said that cash was “100 percent safe and tension free” and described avoiding QR payments “99 percent of the time” after a failed petrol-station payment and growing concern about cyber fraud. These accounts made me </w:t>
      </w:r>
      <w:proofErr w:type="spellStart"/>
      <w:r w:rsidRPr="002D18D5">
        <w:t>realise</w:t>
      </w:r>
      <w:proofErr w:type="spellEnd"/>
      <w:r w:rsidRPr="002D18D5">
        <w:t xml:space="preserve"> that generation may shape experience, but it cannot be treated as a simple predictor of digital-payment preference.</w:t>
      </w:r>
    </w:p>
    <w:p w14:paraId="3665F179" w14:textId="77777777" w:rsidR="002D18D5" w:rsidRPr="002D18D5" w:rsidRDefault="002D18D5" w:rsidP="002D18D5">
      <w:r w:rsidRPr="002D18D5">
        <w:t>The two older participants challenged a second assumption. O1, a 52-year-old food-stall owner, was not simply resistant to digital payment. He accepted both cash and QR payments and explained that QR could save time when customers did not have change. His son had helped him learn the system, yet experiences of delayed payments and customers showing old payment screenshots meant that he checked transactions carefully before accepting them. O2, aged 51, preferred cash and said, “if you have money in hand, you know how much is used”. She also described QR as “for educated people” and said, “I am not very educated”, while relying on her son for help. Reading these two older accounts together prevented me from treating older participants as one homogeneous group. Their experiences differed in use, confidence and trust, even though family support and concerns about control were present in both.</w:t>
      </w:r>
    </w:p>
    <w:p w14:paraId="7FED75B0" w14:textId="77777777" w:rsidR="002D18D5" w:rsidRPr="002D18D5" w:rsidRDefault="002D18D5" w:rsidP="002D18D5">
      <w:r w:rsidRPr="002D18D5">
        <w:t xml:space="preserve">This made me more interested in how meanings are constructed around payment practices. Cash could mean control to one participant, habit to another and practical backup to someone </w:t>
      </w:r>
      <w:r w:rsidRPr="002D18D5">
        <w:lastRenderedPageBreak/>
        <w:t>who usually paid digitally. QR payment could mean speed, modernity and convenience, but it could also mean uncertainty, fraud risk or dependence on another person. These differences are consistent with the idea of interpretive flexibility within SCOT, where a technology can acquire different meanings for different social groups (Pinch and Bijker, 1984; Bijker, 1995).</w:t>
      </w:r>
    </w:p>
    <w:p w14:paraId="53C8CCC2" w14:textId="77777777" w:rsidR="002D18D5" w:rsidRPr="002D18D5" w:rsidRDefault="002D18D5" w:rsidP="002D18D5">
      <w:r w:rsidRPr="002D18D5">
        <w:t xml:space="preserve">My geographical focus has also become more precise. The pilot </w:t>
      </w:r>
      <w:proofErr w:type="spellStart"/>
      <w:r w:rsidRPr="002D18D5">
        <w:t>centred</w:t>
      </w:r>
      <w:proofErr w:type="spellEnd"/>
      <w:r w:rsidRPr="002D18D5">
        <w:t xml:space="preserve"> on </w:t>
      </w:r>
      <w:proofErr w:type="spellStart"/>
      <w:r w:rsidRPr="002D18D5">
        <w:t>Modasa</w:t>
      </w:r>
      <w:proofErr w:type="spellEnd"/>
      <w:r w:rsidRPr="002D18D5">
        <w:t xml:space="preserve">, but my current doctoral design compares </w:t>
      </w:r>
      <w:proofErr w:type="spellStart"/>
      <w:r w:rsidRPr="002D18D5">
        <w:t>Modasa</w:t>
      </w:r>
      <w:proofErr w:type="spellEnd"/>
      <w:r w:rsidRPr="002D18D5">
        <w:t xml:space="preserve"> and Gandhinagar. This is not simply an attempt to add another location. It allows me to examine how local infrastructure, social relationships and everyday payment environments may differ across contexts. </w:t>
      </w:r>
      <w:proofErr w:type="spellStart"/>
      <w:r w:rsidRPr="002D18D5">
        <w:t>Sindakis</w:t>
      </w:r>
      <w:proofErr w:type="spellEnd"/>
      <w:r w:rsidRPr="002D18D5">
        <w:t xml:space="preserve"> and Showkat (2024) show that technology adoption in India is shaped by infrastructure, digital capability and demographic conditions, which reinforces the need to avoid treating “India” or even “Gujarat” as a single uniform digital environment.</w:t>
      </w:r>
    </w:p>
    <w:p w14:paraId="59641700" w14:textId="77777777" w:rsidR="002D18D5" w:rsidRPr="002D18D5" w:rsidRDefault="002D18D5" w:rsidP="002D18D5">
      <w:r w:rsidRPr="002D18D5">
        <w:t xml:space="preserve">I have also become more careful about generational categories. My pilot used broad age groups, but I now </w:t>
      </w:r>
      <w:proofErr w:type="spellStart"/>
      <w:r w:rsidRPr="002D18D5">
        <w:t>recognise</w:t>
      </w:r>
      <w:proofErr w:type="spellEnd"/>
      <w:r w:rsidRPr="002D18D5">
        <w:t xml:space="preserve"> that doctoral work requires a clearer theoretical justification for cohort boundaries. Mannheim (1952) reminds me that generations involve shared socio-historical location, not merely age. I therefore need to use </w:t>
      </w:r>
      <w:proofErr w:type="spellStart"/>
      <w:r w:rsidRPr="002D18D5">
        <w:t>recognised</w:t>
      </w:r>
      <w:proofErr w:type="spellEnd"/>
      <w:r w:rsidRPr="002D18D5">
        <w:t xml:space="preserve"> cohort labels carefully and avoid suggesting that everyone within a generation will have the same digital experience. The pilot itself provides a warning against this because a younger participant strongly preferred cash while an older participant actively used QR payments in his business.</w:t>
      </w:r>
    </w:p>
    <w:p w14:paraId="6FD343BF" w14:textId="77777777" w:rsidR="002D18D5" w:rsidRPr="002D18D5" w:rsidRDefault="002D18D5" w:rsidP="002D18D5">
      <w:r w:rsidRPr="002D18D5">
        <w:t>The most important development is therefore a change in the direction of my questioning. I no longer want to ask which generation is “better” at digital payment or why some people have failed to adopt it. I want to understand how people experience and make sense of QR payments, including use, selective use and non-use, and how those meanings are connected to trust, confidence, family relationships and local context.</w:t>
      </w:r>
    </w:p>
    <w:p w14:paraId="16DAF40B" w14:textId="77777777" w:rsidR="002D18D5" w:rsidRPr="002D18D5" w:rsidRDefault="002D18D5" w:rsidP="002D18D5">
      <w:r w:rsidRPr="002D18D5">
        <w:t xml:space="preserve">Another change concerns comparison itself. At first, I imagined comparison mainly as identifying differences between age groups. The pilot made me more cautious. If I expect Gen Z, Millennials and Gen X to behave differently, I may overlook similarities across them. I therefore want generation and location to remain important contexts without allowing </w:t>
      </w:r>
      <w:proofErr w:type="gramStart"/>
      <w:r w:rsidRPr="002D18D5">
        <w:t>either to</w:t>
      </w:r>
      <w:proofErr w:type="gramEnd"/>
      <w:r w:rsidRPr="002D18D5">
        <w:t xml:space="preserve"> become an automatic explanation for participants’ experiences.</w:t>
      </w:r>
    </w:p>
    <w:p w14:paraId="68D114FF" w14:textId="77777777" w:rsidR="002D18D5" w:rsidRPr="002D18D5" w:rsidRDefault="002D18D5" w:rsidP="002D18D5">
      <w:r w:rsidRPr="002D18D5">
        <w:t xml:space="preserve">My </w:t>
      </w:r>
      <w:proofErr w:type="gramStart"/>
      <w:r w:rsidRPr="002D18D5">
        <w:t>current overarching</w:t>
      </w:r>
      <w:proofErr w:type="gramEnd"/>
      <w:r w:rsidRPr="002D18D5">
        <w:t xml:space="preserve"> research question is: How do Gen Z, Millennials/Gen Y and Gen X participants in </w:t>
      </w:r>
      <w:proofErr w:type="spellStart"/>
      <w:r w:rsidRPr="002D18D5">
        <w:t>Modasa</w:t>
      </w:r>
      <w:proofErr w:type="spellEnd"/>
      <w:r w:rsidRPr="002D18D5">
        <w:t xml:space="preserve"> and Gandhinagar experience and make sense of QR code payments in everyday life? Supporting questions examine participants’ experiences of trust, perceived risk, digital confidence and literacy; the role of family relationships and intergenerational learning; and how local social, cultural and infrastructural contexts feature in everyday QR-payment use. This formulation reflects the main change in my thinking: I am now trying to understand </w:t>
      </w:r>
      <w:r w:rsidRPr="002D18D5">
        <w:lastRenderedPageBreak/>
        <w:t>different meanings rather than treating digital adoption as the outcome that participants should move towards.</w:t>
      </w:r>
    </w:p>
    <w:p w14:paraId="381F7405" w14:textId="77777777" w:rsidR="002D18D5" w:rsidRPr="002D18D5" w:rsidRDefault="002D18D5" w:rsidP="00054235">
      <w:pPr>
        <w:pStyle w:val="Heading1"/>
      </w:pPr>
      <w:bookmarkStart w:id="4" w:name="_Toc242267438"/>
      <w:r w:rsidRPr="002D18D5">
        <w:t>4. Positionality, Power and Research Relationships</w:t>
      </w:r>
      <w:bookmarkEnd w:id="4"/>
    </w:p>
    <w:p w14:paraId="29B2C78C" w14:textId="77777777" w:rsidR="002D18D5" w:rsidRPr="002D18D5" w:rsidRDefault="002D18D5" w:rsidP="002D18D5">
      <w:r w:rsidRPr="002D18D5">
        <w:t>My doctoral journey has made me more aware that I do not enter the research process as a neutral observer. I am a doctoral researcher with familiarity with Gujarati language and culture, and I am also a Gujarati woman interviewing participants who may differ from me in age, gender, education, occupation and technological confidence. Berger (2015) argues that researchers’ positions can create both closeness and distance in qualitative research. My familiarity may help participants feel understood, but it can also make me assume that I already understand what they mean.</w:t>
      </w:r>
    </w:p>
    <w:p w14:paraId="4A9E16A2" w14:textId="77777777" w:rsidR="002D18D5" w:rsidRPr="002D18D5" w:rsidRDefault="002D18D5" w:rsidP="002D18D5">
      <w:r w:rsidRPr="002D18D5">
        <w:t xml:space="preserve">The pilot showed me why </w:t>
      </w:r>
      <w:proofErr w:type="gramStart"/>
      <w:r w:rsidRPr="002D18D5">
        <w:t>this matters</w:t>
      </w:r>
      <w:proofErr w:type="gramEnd"/>
      <w:r w:rsidRPr="002D18D5">
        <w:t xml:space="preserve">. When an older male participant described learning QR payment from his son and explained how he checked transactions at his food stall, I could easily have interpreted the story mainly as successful intergenerational learning. However, I now need to consider the interview relationship itself. As a younger Gujarati woman and doctoral researcher asking an older man about money and technological competence, I may be asking about areas connected to independence, expertise and social status. He may want to present himself as capable and experienced, or he may </w:t>
      </w:r>
      <w:proofErr w:type="spellStart"/>
      <w:r w:rsidRPr="002D18D5">
        <w:t>minimise</w:t>
      </w:r>
      <w:proofErr w:type="spellEnd"/>
      <w:r w:rsidRPr="002D18D5">
        <w:t xml:space="preserve"> difficulties. Equally, an older woman may describe dependence, confidence or household financial decisions differently when speaking to me because gender and family roles can affect what feels appropriate to disclose.</w:t>
      </w:r>
    </w:p>
    <w:p w14:paraId="2DD71759" w14:textId="77777777" w:rsidR="002D18D5" w:rsidRPr="002D18D5" w:rsidRDefault="002D18D5" w:rsidP="002D18D5">
      <w:r w:rsidRPr="002D18D5">
        <w:t>I should not assume that Gujarati culture produces one fixed pattern of gender or household finance. That would replace participants’ meanings with a stereotype. Instead, positionality requires me to ask how gender, age and household expectations may operate differently in each interview. For example, who normally makes everyday payments in the household? Who controls access to bank accounts or smartphones? Who is expected to ask for help? Who might feel embarrassed about admitting difficulty? These questions are relevant because competence with money and technology can carry social meaning.</w:t>
      </w:r>
    </w:p>
    <w:p w14:paraId="2FA78AA6" w14:textId="77777777" w:rsidR="002D18D5" w:rsidRPr="002D18D5" w:rsidRDefault="002D18D5" w:rsidP="002D18D5">
      <w:r w:rsidRPr="002D18D5">
        <w:t>One pilot account illustrates this complexity. An older participant explained that his son introduced him to QR payments, downloaded the application, printed the QR code and initially stayed at the stall to help him check whether payments were completed. This could be read as supportive family learning. It could also involve temporary dependence on a younger family member. My interpretation should therefore avoid celebrating “support” without asking how the older participant experienced that support and whether it increased independence, created dependence, or both.</w:t>
      </w:r>
    </w:p>
    <w:p w14:paraId="497EC990" w14:textId="77777777" w:rsidR="002D18D5" w:rsidRPr="002D18D5" w:rsidRDefault="002D18D5" w:rsidP="002D18D5">
      <w:r w:rsidRPr="002D18D5">
        <w:lastRenderedPageBreak/>
        <w:t xml:space="preserve">Power also comes from my academic role. I choose the questions, decide when to probe, translate participants’ words and later decide which extracts appear in the thesis. Even when an interview feels friendly, this power does not disappear (Finlay, 2002). During the pilot I sometimes followed up strongly when participants mentioned fraud or distrust because these issues were central to my research interests. I now </w:t>
      </w:r>
      <w:proofErr w:type="spellStart"/>
      <w:r w:rsidRPr="002D18D5">
        <w:t>recognise</w:t>
      </w:r>
      <w:proofErr w:type="spellEnd"/>
      <w:r w:rsidRPr="002D18D5">
        <w:t xml:space="preserve"> that repeated probing can signal to participants that I consider one part of their answer more important than another.</w:t>
      </w:r>
    </w:p>
    <w:p w14:paraId="20076930" w14:textId="77777777" w:rsidR="002D18D5" w:rsidRPr="002D18D5" w:rsidRDefault="002D18D5" w:rsidP="002D18D5">
      <w:r w:rsidRPr="002D18D5">
        <w:t xml:space="preserve">Language adds another layer. Conducting interviews in Gujarati or Hindi can reduce linguistic </w:t>
      </w:r>
      <w:proofErr w:type="gramStart"/>
      <w:r w:rsidRPr="002D18D5">
        <w:t>distance, but</w:t>
      </w:r>
      <w:proofErr w:type="gramEnd"/>
      <w:r w:rsidRPr="002D18D5">
        <w:t xml:space="preserve"> translating them into English is not neutral. Translation involves decisions about tone, emphasis and culturally specific expressions (Temple and Young, 2004; Squires, 2009). A phrase that sounds simple in English may carry stronger emotional or social meaning in Gujarati. I therefore need to return to the original-language transcript when an interpretation depends on a particular phrase rather than relying only on the English translation.</w:t>
      </w:r>
    </w:p>
    <w:p w14:paraId="575B220A" w14:textId="77777777" w:rsidR="002D18D5" w:rsidRPr="002D18D5" w:rsidRDefault="002D18D5" w:rsidP="002D18D5">
      <w:r w:rsidRPr="002D18D5">
        <w:t>In future interviews I will write a short reflexive note immediately afterwards. I will record where I felt agreement, surprise, discomfort or a desire to correct or help the participant. I will also record moments where age or gender seemed relevant to the interaction, while treating these as reflexive questions rather than facts about the participant. During analysis I will actively look for evidence that contradicts my first interpretation. This is particularly important because my insider familiarity can create a false sense that an explanation is obvious.</w:t>
      </w:r>
    </w:p>
    <w:p w14:paraId="5E35BE09" w14:textId="77777777" w:rsidR="002D18D5" w:rsidRPr="002D18D5" w:rsidRDefault="002D18D5" w:rsidP="002D18D5">
      <w:r w:rsidRPr="002D18D5">
        <w:t xml:space="preserve">My own familiarity with digital payments may also affect the interview. Because QR payment is ordinary in my own social world, I may unintentionally use language that assumes participants understand </w:t>
      </w:r>
      <w:proofErr w:type="gramStart"/>
      <w:r w:rsidRPr="002D18D5">
        <w:t>particular functions</w:t>
      </w:r>
      <w:proofErr w:type="gramEnd"/>
      <w:r w:rsidRPr="002D18D5">
        <w:t xml:space="preserve"> or security practices. With an older participant, this could create pressure to appear knowledgeable; with a younger participant, I might assume confidence simply because of age. I therefore need to notice not only what participants say but also how my wording, examples and reactions may shape the space in which they answer. Reflexivity here means examining my contribution to the interview rather than treating the participant’s account as something produced independently of me.</w:t>
      </w:r>
    </w:p>
    <w:p w14:paraId="4EC84865" w14:textId="77777777" w:rsidR="002D18D5" w:rsidRPr="002D18D5" w:rsidRDefault="002D18D5" w:rsidP="002D18D5">
      <w:r w:rsidRPr="002D18D5">
        <w:t xml:space="preserve">My positionality is </w:t>
      </w:r>
      <w:proofErr w:type="gramStart"/>
      <w:r w:rsidRPr="002D18D5">
        <w:t>therefore neither</w:t>
      </w:r>
      <w:proofErr w:type="gramEnd"/>
      <w:r w:rsidRPr="002D18D5">
        <w:t xml:space="preserve"> simply an advantage nor a problem to remove. It is part of how knowledge is produced in the study. My responsibility is to make that influence visible, question it and show how I have worked to prevent familiarity, gendered assumptions or academic authority from becoming unexamined explanations.</w:t>
      </w:r>
    </w:p>
    <w:p w14:paraId="748E1E75" w14:textId="77777777" w:rsidR="002D18D5" w:rsidRPr="002D18D5" w:rsidRDefault="002D18D5" w:rsidP="00054235">
      <w:pPr>
        <w:pStyle w:val="Heading1"/>
      </w:pPr>
      <w:bookmarkStart w:id="5" w:name="_Toc242267439"/>
      <w:r w:rsidRPr="002D18D5">
        <w:t>5. Ethical Tensions in Your Study</w:t>
      </w:r>
      <w:bookmarkEnd w:id="5"/>
    </w:p>
    <w:p w14:paraId="0B33718F" w14:textId="77777777" w:rsidR="002D18D5" w:rsidRPr="002D18D5" w:rsidRDefault="002D18D5" w:rsidP="002D18D5">
      <w:r w:rsidRPr="002D18D5">
        <w:t xml:space="preserve">My pilot study has helped me understand that ethics extends beyond obtaining a signed consent form. Ethical responsibility continues through recruitment, interviewing, translation, </w:t>
      </w:r>
      <w:r w:rsidRPr="002D18D5">
        <w:lastRenderedPageBreak/>
        <w:t xml:space="preserve">analysis and representation (Tracy, 2010). The pilot exposed several tensions that I </w:t>
      </w:r>
      <w:proofErr w:type="gramStart"/>
      <w:r w:rsidRPr="002D18D5">
        <w:t>need</w:t>
      </w:r>
      <w:proofErr w:type="gramEnd"/>
      <w:r w:rsidRPr="002D18D5">
        <w:t xml:space="preserve"> to manage more explicitly in the main study.</w:t>
      </w:r>
    </w:p>
    <w:p w14:paraId="4F982296" w14:textId="77777777" w:rsidR="002D18D5" w:rsidRPr="002D18D5" w:rsidRDefault="002D18D5" w:rsidP="002D18D5">
      <w:r w:rsidRPr="002D18D5">
        <w:t>The first concerns recruitment through community networks and referrals. These routes can be useful for reaching information-rich participants, but familiarity can make refusal more difficult. A person may agree because the invitation comes through someone they know rather than because they genuinely want to participate. In future recruitment I therefore need to make clear that participation is voluntary, that declining will have no consequence for any personal relationship, and that consent is an ongoing process rather than a one-off signature.</w:t>
      </w:r>
    </w:p>
    <w:p w14:paraId="1A73B1B5" w14:textId="77777777" w:rsidR="002D18D5" w:rsidRPr="002D18D5" w:rsidRDefault="002D18D5" w:rsidP="002D18D5">
      <w:r w:rsidRPr="002D18D5">
        <w:t xml:space="preserve">A second tension concerns discussions </w:t>
      </w:r>
      <w:proofErr w:type="gramStart"/>
      <w:r w:rsidRPr="002D18D5">
        <w:t>of</w:t>
      </w:r>
      <w:proofErr w:type="gramEnd"/>
      <w:r w:rsidRPr="002D18D5">
        <w:t xml:space="preserve"> money, fraud and technological competence. These topics can expose embarrassment or vulnerability even when I do not ask participants to reveal income or account details. One participant described feeling that QR payment was “for educated people” and linked this to being “not very educated”. Another described a family fraud experience involving an OTP. These are not simply useful pieces of data. They can involve shame, fear or judgement. If I repeatedly ask why someone does not trust digital payments, the participant may feel that I am questioning the reasonableness of their decision. I therefore need to use neutral probes and make clear that cash use, digital use and non-use are all legitimate experiences within the study.</w:t>
      </w:r>
    </w:p>
    <w:p w14:paraId="63751EBB" w14:textId="77777777" w:rsidR="002D18D5" w:rsidRPr="002D18D5" w:rsidRDefault="002D18D5" w:rsidP="002D18D5">
      <w:r w:rsidRPr="002D18D5">
        <w:t>A third issue is family presence during interviews. My pilot highlighted how central younger relatives can be to older participants’ digital-payment experiences. A younger family member may help an older participant join Microsoft Teams, understand the technology or feel comfortable taking part. However, if that relative remains present, their presence may influence both consent and what the participant says. An older participant might agree with the younger person, avoid discussing dependence, or hesitate to describe family disagreements about money. The relative might also answer on the participant’s behalf.</w:t>
      </w:r>
    </w:p>
    <w:p w14:paraId="1F28CBB2" w14:textId="77777777" w:rsidR="002D18D5" w:rsidRPr="002D18D5" w:rsidRDefault="002D18D5" w:rsidP="002D18D5">
      <w:r w:rsidRPr="002D18D5">
        <w:t>In the main study, I therefore need to distinguish practical assistance from participation in the interview. If a relative helps with connection or setup, I will confirm consent directly with the participant once communication is established. Where possible, I will ask whether the participant is comfortable continuing privately. If the participant wants a family member to remain, I will record that context in my field notes and consider its possible influence during analysis. I will also make clear that the participant, not the helper, is the person whose account I am seeking. If privacy cannot be achieved, I will avoid asking for sensitive financial details and will treat the presence of the family member as part of the interview context rather than pretending it had no effect.</w:t>
      </w:r>
    </w:p>
    <w:p w14:paraId="7B1B2462" w14:textId="77777777" w:rsidR="002D18D5" w:rsidRPr="002D18D5" w:rsidRDefault="002D18D5" w:rsidP="002D18D5">
      <w:r w:rsidRPr="002D18D5">
        <w:t xml:space="preserve">Confidentiality is also complicated by the small and socially connected setting. Six pilot participants could be described through combinations of age, occupation and experience that </w:t>
      </w:r>
      <w:r w:rsidRPr="002D18D5">
        <w:lastRenderedPageBreak/>
        <w:t xml:space="preserve">make them </w:t>
      </w:r>
      <w:proofErr w:type="spellStart"/>
      <w:r w:rsidRPr="002D18D5">
        <w:t>recognisable</w:t>
      </w:r>
      <w:proofErr w:type="spellEnd"/>
      <w:r w:rsidRPr="002D18D5">
        <w:t xml:space="preserve"> locally even if names are removed. In the main study I need to </w:t>
      </w:r>
      <w:proofErr w:type="spellStart"/>
      <w:r w:rsidRPr="002D18D5">
        <w:t>minimise</w:t>
      </w:r>
      <w:proofErr w:type="spellEnd"/>
      <w:r w:rsidRPr="002D18D5">
        <w:t xml:space="preserve"> unnecessary identifying </w:t>
      </w:r>
      <w:proofErr w:type="gramStart"/>
      <w:r w:rsidRPr="002D18D5">
        <w:t>detail</w:t>
      </w:r>
      <w:proofErr w:type="gramEnd"/>
      <w:r w:rsidRPr="002D18D5">
        <w:t xml:space="preserve"> and consider whether a distinctive story could reveal a participant. This creates a tension between rich qualitative description and protection from deductive identification. Providing sufficient contextual detail while protecting identity also requires careful judgement about transferability and credibility in qualitative research (Shenton, 2004).</w:t>
      </w:r>
    </w:p>
    <w:p w14:paraId="5B4FB0B2" w14:textId="77777777" w:rsidR="002D18D5" w:rsidRPr="002D18D5" w:rsidRDefault="002D18D5" w:rsidP="002D18D5">
      <w:r w:rsidRPr="002D18D5">
        <w:t>Translation creates an ethical responsibility as well. When I translate Gujarati or Hindi extracts into English, I am representing another person’s voice. Temple and Young (2004) show that translation involves interpretation. I therefore need to preserve meaning rather than making participants sound more academically polished than they were. Where a culturally specific expression matters, I should explain it rather than silently replacing it with an English phrase that changes the tone.</w:t>
      </w:r>
    </w:p>
    <w:p w14:paraId="1B3A887D" w14:textId="23A82AAE" w:rsidR="002D18D5" w:rsidRPr="002D18D5" w:rsidRDefault="002D18D5" w:rsidP="002D18D5">
      <w:r w:rsidRPr="002D18D5">
        <w:t>Finally, ethical analysis requires attention to contradictory and uncomfortable accounts. I should not select only quotations that make my argument look clear. Tracy’s (2010) discussion of qualitative quality reinforces the importance of sincerity and meaningful coherence. For me, this means representing uncertainty and divergence, including younger participants who prefer cash and older participants who use QR confidently. Ethical representation is therefore connected to analytical quality: participants should not be reduced to examples that fit a generational story I had already decided to tell</w:t>
      </w:r>
      <w:r w:rsidR="00E0296C">
        <w:t>.</w:t>
      </w:r>
    </w:p>
    <w:p w14:paraId="2F92E580" w14:textId="77777777" w:rsidR="002D18D5" w:rsidRPr="002D18D5" w:rsidRDefault="002D18D5" w:rsidP="00054235">
      <w:pPr>
        <w:pStyle w:val="Heading1"/>
      </w:pPr>
      <w:bookmarkStart w:id="6" w:name="_Toc242267440"/>
      <w:r w:rsidRPr="002D18D5">
        <w:t>6. You as a Developing Researcher</w:t>
      </w:r>
      <w:bookmarkEnd w:id="6"/>
    </w:p>
    <w:p w14:paraId="317B1AEB" w14:textId="77777777" w:rsidR="002D18D5" w:rsidRPr="002D18D5" w:rsidRDefault="002D18D5" w:rsidP="002D18D5">
      <w:r w:rsidRPr="002D18D5">
        <w:t>My next stage of development needs to be specific rather than simply saying that I will “read more critically”. First, I will build a literature matrix for the main strands of my study: QR/UPI use in India, trust and risk, cash practices, generational digital finance, family learning and rural/semi-rural infrastructure. For each paper I will record the context, sample, theory, method, findings, limitations and how it challenges or supports my interpretation. I will deliberately include recent Indian empirical research, not only methodology texts.</w:t>
      </w:r>
    </w:p>
    <w:p w14:paraId="5AC484C8" w14:textId="77777777" w:rsidR="002D18D5" w:rsidRPr="002D18D5" w:rsidRDefault="002D18D5" w:rsidP="002D18D5">
      <w:r w:rsidRPr="002D18D5">
        <w:t xml:space="preserve">Second, after every interview I will write a reflexive memo recording my assumptions, emotional reactions, power dynamics, family presence and moments where I may have led or over-probed. During reflexive thematic analysis I will actively search for contrasting cases rather than treating </w:t>
      </w:r>
      <w:proofErr w:type="gramStart"/>
      <w:r w:rsidRPr="002D18D5">
        <w:t>difference</w:t>
      </w:r>
      <w:proofErr w:type="gramEnd"/>
      <w:r w:rsidRPr="002D18D5">
        <w:t xml:space="preserve"> as noise (Braun and Clarke, 2022). I will use the memo as an active reflexive record rather than a diary of events, following the value of reflective journalling described by </w:t>
      </w:r>
      <w:proofErr w:type="spellStart"/>
      <w:r w:rsidRPr="002D18D5">
        <w:t>Ortlipp</w:t>
      </w:r>
      <w:proofErr w:type="spellEnd"/>
      <w:r w:rsidRPr="002D18D5">
        <w:t xml:space="preserve"> (2008).</w:t>
      </w:r>
    </w:p>
    <w:p w14:paraId="4026DD93" w14:textId="77777777" w:rsidR="002D18D5" w:rsidRPr="002D18D5" w:rsidRDefault="002D18D5" w:rsidP="002D18D5">
      <w:r w:rsidRPr="002D18D5">
        <w:lastRenderedPageBreak/>
        <w:t>Third, I will strengthen translation practice by returning to the original Gujarati or Hindi whenever an interpretation depends on a participant’s wording. I will also separate practical family assistance from the interview itself and document when another person is present.</w:t>
      </w:r>
    </w:p>
    <w:p w14:paraId="2E0F1FFA" w14:textId="77777777" w:rsidR="002D18D5" w:rsidRPr="002D18D5" w:rsidRDefault="002D18D5" w:rsidP="002D18D5">
      <w:r w:rsidRPr="002D18D5">
        <w:t>The main change in me is that I no longer see doctoral research as finding the cleanest answer. I see it as making a transparent, critically reasoned interpretation while remaining accountable to participants, context and competing explanations. These concrete practices are how I intend to address the gaps identified through my pilot.</w:t>
      </w:r>
    </w:p>
    <w:p w14:paraId="154A8FEA" w14:textId="77777777" w:rsidR="002D18D5" w:rsidRPr="002D18D5" w:rsidRDefault="002D18D5" w:rsidP="00054235">
      <w:pPr>
        <w:pStyle w:val="Heading1"/>
      </w:pPr>
      <w:bookmarkStart w:id="7" w:name="_Toc242267441"/>
      <w:r w:rsidRPr="002D18D5">
        <w:t>References</w:t>
      </w:r>
      <w:bookmarkEnd w:id="7"/>
    </w:p>
    <w:p w14:paraId="687FD288" w14:textId="77777777" w:rsidR="002D18D5" w:rsidRPr="002D18D5" w:rsidRDefault="002D18D5" w:rsidP="00572C4A">
      <w:pPr>
        <w:pStyle w:val="ListParagraph"/>
        <w:numPr>
          <w:ilvl w:val="0"/>
          <w:numId w:val="3"/>
        </w:numPr>
      </w:pPr>
      <w:r w:rsidRPr="002D18D5">
        <w:t xml:space="preserve">Bagozzi, R.P. (2007) ‘The legacy of the technology acceptance model and a proposal for a paradigm shift’, </w:t>
      </w:r>
      <w:r w:rsidRPr="00572C4A">
        <w:rPr>
          <w:i/>
          <w:iCs/>
        </w:rPr>
        <w:t>Journal of the Association for Information Systems</w:t>
      </w:r>
      <w:r w:rsidRPr="002D18D5">
        <w:t>, 8(4), pp. 244–254. Available at: https://doi.org/10.17705/1jais.00122.</w:t>
      </w:r>
    </w:p>
    <w:p w14:paraId="0ABC9309" w14:textId="77777777" w:rsidR="002D18D5" w:rsidRPr="002D18D5" w:rsidRDefault="002D18D5" w:rsidP="00572C4A">
      <w:pPr>
        <w:pStyle w:val="ListParagraph"/>
        <w:numPr>
          <w:ilvl w:val="0"/>
          <w:numId w:val="3"/>
        </w:numPr>
      </w:pPr>
      <w:r w:rsidRPr="002D18D5">
        <w:t xml:space="preserve">Berger, R. (2015) ‘Now I see it, now I don’t: Researcher’s position and reflexivity in qualitative research’, </w:t>
      </w:r>
      <w:r w:rsidRPr="00572C4A">
        <w:rPr>
          <w:i/>
          <w:iCs/>
        </w:rPr>
        <w:t>Qualitative Research</w:t>
      </w:r>
      <w:r w:rsidRPr="002D18D5">
        <w:t>, 15(2), pp. 219–234. Available at: https://doi.org/10.1177/1468794112468475.</w:t>
      </w:r>
    </w:p>
    <w:p w14:paraId="7F617BC2" w14:textId="77777777" w:rsidR="002D18D5" w:rsidRPr="002D18D5" w:rsidRDefault="002D18D5" w:rsidP="00572C4A">
      <w:pPr>
        <w:pStyle w:val="ListParagraph"/>
        <w:numPr>
          <w:ilvl w:val="0"/>
          <w:numId w:val="3"/>
        </w:numPr>
      </w:pPr>
      <w:r w:rsidRPr="002D18D5">
        <w:t xml:space="preserve">Bijker, W.E. (1995) </w:t>
      </w:r>
      <w:r w:rsidRPr="00572C4A">
        <w:rPr>
          <w:i/>
          <w:iCs/>
        </w:rPr>
        <w:t xml:space="preserve">Of bicycles, </w:t>
      </w:r>
      <w:proofErr w:type="spellStart"/>
      <w:r w:rsidRPr="00572C4A">
        <w:rPr>
          <w:i/>
          <w:iCs/>
        </w:rPr>
        <w:t>bakelites</w:t>
      </w:r>
      <w:proofErr w:type="spellEnd"/>
      <w:r w:rsidRPr="00572C4A">
        <w:rPr>
          <w:i/>
          <w:iCs/>
        </w:rPr>
        <w:t>, and bulbs: Toward a theory of sociotechnical change</w:t>
      </w:r>
      <w:r w:rsidRPr="002D18D5">
        <w:t>. Cambridge, MA: MIT Press.</w:t>
      </w:r>
    </w:p>
    <w:p w14:paraId="59D5CA38" w14:textId="77777777" w:rsidR="002D18D5" w:rsidRPr="002D18D5" w:rsidRDefault="002D18D5" w:rsidP="00572C4A">
      <w:pPr>
        <w:pStyle w:val="ListParagraph"/>
        <w:numPr>
          <w:ilvl w:val="0"/>
          <w:numId w:val="3"/>
        </w:numPr>
      </w:pPr>
      <w:r w:rsidRPr="002D18D5">
        <w:t xml:space="preserve">Braun, V. and Clarke, V. (2006) ‘Using thematic analysis in psychology’, </w:t>
      </w:r>
      <w:r w:rsidRPr="00572C4A">
        <w:rPr>
          <w:i/>
          <w:iCs/>
        </w:rPr>
        <w:t>Qualitative Research in Psychology</w:t>
      </w:r>
      <w:r w:rsidRPr="002D18D5">
        <w:t>, 3(2), pp. 77–101. Available at: https://doi.org/10.1191/1478088706qp063oa.</w:t>
      </w:r>
    </w:p>
    <w:p w14:paraId="79BBB336" w14:textId="77777777" w:rsidR="002D18D5" w:rsidRPr="002D18D5" w:rsidRDefault="002D18D5" w:rsidP="00572C4A">
      <w:pPr>
        <w:pStyle w:val="ListParagraph"/>
        <w:numPr>
          <w:ilvl w:val="0"/>
          <w:numId w:val="3"/>
        </w:numPr>
      </w:pPr>
      <w:r w:rsidRPr="002D18D5">
        <w:t xml:space="preserve">Braun, V. and Clarke, V. (2019) ‘Reflecting on reflexive thematic analysis’, </w:t>
      </w:r>
      <w:r w:rsidRPr="00572C4A">
        <w:rPr>
          <w:i/>
          <w:iCs/>
        </w:rPr>
        <w:t>Qualitative Research in Sport, Exercise and Health</w:t>
      </w:r>
      <w:r w:rsidRPr="002D18D5">
        <w:t>, 11(4), pp. 589–597. Available at: https://doi.org/10.1080/2159676X.2019.1628806.</w:t>
      </w:r>
    </w:p>
    <w:p w14:paraId="30D71BE6" w14:textId="77777777" w:rsidR="002D18D5" w:rsidRPr="002D18D5" w:rsidRDefault="002D18D5" w:rsidP="00572C4A">
      <w:pPr>
        <w:pStyle w:val="ListParagraph"/>
        <w:numPr>
          <w:ilvl w:val="0"/>
          <w:numId w:val="3"/>
        </w:numPr>
      </w:pPr>
      <w:r w:rsidRPr="002D18D5">
        <w:t xml:space="preserve">Braun, V. and Clarke, V. (2022) </w:t>
      </w:r>
      <w:r w:rsidRPr="00572C4A">
        <w:rPr>
          <w:i/>
          <w:iCs/>
        </w:rPr>
        <w:t>Thematic analysis: A practical guide</w:t>
      </w:r>
      <w:r w:rsidRPr="002D18D5">
        <w:t>. London: SAGE Publications.</w:t>
      </w:r>
    </w:p>
    <w:p w14:paraId="47561501" w14:textId="77777777" w:rsidR="002D18D5" w:rsidRPr="002D18D5" w:rsidRDefault="002D18D5" w:rsidP="00572C4A">
      <w:pPr>
        <w:pStyle w:val="ListParagraph"/>
        <w:numPr>
          <w:ilvl w:val="0"/>
          <w:numId w:val="3"/>
        </w:numPr>
      </w:pPr>
      <w:r w:rsidRPr="002D18D5">
        <w:t xml:space="preserve">Chawla, D. and Joshi, H. (2019) ‘Consumer attitude and intention to adopt mobile wallet in India – An empirical study’, </w:t>
      </w:r>
      <w:r w:rsidRPr="00572C4A">
        <w:rPr>
          <w:i/>
          <w:iCs/>
        </w:rPr>
        <w:t>International Journal of Bank Marketing</w:t>
      </w:r>
      <w:r w:rsidRPr="002D18D5">
        <w:t>, 37(7), pp. 1590–1618. Available at: https://doi.org/10.1108/IJBM-09-2018-0256.</w:t>
      </w:r>
    </w:p>
    <w:p w14:paraId="4C70A805" w14:textId="77777777" w:rsidR="002D18D5" w:rsidRPr="002D18D5" w:rsidRDefault="002D18D5" w:rsidP="00572C4A">
      <w:pPr>
        <w:pStyle w:val="ListParagraph"/>
        <w:numPr>
          <w:ilvl w:val="0"/>
          <w:numId w:val="3"/>
        </w:numPr>
      </w:pPr>
      <w:r w:rsidRPr="002D18D5">
        <w:t xml:space="preserve">Creswell, J.W. and Poth, C.N. (2018) </w:t>
      </w:r>
      <w:r w:rsidRPr="00572C4A">
        <w:rPr>
          <w:i/>
          <w:iCs/>
        </w:rPr>
        <w:t>Qualitative inquiry and research design: Choosing among five approaches</w:t>
      </w:r>
      <w:r w:rsidRPr="002D18D5">
        <w:t xml:space="preserve">. 4th </w:t>
      </w:r>
      <w:proofErr w:type="spellStart"/>
      <w:r w:rsidRPr="002D18D5">
        <w:t>edn</w:t>
      </w:r>
      <w:proofErr w:type="spellEnd"/>
      <w:r w:rsidRPr="002D18D5">
        <w:t>. Thousand Oaks, CA: SAGE Publications.</w:t>
      </w:r>
    </w:p>
    <w:p w14:paraId="18EAADCC" w14:textId="77777777" w:rsidR="002D18D5" w:rsidRPr="002D18D5" w:rsidRDefault="002D18D5" w:rsidP="00572C4A">
      <w:pPr>
        <w:pStyle w:val="ListParagraph"/>
        <w:numPr>
          <w:ilvl w:val="0"/>
          <w:numId w:val="3"/>
        </w:numPr>
      </w:pPr>
      <w:r w:rsidRPr="002D18D5">
        <w:t xml:space="preserve">Crotty, M. (1998) </w:t>
      </w:r>
      <w:r w:rsidRPr="00572C4A">
        <w:rPr>
          <w:i/>
          <w:iCs/>
        </w:rPr>
        <w:t>The foundations of social research: Meaning and perspective in the research process</w:t>
      </w:r>
      <w:r w:rsidRPr="002D18D5">
        <w:t>. London: SAGE Publications.</w:t>
      </w:r>
    </w:p>
    <w:p w14:paraId="7E1A26C0" w14:textId="77777777" w:rsidR="002D18D5" w:rsidRPr="002D18D5" w:rsidRDefault="002D18D5" w:rsidP="00572C4A">
      <w:pPr>
        <w:pStyle w:val="ListParagraph"/>
        <w:numPr>
          <w:ilvl w:val="0"/>
          <w:numId w:val="3"/>
        </w:numPr>
      </w:pPr>
      <w:r w:rsidRPr="002D18D5">
        <w:t xml:space="preserve">Davis, F.D. (1989) ‘Perceived usefulness, perceived ease of use, and user acceptance of information technology’, </w:t>
      </w:r>
      <w:r w:rsidRPr="00572C4A">
        <w:rPr>
          <w:i/>
          <w:iCs/>
        </w:rPr>
        <w:t>MIS Quarterly</w:t>
      </w:r>
      <w:r w:rsidRPr="002D18D5">
        <w:t>, 13(3), pp. 319–340. Available at: https://doi.org/10.2307/249008.</w:t>
      </w:r>
    </w:p>
    <w:p w14:paraId="4C4D8411" w14:textId="77777777" w:rsidR="002D18D5" w:rsidRPr="002D18D5" w:rsidRDefault="002D18D5" w:rsidP="00572C4A">
      <w:pPr>
        <w:pStyle w:val="ListParagraph"/>
        <w:numPr>
          <w:ilvl w:val="0"/>
          <w:numId w:val="3"/>
        </w:numPr>
      </w:pPr>
      <w:r w:rsidRPr="002D18D5">
        <w:lastRenderedPageBreak/>
        <w:t xml:space="preserve">Eshet-Alkalai, Y. (2004) ‘Digital literacy: A conceptual framework for survival skills in the digital era’, </w:t>
      </w:r>
      <w:r w:rsidRPr="00572C4A">
        <w:rPr>
          <w:i/>
          <w:iCs/>
        </w:rPr>
        <w:t>Journal of Educational Multimedia and Hypermedia</w:t>
      </w:r>
      <w:r w:rsidRPr="002D18D5">
        <w:t>, 13(1), pp. 93–106.</w:t>
      </w:r>
    </w:p>
    <w:p w14:paraId="54D064CE" w14:textId="77777777" w:rsidR="002D18D5" w:rsidRPr="002D18D5" w:rsidRDefault="002D18D5" w:rsidP="00572C4A">
      <w:pPr>
        <w:pStyle w:val="ListParagraph"/>
        <w:numPr>
          <w:ilvl w:val="0"/>
          <w:numId w:val="3"/>
        </w:numPr>
      </w:pPr>
      <w:r w:rsidRPr="002D18D5">
        <w:t xml:space="preserve">Finlay, L. (2002) ‘Negotiating the swamp: The opportunity and challenge of reflexivity in research practice’, </w:t>
      </w:r>
      <w:r w:rsidRPr="00572C4A">
        <w:rPr>
          <w:i/>
          <w:iCs/>
        </w:rPr>
        <w:t>Qualitative Research</w:t>
      </w:r>
      <w:r w:rsidRPr="002D18D5">
        <w:t>, 2(2), pp. 209–230. Available at: https://doi.org/10.1177/146879410200200205.</w:t>
      </w:r>
    </w:p>
    <w:p w14:paraId="59B80A80" w14:textId="77777777" w:rsidR="002D18D5" w:rsidRPr="002D18D5" w:rsidRDefault="002D18D5" w:rsidP="00572C4A">
      <w:pPr>
        <w:pStyle w:val="ListParagraph"/>
        <w:numPr>
          <w:ilvl w:val="0"/>
          <w:numId w:val="3"/>
        </w:numPr>
      </w:pPr>
      <w:r w:rsidRPr="002D18D5">
        <w:t>Guba, E.G. and Lincoln, Y.S. (</w:t>
      </w:r>
      <w:proofErr w:type="gramStart"/>
      <w:r w:rsidRPr="002D18D5">
        <w:t>1994) ‘</w:t>
      </w:r>
      <w:proofErr w:type="gramEnd"/>
      <w:r w:rsidRPr="002D18D5">
        <w:t xml:space="preserve">Competing paradigms in qualitative research’, in Denzin, N.K. and Lincoln, Y.S. (eds.) </w:t>
      </w:r>
      <w:r w:rsidRPr="00572C4A">
        <w:rPr>
          <w:i/>
          <w:iCs/>
        </w:rPr>
        <w:t>Handbook of qualitative research</w:t>
      </w:r>
      <w:r w:rsidRPr="002D18D5">
        <w:t>. Thousand Oaks, CA: SAGE Publications, pp. 105–117.</w:t>
      </w:r>
    </w:p>
    <w:p w14:paraId="0477BE46" w14:textId="77777777" w:rsidR="002D18D5" w:rsidRPr="002D18D5" w:rsidRDefault="002D18D5" w:rsidP="00572C4A">
      <w:pPr>
        <w:pStyle w:val="ListParagraph"/>
        <w:numPr>
          <w:ilvl w:val="0"/>
          <w:numId w:val="3"/>
        </w:numPr>
      </w:pPr>
      <w:r w:rsidRPr="002D18D5">
        <w:t>Mannheim, K. (</w:t>
      </w:r>
      <w:proofErr w:type="gramStart"/>
      <w:r w:rsidRPr="002D18D5">
        <w:t>1952) ‘</w:t>
      </w:r>
      <w:proofErr w:type="gramEnd"/>
      <w:r w:rsidRPr="002D18D5">
        <w:t xml:space="preserve">The problem of generations’, in </w:t>
      </w:r>
      <w:proofErr w:type="spellStart"/>
      <w:r w:rsidRPr="002D18D5">
        <w:t>Kecskemeti</w:t>
      </w:r>
      <w:proofErr w:type="spellEnd"/>
      <w:r w:rsidRPr="002D18D5">
        <w:t xml:space="preserve">, P. (ed.) </w:t>
      </w:r>
      <w:r w:rsidRPr="00572C4A">
        <w:rPr>
          <w:i/>
          <w:iCs/>
        </w:rPr>
        <w:t>Essays on the sociology of knowledge</w:t>
      </w:r>
      <w:r w:rsidRPr="002D18D5">
        <w:t>. London: Routledge &amp; Kegan Paul, pp. 276–322.</w:t>
      </w:r>
    </w:p>
    <w:p w14:paraId="00CB3AE1" w14:textId="77777777" w:rsidR="002D18D5" w:rsidRPr="002D18D5" w:rsidRDefault="002D18D5" w:rsidP="00572C4A">
      <w:pPr>
        <w:pStyle w:val="ListParagraph"/>
        <w:numPr>
          <w:ilvl w:val="0"/>
          <w:numId w:val="3"/>
        </w:numPr>
      </w:pPr>
      <w:r w:rsidRPr="002D18D5">
        <w:t xml:space="preserve">Ortlipp, M. (2008) ‘Keeping and using reflective journals in the qualitative research process’, </w:t>
      </w:r>
      <w:r w:rsidRPr="00572C4A">
        <w:rPr>
          <w:i/>
          <w:iCs/>
        </w:rPr>
        <w:t>The Qualitative Report</w:t>
      </w:r>
      <w:r w:rsidRPr="002D18D5">
        <w:t>, 13(4), pp. 695–705. Available at: https://doi.org/10.46743/2160-3715/2008.1579.</w:t>
      </w:r>
    </w:p>
    <w:p w14:paraId="0F9E8D1A" w14:textId="77777777" w:rsidR="002D18D5" w:rsidRPr="002D18D5" w:rsidRDefault="002D18D5" w:rsidP="00572C4A">
      <w:pPr>
        <w:pStyle w:val="ListParagraph"/>
        <w:numPr>
          <w:ilvl w:val="0"/>
          <w:numId w:val="3"/>
        </w:numPr>
      </w:pPr>
      <w:r w:rsidRPr="002D18D5">
        <w:t xml:space="preserve">Pinch, T.J. and Bijker, W.E. (1984) ‘The social construction of facts and artefacts: Or how the sociology of science and the sociology of technology might benefit each other’, </w:t>
      </w:r>
      <w:r w:rsidRPr="00572C4A">
        <w:rPr>
          <w:i/>
          <w:iCs/>
        </w:rPr>
        <w:t>Social Studies of Science</w:t>
      </w:r>
      <w:r w:rsidRPr="002D18D5">
        <w:t>, 14(3), pp. 399–441.</w:t>
      </w:r>
    </w:p>
    <w:p w14:paraId="5097DD3C" w14:textId="77777777" w:rsidR="002D18D5" w:rsidRPr="002D18D5" w:rsidRDefault="002D18D5" w:rsidP="00572C4A">
      <w:pPr>
        <w:pStyle w:val="ListParagraph"/>
        <w:numPr>
          <w:ilvl w:val="0"/>
          <w:numId w:val="3"/>
        </w:numPr>
      </w:pPr>
      <w:r w:rsidRPr="002D18D5">
        <w:t xml:space="preserve">Shankar, A. and Datta, B. (2018) ‘Factors affecting mobile payment adoption intention: An Indian perspective’, </w:t>
      </w:r>
      <w:r w:rsidRPr="00572C4A">
        <w:rPr>
          <w:i/>
          <w:iCs/>
        </w:rPr>
        <w:t>Global Business Review</w:t>
      </w:r>
      <w:r w:rsidRPr="002D18D5">
        <w:t>, 19(3_suppl), pp. S72–S89. Available at: https://doi.org/10.1177/0972150918757870.</w:t>
      </w:r>
    </w:p>
    <w:p w14:paraId="6D0F3461" w14:textId="77777777" w:rsidR="002D18D5" w:rsidRPr="002D18D5" w:rsidRDefault="002D18D5" w:rsidP="00572C4A">
      <w:pPr>
        <w:pStyle w:val="ListParagraph"/>
        <w:numPr>
          <w:ilvl w:val="0"/>
          <w:numId w:val="3"/>
        </w:numPr>
      </w:pPr>
      <w:r w:rsidRPr="002D18D5">
        <w:t xml:space="preserve">Shenton, A.K. (2004) ‘Strategies for ensuring trustworthiness in qualitative research projects’, </w:t>
      </w:r>
      <w:r w:rsidRPr="00572C4A">
        <w:rPr>
          <w:i/>
          <w:iCs/>
        </w:rPr>
        <w:t>Education for Information</w:t>
      </w:r>
      <w:r w:rsidRPr="002D18D5">
        <w:t>, 22(2), pp. 63–75. Available at: https://doi.org/10.3233/EFI-2004-22201.</w:t>
      </w:r>
    </w:p>
    <w:p w14:paraId="7B594CD8" w14:textId="77777777" w:rsidR="002D18D5" w:rsidRPr="002D18D5" w:rsidRDefault="002D18D5" w:rsidP="00572C4A">
      <w:pPr>
        <w:pStyle w:val="ListParagraph"/>
        <w:numPr>
          <w:ilvl w:val="0"/>
          <w:numId w:val="3"/>
        </w:numPr>
      </w:pPr>
      <w:proofErr w:type="spellStart"/>
      <w:r w:rsidRPr="002D18D5">
        <w:t>Sindakis</w:t>
      </w:r>
      <w:proofErr w:type="spellEnd"/>
      <w:r w:rsidRPr="002D18D5">
        <w:t xml:space="preserve">, S. and Showkat, G. (2024) ‘The digital revolution in India: Bridging the gap in rural technology adoption’, </w:t>
      </w:r>
      <w:r w:rsidRPr="00572C4A">
        <w:rPr>
          <w:i/>
          <w:iCs/>
        </w:rPr>
        <w:t>Journal of Innovation and Entrepreneurship</w:t>
      </w:r>
      <w:r w:rsidRPr="002D18D5">
        <w:t>, 13, article 29. Available at: https://doi.org/10.1186/s13731-024-00380-w.</w:t>
      </w:r>
    </w:p>
    <w:p w14:paraId="2BE5F1FB" w14:textId="77777777" w:rsidR="002D18D5" w:rsidRPr="002D18D5" w:rsidRDefault="002D18D5" w:rsidP="00572C4A">
      <w:pPr>
        <w:pStyle w:val="ListParagraph"/>
        <w:numPr>
          <w:ilvl w:val="0"/>
          <w:numId w:val="3"/>
        </w:numPr>
      </w:pPr>
      <w:r w:rsidRPr="002D18D5">
        <w:t xml:space="preserve">Squires, A. (2009) ‘Methodological challenges in cross-language qualitative research: A research review’, </w:t>
      </w:r>
      <w:r w:rsidRPr="00572C4A">
        <w:rPr>
          <w:i/>
          <w:iCs/>
        </w:rPr>
        <w:t>International Journal of Nursing Studies</w:t>
      </w:r>
      <w:r w:rsidRPr="002D18D5">
        <w:t>, 46(2), pp. 277–287. Available at: https://doi.org/10.1016/j.ijnurstu.2008.08.006.</w:t>
      </w:r>
    </w:p>
    <w:p w14:paraId="2F80F93C" w14:textId="77777777" w:rsidR="002D18D5" w:rsidRPr="002D18D5" w:rsidRDefault="002D18D5" w:rsidP="00572C4A">
      <w:pPr>
        <w:pStyle w:val="ListParagraph"/>
        <w:numPr>
          <w:ilvl w:val="0"/>
          <w:numId w:val="3"/>
        </w:numPr>
      </w:pPr>
      <w:r w:rsidRPr="002D18D5">
        <w:t xml:space="preserve">Srivastava, S., </w:t>
      </w:r>
      <w:proofErr w:type="spellStart"/>
      <w:r w:rsidRPr="002D18D5">
        <w:t>Mohta</w:t>
      </w:r>
      <w:proofErr w:type="spellEnd"/>
      <w:r w:rsidRPr="002D18D5">
        <w:t xml:space="preserve">, A. and </w:t>
      </w:r>
      <w:proofErr w:type="spellStart"/>
      <w:r w:rsidRPr="002D18D5">
        <w:t>Shunmugasundaram</w:t>
      </w:r>
      <w:proofErr w:type="spellEnd"/>
      <w:r w:rsidRPr="002D18D5">
        <w:t xml:space="preserve">, V. (2024) ‘Adoption of digital payment FinTech service by Gen Y and Gen Z users: Evidence from India’, </w:t>
      </w:r>
      <w:r w:rsidRPr="00572C4A">
        <w:rPr>
          <w:i/>
          <w:iCs/>
        </w:rPr>
        <w:t>Digital Policy, Regulation and Governance</w:t>
      </w:r>
      <w:r w:rsidRPr="002D18D5">
        <w:t>, 26(1), pp. 95–117.</w:t>
      </w:r>
    </w:p>
    <w:p w14:paraId="01E63E7B" w14:textId="77777777" w:rsidR="002D18D5" w:rsidRPr="002D18D5" w:rsidRDefault="002D18D5" w:rsidP="00572C4A">
      <w:pPr>
        <w:pStyle w:val="ListParagraph"/>
        <w:numPr>
          <w:ilvl w:val="0"/>
          <w:numId w:val="3"/>
        </w:numPr>
      </w:pPr>
      <w:r w:rsidRPr="002D18D5">
        <w:t xml:space="preserve">Temple, B. and Young, A. (2004) ‘Qualitative research and translation dilemmas’, </w:t>
      </w:r>
      <w:r w:rsidRPr="00572C4A">
        <w:rPr>
          <w:i/>
          <w:iCs/>
        </w:rPr>
        <w:t>Qualitative Research</w:t>
      </w:r>
      <w:r w:rsidRPr="002D18D5">
        <w:t>, 4(2), pp. 161–178. Available at: https://doi.org/10.1177/1468794104044430.</w:t>
      </w:r>
    </w:p>
    <w:p w14:paraId="78F79353" w14:textId="77777777" w:rsidR="002D18D5" w:rsidRPr="002D18D5" w:rsidRDefault="002D18D5" w:rsidP="00572C4A">
      <w:pPr>
        <w:pStyle w:val="ListParagraph"/>
        <w:numPr>
          <w:ilvl w:val="0"/>
          <w:numId w:val="3"/>
        </w:numPr>
      </w:pPr>
      <w:r w:rsidRPr="002D18D5">
        <w:t xml:space="preserve">Tracy, S.J. (2010) ‘Qualitative quality: Eight “big-tent” criteria for excellent qualitative research’, </w:t>
      </w:r>
      <w:r w:rsidRPr="00572C4A">
        <w:rPr>
          <w:i/>
          <w:iCs/>
        </w:rPr>
        <w:t>Qualitative Inquiry</w:t>
      </w:r>
      <w:r w:rsidRPr="002D18D5">
        <w:t>, 16(10), pp. 837–851. Available at: https://doi.org/10.1177/1077800410383121.</w:t>
      </w:r>
    </w:p>
    <w:p w14:paraId="4CDBE285" w14:textId="77777777" w:rsidR="002D18D5" w:rsidRPr="002D18D5" w:rsidRDefault="002D18D5" w:rsidP="00572C4A">
      <w:pPr>
        <w:pStyle w:val="ListParagraph"/>
        <w:numPr>
          <w:ilvl w:val="0"/>
          <w:numId w:val="3"/>
        </w:numPr>
      </w:pPr>
      <w:r w:rsidRPr="002D18D5">
        <w:lastRenderedPageBreak/>
        <w:t xml:space="preserve">Venkatesh, V., Morris, M.G., Davis, G.B. and Davis, F.D. (2003) ‘User acceptance of information technology: Toward a unified view’, </w:t>
      </w:r>
      <w:r w:rsidRPr="00572C4A">
        <w:rPr>
          <w:i/>
          <w:iCs/>
        </w:rPr>
        <w:t>MIS Quarterly</w:t>
      </w:r>
      <w:r w:rsidRPr="002D18D5">
        <w:t>, 27(3), pp. 425–478. Available at: https://doi.org/10.2307/30036540.</w:t>
      </w:r>
    </w:p>
    <w:p w14:paraId="2A8DF38A" w14:textId="78AA917E" w:rsidR="002D18D5" w:rsidRPr="002D18D5" w:rsidRDefault="002D18D5" w:rsidP="00572C4A">
      <w:pPr>
        <w:pStyle w:val="ListParagraph"/>
        <w:numPr>
          <w:ilvl w:val="0"/>
          <w:numId w:val="3"/>
        </w:numPr>
      </w:pPr>
      <w:r w:rsidRPr="002D18D5">
        <w:t xml:space="preserve">Williams, M.D., Rana, N.P. and Dwivedi, Y.K. (2015) ‘The unified theory of acceptance and use of technology (UTAUT): A literature review’, </w:t>
      </w:r>
      <w:r w:rsidRPr="00572C4A">
        <w:rPr>
          <w:i/>
          <w:iCs/>
        </w:rPr>
        <w:t>Journal of Enterprise Information Management</w:t>
      </w:r>
      <w:r w:rsidRPr="002D18D5">
        <w:t>, 28(3), pp. 443–488. Available at: https://doi.org/10.1108/JEIM-09-2014-0088</w:t>
      </w:r>
      <w:r w:rsidR="0014313A">
        <w:t>.</w:t>
      </w:r>
    </w:p>
    <w:p w14:paraId="60646087" w14:textId="77777777" w:rsidR="00BF42E7" w:rsidRPr="00245C42" w:rsidRDefault="00BF42E7" w:rsidP="00245C42"/>
    <w:sectPr w:rsidR="00BF42E7" w:rsidRPr="00245C4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9F505B"/>
    <w:multiLevelType w:val="hybridMultilevel"/>
    <w:tmpl w:val="0AC478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800F8E"/>
    <w:multiLevelType w:val="hybridMultilevel"/>
    <w:tmpl w:val="00B688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594118A"/>
    <w:multiLevelType w:val="hybridMultilevel"/>
    <w:tmpl w:val="3D72BA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3943954">
    <w:abstractNumId w:val="1"/>
  </w:num>
  <w:num w:numId="2" w16cid:durableId="822813178">
    <w:abstractNumId w:val="0"/>
  </w:num>
  <w:num w:numId="3" w16cid:durableId="19906664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3B8"/>
    <w:rsid w:val="00054235"/>
    <w:rsid w:val="00072A1A"/>
    <w:rsid w:val="000A417C"/>
    <w:rsid w:val="001129F2"/>
    <w:rsid w:val="0014313A"/>
    <w:rsid w:val="001512CA"/>
    <w:rsid w:val="0017623C"/>
    <w:rsid w:val="002058E1"/>
    <w:rsid w:val="00245C42"/>
    <w:rsid w:val="0026142C"/>
    <w:rsid w:val="0029076F"/>
    <w:rsid w:val="002D18D5"/>
    <w:rsid w:val="00317150"/>
    <w:rsid w:val="00366ABB"/>
    <w:rsid w:val="003704A1"/>
    <w:rsid w:val="00391470"/>
    <w:rsid w:val="003C48DC"/>
    <w:rsid w:val="00406F34"/>
    <w:rsid w:val="004431F8"/>
    <w:rsid w:val="00460667"/>
    <w:rsid w:val="004846F9"/>
    <w:rsid w:val="004F6C48"/>
    <w:rsid w:val="00507F87"/>
    <w:rsid w:val="005374E5"/>
    <w:rsid w:val="00562530"/>
    <w:rsid w:val="00572C4A"/>
    <w:rsid w:val="005A70C3"/>
    <w:rsid w:val="005B74D0"/>
    <w:rsid w:val="005F2AEC"/>
    <w:rsid w:val="00611D7D"/>
    <w:rsid w:val="00611E5F"/>
    <w:rsid w:val="006836FB"/>
    <w:rsid w:val="006876CC"/>
    <w:rsid w:val="006A1813"/>
    <w:rsid w:val="006B02A8"/>
    <w:rsid w:val="006C3036"/>
    <w:rsid w:val="006F0551"/>
    <w:rsid w:val="00761241"/>
    <w:rsid w:val="007650CF"/>
    <w:rsid w:val="0077029D"/>
    <w:rsid w:val="007A3835"/>
    <w:rsid w:val="007D3209"/>
    <w:rsid w:val="007D5B43"/>
    <w:rsid w:val="007D6579"/>
    <w:rsid w:val="00837789"/>
    <w:rsid w:val="0086563C"/>
    <w:rsid w:val="008D3B85"/>
    <w:rsid w:val="008F4130"/>
    <w:rsid w:val="009213E9"/>
    <w:rsid w:val="009330B2"/>
    <w:rsid w:val="009340CE"/>
    <w:rsid w:val="00990A93"/>
    <w:rsid w:val="009F133C"/>
    <w:rsid w:val="00A03E14"/>
    <w:rsid w:val="00A3753C"/>
    <w:rsid w:val="00A41AFF"/>
    <w:rsid w:val="00A62085"/>
    <w:rsid w:val="00AE4884"/>
    <w:rsid w:val="00B223B8"/>
    <w:rsid w:val="00B475A9"/>
    <w:rsid w:val="00B54426"/>
    <w:rsid w:val="00B553D0"/>
    <w:rsid w:val="00B62F65"/>
    <w:rsid w:val="00BC4FB7"/>
    <w:rsid w:val="00BF42E7"/>
    <w:rsid w:val="00C25909"/>
    <w:rsid w:val="00C32EAB"/>
    <w:rsid w:val="00CB2DD3"/>
    <w:rsid w:val="00CB679D"/>
    <w:rsid w:val="00CD018A"/>
    <w:rsid w:val="00CE200F"/>
    <w:rsid w:val="00CE499F"/>
    <w:rsid w:val="00CF6C33"/>
    <w:rsid w:val="00D2377F"/>
    <w:rsid w:val="00D62BA1"/>
    <w:rsid w:val="00DD1231"/>
    <w:rsid w:val="00E0296C"/>
    <w:rsid w:val="00E25F91"/>
    <w:rsid w:val="00E32101"/>
    <w:rsid w:val="00E408CC"/>
    <w:rsid w:val="00E56D64"/>
    <w:rsid w:val="00E84CA4"/>
    <w:rsid w:val="00E96DFF"/>
    <w:rsid w:val="00EA2CD1"/>
    <w:rsid w:val="00EB32AE"/>
    <w:rsid w:val="00ED6F78"/>
    <w:rsid w:val="00F21C3D"/>
    <w:rsid w:val="00F3577E"/>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B0D3F"/>
  <w15:chartTrackingRefBased/>
  <w15:docId w15:val="{6ADABC69-4718-4B10-8339-8BC3C1A90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23B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223B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223B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23B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23B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3B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223B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223B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23B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23B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3B8"/>
    <w:rPr>
      <w:rFonts w:eastAsiaTheme="majorEastAsia" w:cstheme="majorBidi"/>
      <w:color w:val="272727" w:themeColor="text1" w:themeTint="D8"/>
    </w:rPr>
  </w:style>
  <w:style w:type="paragraph" w:styleId="Title">
    <w:name w:val="Title"/>
    <w:basedOn w:val="Normal"/>
    <w:next w:val="Normal"/>
    <w:link w:val="TitleChar"/>
    <w:uiPriority w:val="10"/>
    <w:qFormat/>
    <w:rsid w:val="00B2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3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3B8"/>
    <w:pPr>
      <w:spacing w:before="160"/>
      <w:jc w:val="center"/>
    </w:pPr>
    <w:rPr>
      <w:i/>
      <w:iCs/>
      <w:color w:val="404040" w:themeColor="text1" w:themeTint="BF"/>
    </w:rPr>
  </w:style>
  <w:style w:type="character" w:customStyle="1" w:styleId="QuoteChar">
    <w:name w:val="Quote Char"/>
    <w:basedOn w:val="DefaultParagraphFont"/>
    <w:link w:val="Quote"/>
    <w:uiPriority w:val="29"/>
    <w:rsid w:val="00B223B8"/>
    <w:rPr>
      <w:i/>
      <w:iCs/>
      <w:color w:val="404040" w:themeColor="text1" w:themeTint="BF"/>
    </w:rPr>
  </w:style>
  <w:style w:type="paragraph" w:styleId="ListParagraph">
    <w:name w:val="List Paragraph"/>
    <w:basedOn w:val="Normal"/>
    <w:uiPriority w:val="34"/>
    <w:qFormat/>
    <w:rsid w:val="00B223B8"/>
    <w:pPr>
      <w:ind w:left="720"/>
      <w:contextualSpacing/>
    </w:pPr>
  </w:style>
  <w:style w:type="character" w:styleId="IntenseEmphasis">
    <w:name w:val="Intense Emphasis"/>
    <w:basedOn w:val="DefaultParagraphFont"/>
    <w:uiPriority w:val="21"/>
    <w:qFormat/>
    <w:rsid w:val="00B223B8"/>
    <w:rPr>
      <w:i/>
      <w:iCs/>
      <w:color w:val="2F5496" w:themeColor="accent1" w:themeShade="BF"/>
    </w:rPr>
  </w:style>
  <w:style w:type="paragraph" w:styleId="IntenseQuote">
    <w:name w:val="Intense Quote"/>
    <w:basedOn w:val="Normal"/>
    <w:next w:val="Normal"/>
    <w:link w:val="IntenseQuoteChar"/>
    <w:uiPriority w:val="30"/>
    <w:qFormat/>
    <w:rsid w:val="00B223B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23B8"/>
    <w:rPr>
      <w:i/>
      <w:iCs/>
      <w:color w:val="2F5496" w:themeColor="accent1" w:themeShade="BF"/>
    </w:rPr>
  </w:style>
  <w:style w:type="character" w:styleId="IntenseReference">
    <w:name w:val="Intense Reference"/>
    <w:basedOn w:val="DefaultParagraphFont"/>
    <w:uiPriority w:val="32"/>
    <w:qFormat/>
    <w:rsid w:val="00B223B8"/>
    <w:rPr>
      <w:b/>
      <w:bCs/>
      <w:smallCaps/>
      <w:color w:val="2F5496" w:themeColor="accent1" w:themeShade="BF"/>
      <w:spacing w:val="5"/>
    </w:rPr>
  </w:style>
  <w:style w:type="paragraph" w:styleId="TOCHeading">
    <w:name w:val="TOC Heading"/>
    <w:basedOn w:val="Heading1"/>
    <w:next w:val="Normal"/>
    <w:uiPriority w:val="39"/>
    <w:unhideWhenUsed/>
    <w:qFormat/>
    <w:rsid w:val="004F6C4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4F6C48"/>
    <w:pPr>
      <w:spacing w:after="100"/>
    </w:pPr>
  </w:style>
  <w:style w:type="character" w:styleId="Hyperlink">
    <w:name w:val="Hyperlink"/>
    <w:basedOn w:val="DefaultParagraphFont"/>
    <w:uiPriority w:val="99"/>
    <w:unhideWhenUsed/>
    <w:rsid w:val="004F6C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2662619-D2E6-48F4-B064-B8855EB10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2500</TotalTime>
  <Pages>15</Pages>
  <Words>5358</Words>
  <Characters>30545</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mahipal chaudhary</dc:creator>
  <cp:keywords/>
  <dc:description/>
  <cp:lastModifiedBy>mahipal chaudhary</cp:lastModifiedBy>
  <cp:revision>85</cp:revision>
  <dcterms:created xsi:type="dcterms:W3CDTF">2026-09-11T11:32:00Z</dcterms:created>
  <dcterms:modified xsi:type="dcterms:W3CDTF">2026-10-07T20:37:00Z</dcterms:modified>
</cp:coreProperties>
</file>